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4"/>
          <w:szCs w:val="24"/>
          <w:color w:val="auto"/>
        </w:rPr>
      </w:pPr>
    </w:p>
    <w:p>
      <w:pPr>
        <w:spacing w:after="0" w:line="328" w:lineRule="exact"/>
        <w:rPr>
          <w:sz w:val="24"/>
          <w:szCs w:val="24"/>
          <w:color w:val="auto"/>
        </w:rPr>
      </w:pPr>
    </w:p>
    <w:p>
      <w:pPr>
        <w:ind w:left="480"/>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480" w:right="4560" w:hanging="472"/>
        <w:spacing w:after="0" w:line="299"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2010</w:t>
      </w:r>
    </w:p>
    <w:p>
      <w:pPr>
        <w:spacing w:after="0" w:line="293"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480" w:right="4500" w:hanging="472"/>
        <w:spacing w:after="0" w:line="299" w:lineRule="auto"/>
        <w:tabs>
          <w:tab w:leader="none" w:pos="197"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 (d) OF THE SECURITIES EXCHANGE ACT OF 1934</w:t>
      </w:r>
    </w:p>
    <w:p>
      <w:pPr>
        <w:spacing w:after="0" w:line="214" w:lineRule="exact"/>
        <w:rPr>
          <w:sz w:val="24"/>
          <w:szCs w:val="24"/>
          <w:color w:val="auto"/>
        </w:rPr>
      </w:pPr>
    </w:p>
    <w:p>
      <w:pPr>
        <w:ind w:left="48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0-19034</w:t>
      </w:r>
    </w:p>
    <w:p>
      <w:pPr>
        <w:spacing w:after="0" w:line="256"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REGENERON PHARMACEUTICALS, INC.</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5"/>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0" w:type="dxa"/>
            <w:vAlign w:val="bottom"/>
            <w:gridSpan w:val="7"/>
          </w:tcPr>
          <w:p>
            <w:pPr>
              <w:jc w:val="center"/>
              <w:ind w:right="210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664"/>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6"/>
          </w:tcPr>
          <w:p>
            <w:pPr>
              <w:jc w:val="center"/>
              <w:ind w:right="4080"/>
              <w:spacing w:after="0"/>
              <w:rPr>
                <w:sz w:val="20"/>
                <w:szCs w:val="20"/>
                <w:color w:val="auto"/>
              </w:rPr>
            </w:pPr>
            <w:r>
              <w:rPr>
                <w:rFonts w:ascii="Arial" w:cs="Arial" w:eastAsia="Arial" w:hAnsi="Arial"/>
                <w:sz w:val="18"/>
                <w:szCs w:val="18"/>
                <w:color w:val="auto"/>
                <w:w w:val="92"/>
              </w:rPr>
              <w:t>New York</w:t>
            </w: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89"/>
              </w:rPr>
              <w:t>13-3444607</w:t>
            </w: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8"/>
        </w:trPr>
        <w:tc>
          <w:tcPr>
            <w:tcW w:w="5820" w:type="dxa"/>
            <w:vAlign w:val="bottom"/>
            <w:gridSpan w:val="8"/>
          </w:tcPr>
          <w:p>
            <w:pPr>
              <w:jc w:val="center"/>
              <w:ind w:right="3060"/>
              <w:spacing w:after="0"/>
              <w:rPr>
                <w:sz w:val="20"/>
                <w:szCs w:val="20"/>
                <w:color w:val="auto"/>
              </w:rPr>
            </w:pPr>
            <w:r>
              <w:rPr>
                <w:rFonts w:ascii="Arial" w:cs="Arial" w:eastAsia="Arial" w:hAnsi="Arial"/>
                <w:sz w:val="18"/>
                <w:szCs w:val="18"/>
                <w:color w:val="auto"/>
                <w:w w:val="90"/>
              </w:rPr>
              <w:t>(State or other jurisdiction of</w:t>
            </w:r>
          </w:p>
        </w:tc>
        <w:tc>
          <w:tcPr>
            <w:tcW w:w="2540" w:type="dxa"/>
            <w:vAlign w:val="bottom"/>
            <w:gridSpan w:val="3"/>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5820" w:type="dxa"/>
            <w:vAlign w:val="bottom"/>
            <w:gridSpan w:val="8"/>
          </w:tcPr>
          <w:p>
            <w:pPr>
              <w:jc w:val="center"/>
              <w:ind w:right="3060"/>
              <w:spacing w:after="0"/>
              <w:rPr>
                <w:sz w:val="20"/>
                <w:szCs w:val="20"/>
                <w:color w:val="auto"/>
              </w:rPr>
            </w:pPr>
            <w:r>
              <w:rPr>
                <w:rFonts w:ascii="Arial" w:cs="Arial" w:eastAsia="Arial" w:hAnsi="Arial"/>
                <w:sz w:val="18"/>
                <w:szCs w:val="18"/>
                <w:color w:val="auto"/>
                <w:w w:val="90"/>
              </w:rPr>
              <w:t>incorporation or organization)</w:t>
            </w: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53"/>
        </w:trPr>
        <w:tc>
          <w:tcPr>
            <w:tcW w:w="5820" w:type="dxa"/>
            <w:vAlign w:val="bottom"/>
            <w:gridSpan w:val="8"/>
          </w:tcPr>
          <w:p>
            <w:pPr>
              <w:jc w:val="center"/>
              <w:ind w:right="3060"/>
              <w:spacing w:after="0"/>
              <w:rPr>
                <w:sz w:val="20"/>
                <w:szCs w:val="20"/>
                <w:color w:val="auto"/>
              </w:rPr>
            </w:pPr>
            <w:r>
              <w:rPr>
                <w:rFonts w:ascii="Arial" w:cs="Arial" w:eastAsia="Arial" w:hAnsi="Arial"/>
                <w:sz w:val="18"/>
                <w:szCs w:val="18"/>
                <w:color w:val="auto"/>
                <w:w w:val="92"/>
              </w:rPr>
              <w:t>777 Old Saw Mill River Road</w:t>
            </w: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4"/>
        </w:trPr>
        <w:tc>
          <w:tcPr>
            <w:tcW w:w="620" w:type="dxa"/>
            <w:vAlign w:val="bottom"/>
          </w:tcPr>
          <w:p>
            <w:pPr>
              <w:spacing w:after="0"/>
              <w:rPr>
                <w:sz w:val="15"/>
                <w:szCs w:val="15"/>
                <w:color w:val="auto"/>
              </w:rPr>
            </w:pPr>
          </w:p>
        </w:tc>
        <w:tc>
          <w:tcPr>
            <w:tcW w:w="1540" w:type="dxa"/>
            <w:vAlign w:val="bottom"/>
            <w:tcBorders>
              <w:bottom w:val="single" w:sz="8" w:color="auto"/>
            </w:tcBorders>
            <w:gridSpan w:val="3"/>
          </w:tcPr>
          <w:p>
            <w:pPr>
              <w:jc w:val="center"/>
              <w:spacing w:after="0" w:line="184" w:lineRule="exact"/>
              <w:rPr>
                <w:sz w:val="20"/>
                <w:szCs w:val="20"/>
                <w:color w:val="auto"/>
              </w:rPr>
            </w:pPr>
            <w:r>
              <w:rPr>
                <w:rFonts w:ascii="Arial" w:cs="Arial" w:eastAsia="Arial" w:hAnsi="Arial"/>
                <w:sz w:val="18"/>
                <w:szCs w:val="18"/>
                <w:color w:val="auto"/>
                <w:w w:val="91"/>
              </w:rPr>
              <w:t>Tarrytown, New York</w:t>
            </w:r>
          </w:p>
        </w:tc>
        <w:tc>
          <w:tcPr>
            <w:tcW w:w="366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color w:val="auto"/>
                <w:w w:val="89"/>
              </w:rPr>
              <w:t>10591-6707</w:t>
            </w:r>
          </w:p>
        </w:tc>
        <w:tc>
          <w:tcPr>
            <w:tcW w:w="840" w:type="dxa"/>
            <w:vAlign w:val="bottom"/>
          </w:tcPr>
          <w:p>
            <w:pPr>
              <w:spacing w:after="0"/>
              <w:rPr>
                <w:sz w:val="15"/>
                <w:szCs w:val="15"/>
                <w:color w:val="auto"/>
              </w:rPr>
            </w:pPr>
          </w:p>
        </w:tc>
      </w:tr>
      <w:tr>
        <w:trPr>
          <w:trHeight w:val="235"/>
        </w:trPr>
        <w:tc>
          <w:tcPr>
            <w:tcW w:w="5820" w:type="dxa"/>
            <w:vAlign w:val="bottom"/>
            <w:gridSpan w:val="8"/>
          </w:tcPr>
          <w:p>
            <w:pPr>
              <w:jc w:val="center"/>
              <w:ind w:right="3040"/>
              <w:spacing w:after="0"/>
              <w:rPr>
                <w:sz w:val="20"/>
                <w:szCs w:val="20"/>
                <w:color w:val="auto"/>
              </w:rPr>
            </w:pPr>
            <w:r>
              <w:rPr>
                <w:rFonts w:ascii="Arial" w:cs="Arial" w:eastAsia="Arial" w:hAnsi="Arial"/>
                <w:sz w:val="18"/>
                <w:szCs w:val="18"/>
                <w:color w:val="auto"/>
                <w:w w:val="90"/>
              </w:rPr>
              <w:t>(Address of principal executive offices)</w:t>
            </w:r>
          </w:p>
        </w:tc>
        <w:tc>
          <w:tcPr>
            <w:tcW w:w="840" w:type="dxa"/>
            <w:vAlign w:val="bottom"/>
          </w:tcPr>
          <w:p>
            <w:pPr>
              <w:spacing w:after="0"/>
              <w:rPr>
                <w:sz w:val="20"/>
                <w:szCs w:val="20"/>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(Zip Code)</w:t>
            </w:r>
          </w:p>
        </w:tc>
      </w:tr>
      <w:tr>
        <w:trPr>
          <w:trHeight w:val="421"/>
        </w:trPr>
        <w:tc>
          <w:tcPr>
            <w:tcW w:w="3660" w:type="dxa"/>
            <w:vAlign w:val="bottom"/>
            <w:gridSpan w:val="6"/>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(914) 347-7000</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5"/>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0" w:type="dxa"/>
            <w:vAlign w:val="bottom"/>
            <w:gridSpan w:val="7"/>
          </w:tcPr>
          <w:p>
            <w:pPr>
              <w:jc w:val="center"/>
              <w:ind w:right="2080"/>
              <w:spacing w:after="0"/>
              <w:rPr>
                <w:sz w:val="20"/>
                <w:szCs w:val="20"/>
                <w:color w:val="auto"/>
              </w:rPr>
            </w:pPr>
            <w:r>
              <w:rPr>
                <w:rFonts w:ascii="Arial" w:cs="Arial" w:eastAsia="Arial" w:hAnsi="Arial"/>
                <w:sz w:val="18"/>
                <w:szCs w:val="18"/>
                <w:color w:val="auto"/>
                <w:w w:val="87"/>
              </w:rPr>
              <w:t>(Registrant’s telephone number, including area code)</w:t>
            </w:r>
          </w:p>
        </w:tc>
      </w:tr>
    </w:tbl>
    <w:p>
      <w:pPr>
        <w:spacing w:after="0" w:line="237"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580"/>
        <w:spacing w:after="0"/>
        <w:tabs>
          <w:tab w:leader="none" w:pos="4980" w:val="left"/>
          <w:tab w:leader="none" w:pos="618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19685</wp:posOffset>
            </wp:positionV>
            <wp:extent cx="2914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19685</wp:posOffset>
            </wp:positionV>
            <wp:extent cx="283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59"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4580"/>
        <w:spacing w:after="0"/>
        <w:tabs>
          <w:tab w:leader="none" w:pos="61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19685</wp:posOffset>
            </wp:positionV>
            <wp:extent cx="274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19685</wp:posOffset>
            </wp:positionV>
            <wp:extent cx="291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59"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1820" w:type="dxa"/>
            <w:vAlign w:val="bottom"/>
            <w:gridSpan w:val="2"/>
          </w:tcPr>
          <w:p>
            <w:pPr>
              <w:spacing w:after="0"/>
              <w:rPr>
                <w:sz w:val="20"/>
                <w:szCs w:val="20"/>
                <w:color w:val="auto"/>
              </w:rPr>
            </w:pPr>
            <w:r>
              <w:rPr>
                <w:rFonts w:ascii="Arial" w:cs="Arial" w:eastAsia="Arial" w:hAnsi="Arial"/>
                <w:sz w:val="18"/>
                <w:szCs w:val="18"/>
                <w:color w:val="auto"/>
                <w:w w:val="92"/>
              </w:rPr>
              <w:t>Large accelerated filer X</w:t>
            </w:r>
          </w:p>
        </w:tc>
        <w:tc>
          <w:tcPr>
            <w:tcW w:w="3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0" w:type="dxa"/>
            <w:vAlign w:val="bottom"/>
          </w:tcPr>
          <w:p>
            <w:pPr>
              <w:ind w:left="60"/>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21"/>
                <w:szCs w:val="21"/>
                <w:b w:val="1"/>
                <w:bCs w:val="1"/>
                <w:color w:val="auto"/>
              </w:rPr>
              <w:t>__</w:t>
            </w:r>
          </w:p>
        </w:tc>
      </w:tr>
      <w:tr>
        <w:trPr>
          <w:trHeight w:val="237"/>
        </w:trPr>
        <w:tc>
          <w:tcPr>
            <w:tcW w:w="1580" w:type="dxa"/>
            <w:vAlign w:val="bottom"/>
          </w:tcPr>
          <w:p>
            <w:pPr>
              <w:spacing w:after="0"/>
              <w:rPr>
                <w:sz w:val="20"/>
                <w:szCs w:val="20"/>
                <w:color w:val="auto"/>
              </w:rPr>
            </w:pPr>
            <w:r>
              <w:rPr>
                <w:rFonts w:ascii="Arial" w:cs="Arial" w:eastAsia="Arial" w:hAnsi="Arial"/>
                <w:sz w:val="18"/>
                <w:szCs w:val="18"/>
                <w:color w:val="auto"/>
                <w:w w:val="93"/>
              </w:rPr>
              <w:t>Non-accelerated filer</w:t>
            </w:r>
          </w:p>
        </w:tc>
        <w:tc>
          <w:tcPr>
            <w:tcW w:w="240" w:type="dxa"/>
            <w:vAlign w:val="bottom"/>
            <w:tcBorders>
              <w:top w:val="single" w:sz="8" w:color="auto"/>
              <w:bottom w:val="single" w:sz="8" w:color="auto"/>
            </w:tcBorders>
          </w:tcPr>
          <w:p>
            <w:pPr>
              <w:spacing w:after="0"/>
              <w:rPr>
                <w:sz w:val="20"/>
                <w:szCs w:val="20"/>
                <w:color w:val="auto"/>
              </w:rPr>
            </w:pPr>
          </w:p>
        </w:tc>
        <w:tc>
          <w:tcPr>
            <w:tcW w:w="3440" w:type="dxa"/>
            <w:vAlign w:val="bottom"/>
            <w:gridSpan w:val="2"/>
          </w:tcPr>
          <w:p>
            <w:pPr>
              <w:ind w:left="40"/>
              <w:spacing w:after="0"/>
              <w:rPr>
                <w:sz w:val="20"/>
                <w:szCs w:val="20"/>
                <w:color w:val="auto"/>
              </w:rPr>
            </w:pPr>
            <w:r>
              <w:rPr>
                <w:rFonts w:ascii="Arial" w:cs="Arial" w:eastAsia="Arial" w:hAnsi="Arial"/>
                <w:sz w:val="18"/>
                <w:szCs w:val="18"/>
                <w:color w:val="auto"/>
                <w:w w:val="93"/>
              </w:rPr>
              <w:t>(Do not check if a smaller reporting company)</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0" w:type="dxa"/>
            <w:vAlign w:val="bottom"/>
          </w:tcPr>
          <w:p>
            <w:pPr>
              <w:ind w:left="60"/>
              <w:spacing w:after="0" w:line="237" w:lineRule="exact"/>
              <w:rPr>
                <w:sz w:val="20"/>
                <w:szCs w:val="20"/>
                <w:color w:val="auto"/>
              </w:rPr>
            </w:pPr>
            <w:r>
              <w:rPr>
                <w:rFonts w:ascii="Arial" w:cs="Arial" w:eastAsia="Arial" w:hAnsi="Arial"/>
                <w:sz w:val="18"/>
                <w:szCs w:val="18"/>
                <w:color w:val="auto"/>
                <w:w w:val="88"/>
              </w:rPr>
              <w:t>Smaller reporting company</w:t>
            </w:r>
            <w:r>
              <w:rPr>
                <w:rFonts w:ascii="Arial" w:cs="Arial" w:eastAsia="Arial" w:hAnsi="Arial"/>
                <w:sz w:val="21"/>
                <w:szCs w:val="21"/>
                <w:b w:val="1"/>
                <w:bCs w:val="1"/>
                <w:color w:val="auto"/>
                <w:w w:val="88"/>
              </w:rPr>
              <w:t>__</w:t>
            </w:r>
          </w:p>
        </w:tc>
      </w:tr>
      <w:tr>
        <w:trPr>
          <w:trHeight w:val="444"/>
        </w:trPr>
        <w:tc>
          <w:tcPr>
            <w:tcW w:w="9060" w:type="dxa"/>
            <w:vAlign w:val="bottom"/>
            <w:gridSpan w:val="7"/>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r>
      <w:tr>
        <w:trPr>
          <w:trHeight w:val="237"/>
        </w:trPr>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2"/>
          </w:tcPr>
          <w:p>
            <w:pPr>
              <w:ind w:left="2760"/>
              <w:spacing w:after="0"/>
              <w:rPr>
                <w:sz w:val="20"/>
                <w:szCs w:val="20"/>
                <w:color w:val="auto"/>
              </w:rPr>
            </w:pPr>
            <w:r>
              <w:rPr>
                <w:rFonts w:ascii="Arial" w:cs="Arial" w:eastAsia="Arial" w:hAnsi="Arial"/>
                <w:sz w:val="18"/>
                <w:szCs w:val="18"/>
                <w:color w:val="auto"/>
              </w:rPr>
              <w:t>Yes</w:t>
            </w:r>
          </w:p>
        </w:tc>
        <w:tc>
          <w:tcPr>
            <w:tcW w:w="3800" w:type="dxa"/>
            <w:vAlign w:val="bottom"/>
            <w:gridSpan w:val="3"/>
          </w:tcPr>
          <w:p>
            <w:pPr>
              <w:ind w:left="900"/>
              <w:spacing w:after="0"/>
              <w:rPr>
                <w:sz w:val="20"/>
                <w:szCs w:val="20"/>
                <w:color w:val="auto"/>
              </w:rPr>
            </w:pPr>
            <w:r>
              <w:rPr>
                <w:rFonts w:ascii="Arial" w:cs="Arial" w:eastAsia="Arial" w:hAnsi="Arial"/>
                <w:sz w:val="18"/>
                <w:szCs w:val="18"/>
                <w:color w:val="auto"/>
              </w:rPr>
              <w:t>No  X</w:t>
            </w:r>
          </w:p>
        </w:tc>
      </w:tr>
      <w:tr>
        <w:trPr>
          <w:trHeight w:val="20"/>
        </w:trPr>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April 14, 2010:</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Class of Common Stock</w:t>
            </w:r>
          </w:p>
        </w:tc>
        <w:tc>
          <w:tcPr>
            <w:tcW w:w="19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Number of Shares</w:t>
            </w:r>
          </w:p>
        </w:tc>
      </w:tr>
      <w:tr>
        <w:trPr>
          <w:trHeight w:val="20"/>
        </w:trPr>
        <w:tc>
          <w:tcPr>
            <w:tcW w:w="3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28"/>
        </w:trPr>
        <w:tc>
          <w:tcPr>
            <w:tcW w:w="6800" w:type="dxa"/>
            <w:vAlign w:val="bottom"/>
            <w:gridSpan w:val="3"/>
          </w:tcPr>
          <w:p>
            <w:pPr>
              <w:jc w:val="center"/>
              <w:ind w:left="1152"/>
              <w:spacing w:after="0"/>
              <w:rPr>
                <w:sz w:val="20"/>
                <w:szCs w:val="20"/>
                <w:color w:val="auto"/>
              </w:rPr>
            </w:pPr>
            <w:r>
              <w:rPr>
                <w:rFonts w:ascii="Arial" w:cs="Arial" w:eastAsia="Arial" w:hAnsi="Arial"/>
                <w:sz w:val="18"/>
                <w:szCs w:val="18"/>
                <w:color w:val="auto"/>
                <w:w w:val="87"/>
              </w:rPr>
              <w:t>Class A Stock, $0.001 par value</w:t>
            </w:r>
          </w:p>
        </w:tc>
        <w:tc>
          <w:tcPr>
            <w:tcW w:w="1280" w:type="dxa"/>
            <w:vAlign w:val="bottom"/>
          </w:tcPr>
          <w:p>
            <w:pPr>
              <w:jc w:val="right"/>
              <w:ind w:right="192"/>
              <w:spacing w:after="0"/>
              <w:rPr>
                <w:sz w:val="20"/>
                <w:szCs w:val="20"/>
                <w:color w:val="auto"/>
              </w:rPr>
            </w:pPr>
            <w:r>
              <w:rPr>
                <w:rFonts w:ascii="Arial" w:cs="Arial" w:eastAsia="Arial" w:hAnsi="Arial"/>
                <w:sz w:val="18"/>
                <w:szCs w:val="18"/>
                <w:color w:val="auto"/>
              </w:rPr>
              <w:t>2,182,036</w:t>
            </w:r>
          </w:p>
        </w:tc>
        <w:tc>
          <w:tcPr>
            <w:tcW w:w="3360" w:type="dxa"/>
            <w:vAlign w:val="bottom"/>
          </w:tcPr>
          <w:p>
            <w:pPr>
              <w:spacing w:after="0"/>
              <w:rPr>
                <w:sz w:val="19"/>
                <w:szCs w:val="19"/>
                <w:color w:val="auto"/>
              </w:rPr>
            </w:pPr>
          </w:p>
        </w:tc>
      </w:tr>
      <w:tr>
        <w:trPr>
          <w:trHeight w:val="222"/>
        </w:trPr>
        <w:tc>
          <w:tcPr>
            <w:tcW w:w="6800" w:type="dxa"/>
            <w:vAlign w:val="bottom"/>
            <w:gridSpan w:val="3"/>
          </w:tcPr>
          <w:p>
            <w:pPr>
              <w:jc w:val="center"/>
              <w:ind w:left="1152"/>
              <w:spacing w:after="0"/>
              <w:rPr>
                <w:sz w:val="20"/>
                <w:szCs w:val="20"/>
                <w:color w:val="auto"/>
              </w:rPr>
            </w:pPr>
            <w:r>
              <w:rPr>
                <w:rFonts w:ascii="Arial" w:cs="Arial" w:eastAsia="Arial" w:hAnsi="Arial"/>
                <w:sz w:val="18"/>
                <w:szCs w:val="18"/>
                <w:color w:val="auto"/>
                <w:w w:val="88"/>
              </w:rPr>
              <w:t>Common Stock, $0.001 par value</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79,730,517</w:t>
            </w:r>
          </w:p>
        </w:tc>
        <w:tc>
          <w:tcPr>
            <w:tcW w:w="3360" w:type="dxa"/>
            <w:vAlign w:val="bottom"/>
          </w:tcPr>
          <w:p>
            <w:pPr>
              <w:spacing w:after="0"/>
              <w:rPr>
                <w:sz w:val="19"/>
                <w:szCs w:val="19"/>
                <w:color w:val="auto"/>
              </w:rPr>
            </w:pPr>
          </w:p>
        </w:tc>
      </w:tr>
      <w:tr>
        <w:trPr>
          <w:trHeight w:val="363"/>
        </w:trPr>
        <w:tc>
          <w:tcPr>
            <w:tcW w:w="31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Page Numbers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gridSpan w:val="9"/>
            <w:shd w:val="clear" w:color="auto" w:fill="C0C0C0"/>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1</w:t>
            </w:r>
          </w:p>
        </w:tc>
        <w:tc>
          <w:tcPr>
            <w:tcW w:w="9500" w:type="dxa"/>
            <w:vAlign w:val="bottom"/>
            <w:gridSpan w:val="9"/>
            <w:shd w:val="clear" w:color="auto" w:fill="C0C0C0"/>
          </w:tcPr>
          <w:p>
            <w:pPr>
              <w:ind w:left="160"/>
              <w:spacing w:after="0" w:line="176" w:lineRule="exact"/>
              <w:rPr>
                <w:sz w:val="20"/>
                <w:szCs w:val="20"/>
                <w:color w:val="auto"/>
              </w:rPr>
            </w:pPr>
            <w:r>
              <w:rPr>
                <w:rFonts w:ascii="Arial" w:cs="Arial" w:eastAsia="Arial" w:hAnsi="Arial"/>
                <w:sz w:val="18"/>
                <w:szCs w:val="18"/>
                <w:color w:val="auto"/>
              </w:rPr>
              <w:t>Financial Statements</w:t>
            </w:r>
          </w:p>
        </w:tc>
        <w:tc>
          <w:tcPr>
            <w:tcW w:w="1100" w:type="dxa"/>
            <w:vAlign w:val="bottom"/>
            <w:shd w:val="clear" w:color="auto" w:fill="C0C0C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2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306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500" w:type="dxa"/>
            <w:vAlign w:val="bottom"/>
            <w:gridSpan w:val="9"/>
            <w:shd w:val="clear" w:color="auto" w:fill="C0C0C0"/>
          </w:tcPr>
          <w:p>
            <w:pPr>
              <w:ind w:left="160"/>
              <w:spacing w:after="0"/>
              <w:rPr>
                <w:sz w:val="20"/>
                <w:szCs w:val="20"/>
                <w:color w:val="auto"/>
              </w:rPr>
            </w:pPr>
            <w:r>
              <w:rPr>
                <w:rFonts w:ascii="Arial" w:cs="Arial" w:eastAsia="Arial" w:hAnsi="Arial"/>
                <w:sz w:val="18"/>
                <w:szCs w:val="18"/>
                <w:color w:val="auto"/>
              </w:rPr>
              <w:t>Condensed balance sheets (unaudited) at March 31, 2010 and December 31, 2009</w:t>
            </w:r>
          </w:p>
        </w:tc>
        <w:tc>
          <w:tcPr>
            <w:tcW w:w="1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500" w:type="dxa"/>
            <w:vAlign w:val="bottom"/>
            <w:gridSpan w:val="9"/>
            <w:shd w:val="clear" w:color="auto" w:fill="C0C0C0"/>
          </w:tcPr>
          <w:p>
            <w:pPr>
              <w:ind w:left="160"/>
              <w:spacing w:after="0"/>
              <w:rPr>
                <w:sz w:val="20"/>
                <w:szCs w:val="20"/>
                <w:color w:val="auto"/>
              </w:rPr>
            </w:pPr>
            <w:r>
              <w:rPr>
                <w:rFonts w:ascii="Arial" w:cs="Arial" w:eastAsia="Arial" w:hAnsi="Arial"/>
                <w:sz w:val="18"/>
                <w:szCs w:val="18"/>
                <w:color w:val="auto"/>
              </w:rPr>
              <w:t>Condensed statements of operations (unaudited) for the three months ended March 31, 2010 and 2009</w:t>
            </w:r>
          </w:p>
        </w:tc>
        <w:tc>
          <w:tcPr>
            <w:tcW w:w="1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500" w:type="dxa"/>
            <w:vAlign w:val="bottom"/>
            <w:gridSpan w:val="9"/>
            <w:shd w:val="clear" w:color="auto" w:fill="C0C0C0"/>
          </w:tcPr>
          <w:p>
            <w:pPr>
              <w:ind w:left="160"/>
              <w:spacing w:after="0"/>
              <w:rPr>
                <w:sz w:val="20"/>
                <w:szCs w:val="20"/>
                <w:color w:val="auto"/>
              </w:rPr>
            </w:pPr>
            <w:r>
              <w:rPr>
                <w:rFonts w:ascii="Arial" w:cs="Arial" w:eastAsia="Arial" w:hAnsi="Arial"/>
                <w:sz w:val="18"/>
                <w:szCs w:val="18"/>
                <w:color w:val="auto"/>
              </w:rPr>
              <w:t>Condensed statements of stockholders’ equity (unaudited) for the three months ended March 31, 2010 and 2009</w:t>
            </w:r>
          </w:p>
        </w:tc>
        <w:tc>
          <w:tcPr>
            <w:tcW w:w="1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500" w:type="dxa"/>
            <w:vAlign w:val="bottom"/>
            <w:gridSpan w:val="9"/>
            <w:shd w:val="clear" w:color="auto" w:fill="C0C0C0"/>
          </w:tcPr>
          <w:p>
            <w:pPr>
              <w:ind w:left="160"/>
              <w:spacing w:after="0"/>
              <w:rPr>
                <w:sz w:val="20"/>
                <w:szCs w:val="20"/>
                <w:color w:val="auto"/>
              </w:rPr>
            </w:pPr>
            <w:r>
              <w:rPr>
                <w:rFonts w:ascii="Arial" w:cs="Arial" w:eastAsia="Arial" w:hAnsi="Arial"/>
                <w:sz w:val="18"/>
                <w:szCs w:val="18"/>
                <w:color w:val="auto"/>
              </w:rPr>
              <w:t>Condensed statements of cash flows (unaudited) for the three months ended March 31, 2010 and 2009</w:t>
            </w:r>
          </w:p>
        </w:tc>
        <w:tc>
          <w:tcPr>
            <w:tcW w:w="1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9500" w:type="dxa"/>
            <w:vAlign w:val="bottom"/>
            <w:gridSpan w:val="9"/>
            <w:shd w:val="clear" w:color="auto" w:fill="C0C0C0"/>
          </w:tcPr>
          <w:p>
            <w:pPr>
              <w:ind w:left="160"/>
              <w:spacing w:after="0"/>
              <w:rPr>
                <w:sz w:val="20"/>
                <w:szCs w:val="20"/>
                <w:color w:val="auto"/>
              </w:rPr>
            </w:pPr>
            <w:r>
              <w:rPr>
                <w:rFonts w:ascii="Arial" w:cs="Arial" w:eastAsia="Arial" w:hAnsi="Arial"/>
                <w:sz w:val="18"/>
                <w:szCs w:val="18"/>
                <w:color w:val="auto"/>
              </w:rPr>
              <w:t>Notes to condensed financial statements (unaudited)</w:t>
            </w:r>
          </w:p>
        </w:tc>
        <w:tc>
          <w:tcPr>
            <w:tcW w:w="1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2</w:t>
            </w:r>
          </w:p>
        </w:tc>
        <w:tc>
          <w:tcPr>
            <w:tcW w:w="9500" w:type="dxa"/>
            <w:vAlign w:val="bottom"/>
            <w:gridSpan w:val="9"/>
            <w:shd w:val="clear" w:color="auto" w:fill="C0C0C0"/>
          </w:tcPr>
          <w:p>
            <w:pPr>
              <w:ind w:left="16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00" w:type="dxa"/>
            <w:vAlign w:val="bottom"/>
            <w:shd w:val="clear" w:color="auto" w:fill="C0C0C0"/>
          </w:tcPr>
          <w:p>
            <w:pPr>
              <w:ind w:left="540"/>
              <w:spacing w:after="0" w:line="176" w:lineRule="exact"/>
              <w:rPr>
                <w:sz w:val="20"/>
                <w:szCs w:val="20"/>
                <w:color w:val="auto"/>
              </w:rPr>
            </w:pPr>
            <w:r>
              <w:rPr>
                <w:rFonts w:ascii="Arial" w:cs="Arial" w:eastAsia="Arial" w:hAnsi="Arial"/>
                <w:sz w:val="18"/>
                <w:szCs w:val="18"/>
                <w:color w:val="auto"/>
              </w:rPr>
              <w:t>15-33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2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306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3</w:t>
            </w:r>
          </w:p>
        </w:tc>
        <w:tc>
          <w:tcPr>
            <w:tcW w:w="9500" w:type="dxa"/>
            <w:vAlign w:val="bottom"/>
            <w:gridSpan w:val="9"/>
            <w:shd w:val="clear" w:color="auto" w:fill="C0C0C0"/>
          </w:tcPr>
          <w:p>
            <w:pPr>
              <w:ind w:left="16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1100" w:type="dxa"/>
            <w:vAlign w:val="bottom"/>
            <w:shd w:val="clear" w:color="auto" w:fill="C0C0C0"/>
          </w:tcPr>
          <w:p>
            <w:pPr>
              <w:ind w:left="540"/>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2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306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4</w:t>
            </w:r>
          </w:p>
        </w:tc>
        <w:tc>
          <w:tcPr>
            <w:tcW w:w="9500" w:type="dxa"/>
            <w:vAlign w:val="bottom"/>
            <w:gridSpan w:val="9"/>
            <w:shd w:val="clear" w:color="auto" w:fill="C0C0C0"/>
          </w:tcPr>
          <w:p>
            <w:pPr>
              <w:ind w:left="160"/>
              <w:spacing w:after="0" w:line="176" w:lineRule="exact"/>
              <w:rPr>
                <w:sz w:val="20"/>
                <w:szCs w:val="20"/>
                <w:color w:val="auto"/>
              </w:rPr>
            </w:pPr>
            <w:r>
              <w:rPr>
                <w:rFonts w:ascii="Arial" w:cs="Arial" w:eastAsia="Arial" w:hAnsi="Arial"/>
                <w:sz w:val="18"/>
                <w:szCs w:val="18"/>
                <w:color w:val="auto"/>
              </w:rPr>
              <w:t>Controls and Procedures</w:t>
            </w:r>
          </w:p>
        </w:tc>
        <w:tc>
          <w:tcPr>
            <w:tcW w:w="1100" w:type="dxa"/>
            <w:vAlign w:val="bottom"/>
            <w:shd w:val="clear" w:color="auto" w:fill="C0C0C0"/>
          </w:tcPr>
          <w:p>
            <w:pPr>
              <w:ind w:left="540"/>
              <w:spacing w:after="0" w:line="176" w:lineRule="exact"/>
              <w:rPr>
                <w:sz w:val="20"/>
                <w:szCs w:val="20"/>
                <w:color w:val="auto"/>
              </w:rPr>
            </w:pPr>
            <w:r>
              <w:rPr>
                <w:rFonts w:ascii="Arial" w:cs="Arial" w:eastAsia="Arial" w:hAnsi="Arial"/>
                <w:sz w:val="18"/>
                <w:szCs w:val="18"/>
                <w:color w:val="auto"/>
              </w:rPr>
              <w:t>33-34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2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306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gridSpan w:val="9"/>
            <w:shd w:val="clear" w:color="auto" w:fill="C0C0C0"/>
          </w:tcPr>
          <w:p>
            <w:pPr>
              <w:ind w:left="16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1</w:t>
            </w:r>
          </w:p>
        </w:tc>
        <w:tc>
          <w:tcPr>
            <w:tcW w:w="9500" w:type="dxa"/>
            <w:vAlign w:val="bottom"/>
            <w:gridSpan w:val="9"/>
            <w:shd w:val="clear" w:color="auto" w:fill="C0C0C0"/>
          </w:tcPr>
          <w:p>
            <w:pPr>
              <w:ind w:left="160"/>
              <w:spacing w:after="0" w:line="176" w:lineRule="exact"/>
              <w:rPr>
                <w:sz w:val="20"/>
                <w:szCs w:val="20"/>
                <w:color w:val="auto"/>
              </w:rPr>
            </w:pPr>
            <w:r>
              <w:rPr>
                <w:rFonts w:ascii="Arial" w:cs="Arial" w:eastAsia="Arial" w:hAnsi="Arial"/>
                <w:sz w:val="18"/>
                <w:szCs w:val="18"/>
                <w:color w:val="auto"/>
              </w:rPr>
              <w:t>Legal Proceedings</w:t>
            </w:r>
          </w:p>
        </w:tc>
        <w:tc>
          <w:tcPr>
            <w:tcW w:w="1100" w:type="dxa"/>
            <w:vAlign w:val="bottom"/>
            <w:shd w:val="clear" w:color="auto" w:fill="C0C0C0"/>
          </w:tcPr>
          <w:p>
            <w:pPr>
              <w:ind w:left="540"/>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2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306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1A</w:t>
            </w:r>
          </w:p>
        </w:tc>
        <w:tc>
          <w:tcPr>
            <w:tcW w:w="9500" w:type="dxa"/>
            <w:vAlign w:val="bottom"/>
            <w:gridSpan w:val="9"/>
            <w:shd w:val="clear" w:color="auto" w:fill="C0C0C0"/>
          </w:tcPr>
          <w:p>
            <w:pPr>
              <w:ind w:left="160"/>
              <w:spacing w:after="0" w:line="176" w:lineRule="exact"/>
              <w:rPr>
                <w:sz w:val="20"/>
                <w:szCs w:val="20"/>
                <w:color w:val="auto"/>
              </w:rPr>
            </w:pPr>
            <w:r>
              <w:rPr>
                <w:rFonts w:ascii="Arial" w:cs="Arial" w:eastAsia="Arial" w:hAnsi="Arial"/>
                <w:sz w:val="18"/>
                <w:szCs w:val="18"/>
                <w:color w:val="auto"/>
              </w:rPr>
              <w:t>Risk Factors</w:t>
            </w:r>
          </w:p>
        </w:tc>
        <w:tc>
          <w:tcPr>
            <w:tcW w:w="1100" w:type="dxa"/>
            <w:vAlign w:val="bottom"/>
            <w:shd w:val="clear" w:color="auto" w:fill="C0C0C0"/>
          </w:tcPr>
          <w:p>
            <w:pPr>
              <w:ind w:left="540"/>
              <w:spacing w:after="0" w:line="176" w:lineRule="exact"/>
              <w:rPr>
                <w:sz w:val="20"/>
                <w:szCs w:val="20"/>
                <w:color w:val="auto"/>
              </w:rPr>
            </w:pPr>
            <w:r>
              <w:rPr>
                <w:rFonts w:ascii="Arial" w:cs="Arial" w:eastAsia="Arial" w:hAnsi="Arial"/>
                <w:sz w:val="18"/>
                <w:szCs w:val="18"/>
                <w:color w:val="auto"/>
              </w:rPr>
              <w:t>34-50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306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6</w:t>
            </w:r>
          </w:p>
        </w:tc>
        <w:tc>
          <w:tcPr>
            <w:tcW w:w="9500" w:type="dxa"/>
            <w:vAlign w:val="bottom"/>
            <w:gridSpan w:val="9"/>
            <w:shd w:val="clear" w:color="auto" w:fill="C0C0C0"/>
          </w:tcPr>
          <w:p>
            <w:pPr>
              <w:ind w:left="160"/>
              <w:spacing w:after="0" w:line="176" w:lineRule="exact"/>
              <w:rPr>
                <w:sz w:val="20"/>
                <w:szCs w:val="20"/>
                <w:color w:val="auto"/>
              </w:rPr>
            </w:pPr>
            <w:r>
              <w:rPr>
                <w:rFonts w:ascii="Arial" w:cs="Arial" w:eastAsia="Arial" w:hAnsi="Arial"/>
                <w:sz w:val="18"/>
                <w:szCs w:val="18"/>
                <w:color w:val="auto"/>
              </w:rPr>
              <w:t>Exhibits</w:t>
            </w:r>
          </w:p>
        </w:tc>
        <w:tc>
          <w:tcPr>
            <w:tcW w:w="1100" w:type="dxa"/>
            <w:vAlign w:val="bottom"/>
            <w:shd w:val="clear" w:color="auto" w:fill="C0C0C0"/>
          </w:tcPr>
          <w:p>
            <w:pPr>
              <w:ind w:left="540"/>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400" w:type="dxa"/>
            <w:vAlign w:val="bottom"/>
            <w:tcBorders>
              <w:top w:val="single" w:sz="8" w:color="C0C0C0"/>
            </w:tcBorders>
            <w:gridSpan w:val="2"/>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540" w:type="dxa"/>
            <w:vAlign w:val="bottom"/>
            <w:tcBorders>
              <w:top w:val="single" w:sz="8" w:color="C0C0C0"/>
            </w:tcBorders>
          </w:tcPr>
          <w:p>
            <w:pPr>
              <w:spacing w:after="0"/>
              <w:rPr>
                <w:sz w:val="21"/>
                <w:szCs w:val="21"/>
                <w:color w:val="auto"/>
              </w:rPr>
            </w:pPr>
          </w:p>
        </w:tc>
        <w:tc>
          <w:tcPr>
            <w:tcW w:w="2020" w:type="dxa"/>
            <w:vAlign w:val="bottom"/>
            <w:tcBorders>
              <w:top w:val="single" w:sz="8" w:color="C0C0C0"/>
            </w:tcBorders>
          </w:tcPr>
          <w:p>
            <w:pPr>
              <w:spacing w:after="0"/>
              <w:rPr>
                <w:sz w:val="21"/>
                <w:szCs w:val="21"/>
                <w:color w:val="auto"/>
              </w:rPr>
            </w:pPr>
          </w:p>
        </w:tc>
        <w:tc>
          <w:tcPr>
            <w:tcW w:w="3060" w:type="dxa"/>
            <w:vAlign w:val="bottom"/>
            <w:tcBorders>
              <w:top w:val="single" w:sz="8" w:color="C0C0C0"/>
            </w:tcBorders>
          </w:tcPr>
          <w:p>
            <w:pPr>
              <w:spacing w:after="0"/>
              <w:rPr>
                <w:sz w:val="21"/>
                <w:szCs w:val="21"/>
                <w:color w:val="auto"/>
              </w:rPr>
            </w:pPr>
          </w:p>
        </w:tc>
        <w:tc>
          <w:tcPr>
            <w:tcW w:w="1100" w:type="dxa"/>
            <w:vAlign w:val="bottom"/>
            <w:tcBorders>
              <w:top w:val="single" w:sz="8" w:color="C0C0C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00" w:type="dxa"/>
            <w:vAlign w:val="bottom"/>
            <w:gridSpan w:val="12"/>
            <w:shd w:val="clear" w:color="auto" w:fill="C0C0C0"/>
          </w:tcPr>
          <w:p>
            <w:pPr>
              <w:spacing w:after="0"/>
              <w:rPr>
                <w:sz w:val="20"/>
                <w:szCs w:val="20"/>
                <w:color w:val="auto"/>
              </w:rPr>
            </w:pPr>
            <w:r>
              <w:rPr>
                <w:rFonts w:ascii="Arial" w:cs="Arial" w:eastAsia="Arial" w:hAnsi="Arial"/>
                <w:sz w:val="18"/>
                <w:szCs w:val="18"/>
                <w:b w:val="1"/>
                <w:bCs w:val="1"/>
                <w:color w:val="auto"/>
              </w:rPr>
              <w:t>SIGNATURE PAGE</w:t>
            </w:r>
          </w:p>
        </w:tc>
        <w:tc>
          <w:tcPr>
            <w:tcW w:w="1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MARCH 31, 2010 AND DECEMBER 31, 2009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52"/>
        </w:trPr>
        <w:tc>
          <w:tcPr>
            <w:tcW w:w="9080" w:type="dxa"/>
            <w:vAlign w:val="bottom"/>
            <w:tcBorders>
              <w:bottom w:val="single" w:sz="8" w:color="C0C0C0"/>
            </w:tcBorders>
          </w:tcPr>
          <w:p>
            <w:pPr>
              <w:ind w:left="42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r>
      <w:tr>
        <w:trPr>
          <w:trHeight w:val="230"/>
        </w:trPr>
        <w:tc>
          <w:tcPr>
            <w:tcW w:w="908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40" w:type="dxa"/>
            <w:vAlign w:val="bottom"/>
            <w:shd w:val="clear" w:color="auto" w:fill="C0C0C0"/>
          </w:tcPr>
          <w:p>
            <w:pPr>
              <w:spacing w:after="0"/>
              <w:rPr>
                <w:sz w:val="19"/>
                <w:szCs w:val="19"/>
                <w:color w:val="auto"/>
              </w:rPr>
            </w:pPr>
          </w:p>
        </w:tc>
      </w:tr>
      <w:tr>
        <w:trPr>
          <w:trHeight w:val="235"/>
        </w:trPr>
        <w:tc>
          <w:tcPr>
            <w:tcW w:w="90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117,311</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207,075</w:t>
            </w:r>
          </w:p>
        </w:tc>
      </w:tr>
      <w:tr>
        <w:trPr>
          <w:trHeight w:val="251"/>
        </w:trPr>
        <w:tc>
          <w:tcPr>
            <w:tcW w:w="9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186,328</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134,255</w:t>
            </w:r>
          </w:p>
        </w:tc>
      </w:tr>
      <w:tr>
        <w:trPr>
          <w:trHeight w:val="235"/>
        </w:trPr>
        <w:tc>
          <w:tcPr>
            <w:tcW w:w="9080" w:type="dxa"/>
            <w:vAlign w:val="bottom"/>
          </w:tcPr>
          <w:p>
            <w:pPr>
              <w:ind w:left="320"/>
              <w:spacing w:after="0"/>
              <w:rPr>
                <w:sz w:val="20"/>
                <w:szCs w:val="20"/>
                <w:color w:val="auto"/>
              </w:rPr>
            </w:pPr>
            <w:r>
              <w:rPr>
                <w:rFonts w:ascii="Arial" w:cs="Arial" w:eastAsia="Arial" w:hAnsi="Arial"/>
                <w:sz w:val="18"/>
                <w:szCs w:val="18"/>
                <w:color w:val="auto"/>
              </w:rPr>
              <w:t>Accounts receivable from the sanofi-aventis Group</w:t>
            </w:r>
          </w:p>
        </w:tc>
        <w:tc>
          <w:tcPr>
            <w:tcW w:w="1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68,838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62,703</w:t>
            </w:r>
          </w:p>
        </w:tc>
      </w:tr>
      <w:tr>
        <w:trPr>
          <w:trHeight w:val="251"/>
        </w:trPr>
        <w:tc>
          <w:tcPr>
            <w:tcW w:w="9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receivable - other</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3,020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2,865</w:t>
            </w:r>
          </w:p>
        </w:tc>
      </w:tr>
      <w:tr>
        <w:trPr>
          <w:trHeight w:val="237"/>
        </w:trPr>
        <w:tc>
          <w:tcPr>
            <w:tcW w:w="90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19,947</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18,610</w:t>
            </w:r>
          </w:p>
        </w:tc>
      </w:tr>
      <w:tr>
        <w:trPr>
          <w:trHeight w:val="243"/>
        </w:trPr>
        <w:tc>
          <w:tcPr>
            <w:tcW w:w="90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395,444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425,508</w:t>
            </w:r>
          </w:p>
        </w:tc>
      </w:tr>
      <w:tr>
        <w:trPr>
          <w:trHeight w:val="243"/>
        </w:trPr>
        <w:tc>
          <w:tcPr>
            <w:tcW w:w="9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9080" w:type="dxa"/>
            <w:vAlign w:val="bottom"/>
            <w:shd w:val="clear" w:color="auto" w:fill="C0C0C0"/>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1,600</w:t>
            </w:r>
          </w:p>
        </w:tc>
      </w:tr>
      <w:tr>
        <w:trPr>
          <w:trHeight w:val="235"/>
        </w:trPr>
        <w:tc>
          <w:tcPr>
            <w:tcW w:w="9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108,278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47,080</w:t>
            </w:r>
          </w:p>
        </w:tc>
      </w:tr>
      <w:tr>
        <w:trPr>
          <w:trHeight w:val="235"/>
        </w:trPr>
        <w:tc>
          <w:tcPr>
            <w:tcW w:w="908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r>
      <w:tr>
        <w:trPr>
          <w:trHeight w:val="259"/>
        </w:trPr>
        <w:tc>
          <w:tcPr>
            <w:tcW w:w="9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274,621</w:t>
            </w: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259,676</w:t>
            </w:r>
          </w:p>
        </w:tc>
      </w:tr>
      <w:tr>
        <w:trPr>
          <w:trHeight w:val="237"/>
        </w:trPr>
        <w:tc>
          <w:tcPr>
            <w:tcW w:w="90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7,213</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7,338</w:t>
            </w:r>
          </w:p>
        </w:tc>
      </w:tr>
      <w:tr>
        <w:trPr>
          <w:trHeight w:val="250"/>
        </w:trPr>
        <w:tc>
          <w:tcPr>
            <w:tcW w:w="90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787,156</w:t>
            </w:r>
          </w:p>
        </w:tc>
        <w:tc>
          <w:tcPr>
            <w:tcW w:w="4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741,202</w:t>
            </w:r>
          </w:p>
        </w:tc>
      </w:tr>
      <w:tr>
        <w:trPr>
          <w:trHeight w:val="230"/>
        </w:trPr>
        <w:tc>
          <w:tcPr>
            <w:tcW w:w="908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43"/>
        </w:trPr>
        <w:tc>
          <w:tcPr>
            <w:tcW w:w="9080" w:type="dxa"/>
            <w:vAlign w:val="bottom"/>
            <w:shd w:val="clear" w:color="auto" w:fill="C0C0C0"/>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r>
      <w:tr>
        <w:trPr>
          <w:trHeight w:val="235"/>
        </w:trPr>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1"/>
        </w:trPr>
        <w:tc>
          <w:tcPr>
            <w:tcW w:w="9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53,905</w:t>
            </w:r>
          </w:p>
        </w:tc>
        <w:tc>
          <w:tcPr>
            <w:tcW w:w="4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49,031</w:t>
            </w:r>
          </w:p>
        </w:tc>
      </w:tr>
      <w:tr>
        <w:trPr>
          <w:trHeight w:val="235"/>
        </w:trPr>
        <w:tc>
          <w:tcPr>
            <w:tcW w:w="9080" w:type="dxa"/>
            <w:vAlign w:val="bottom"/>
          </w:tcPr>
          <w:p>
            <w:pPr>
              <w:ind w:left="320"/>
              <w:spacing w:after="0"/>
              <w:rPr>
                <w:sz w:val="20"/>
                <w:szCs w:val="20"/>
                <w:color w:val="auto"/>
              </w:rPr>
            </w:pPr>
            <w:r>
              <w:rPr>
                <w:rFonts w:ascii="Arial" w:cs="Arial" w:eastAsia="Arial" w:hAnsi="Arial"/>
                <w:sz w:val="18"/>
                <w:szCs w:val="18"/>
                <w:color w:val="auto"/>
              </w:rPr>
              <w:t>Deferred revenue from sanofi-aventis, current portion</w:t>
            </w:r>
          </w:p>
        </w:tc>
        <w:tc>
          <w:tcPr>
            <w:tcW w:w="1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17,784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17,523</w:t>
            </w:r>
          </w:p>
        </w:tc>
      </w:tr>
      <w:tr>
        <w:trPr>
          <w:trHeight w:val="251"/>
        </w:trPr>
        <w:tc>
          <w:tcPr>
            <w:tcW w:w="9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Deferred revenue - other, current portion</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31,969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27,021</w:t>
            </w:r>
          </w:p>
        </w:tc>
      </w:tr>
      <w:tr>
        <w:trPr>
          <w:trHeight w:val="237"/>
        </w:trPr>
        <w:tc>
          <w:tcPr>
            <w:tcW w:w="90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Facility lease obligations, current portion</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435</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43"/>
        </w:trPr>
        <w:tc>
          <w:tcPr>
            <w:tcW w:w="90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104,093</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93,575</w:t>
            </w:r>
          </w:p>
        </w:tc>
      </w:tr>
      <w:tr>
        <w:trPr>
          <w:trHeight w:val="243"/>
        </w:trPr>
        <w:tc>
          <w:tcPr>
            <w:tcW w:w="9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908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 from sanofi-aventis</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91,684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90,933</w:t>
            </w:r>
          </w:p>
        </w:tc>
      </w:tr>
      <w:tr>
        <w:trPr>
          <w:trHeight w:val="235"/>
        </w:trPr>
        <w:tc>
          <w:tcPr>
            <w:tcW w:w="9080" w:type="dxa"/>
            <w:vAlign w:val="bottom"/>
          </w:tcPr>
          <w:p>
            <w:pPr>
              <w:spacing w:after="0"/>
              <w:rPr>
                <w:sz w:val="20"/>
                <w:szCs w:val="20"/>
                <w:color w:val="auto"/>
              </w:rPr>
            </w:pPr>
            <w:r>
              <w:rPr>
                <w:rFonts w:ascii="Arial" w:cs="Arial" w:eastAsia="Arial" w:hAnsi="Arial"/>
                <w:sz w:val="18"/>
                <w:szCs w:val="18"/>
                <w:color w:val="auto"/>
              </w:rPr>
              <w:t>Deferred revenue - other</w:t>
            </w:r>
          </w:p>
        </w:tc>
        <w:tc>
          <w:tcPr>
            <w:tcW w:w="1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44,504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46,951</w:t>
            </w:r>
          </w:p>
        </w:tc>
      </w:tr>
      <w:tr>
        <w:trPr>
          <w:trHeight w:val="251"/>
        </w:trPr>
        <w:tc>
          <w:tcPr>
            <w:tcW w:w="9080" w:type="dxa"/>
            <w:vAlign w:val="bottom"/>
            <w:shd w:val="clear" w:color="auto" w:fill="C0C0C0"/>
          </w:tcPr>
          <w:p>
            <w:pPr>
              <w:spacing w:after="0"/>
              <w:rPr>
                <w:sz w:val="20"/>
                <w:szCs w:val="20"/>
                <w:color w:val="auto"/>
              </w:rPr>
            </w:pPr>
            <w:r>
              <w:rPr>
                <w:rFonts w:ascii="Arial" w:cs="Arial" w:eastAsia="Arial" w:hAnsi="Arial"/>
                <w:sz w:val="18"/>
                <w:szCs w:val="18"/>
                <w:color w:val="auto"/>
              </w:rPr>
              <w:t>Facility lease obligations</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156,464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109,022</w:t>
            </w:r>
          </w:p>
        </w:tc>
      </w:tr>
      <w:tr>
        <w:trPr>
          <w:trHeight w:val="237"/>
        </w:trPr>
        <w:tc>
          <w:tcPr>
            <w:tcW w:w="90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4,140</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3,959</w:t>
            </w:r>
          </w:p>
        </w:tc>
      </w:tr>
      <w:tr>
        <w:trPr>
          <w:trHeight w:val="237"/>
        </w:trPr>
        <w:tc>
          <w:tcPr>
            <w:tcW w:w="90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400,885</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9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344,440</w:t>
            </w:r>
          </w:p>
        </w:tc>
      </w:tr>
      <w:tr>
        <w:trPr>
          <w:trHeight w:val="230"/>
        </w:trPr>
        <w:tc>
          <w:tcPr>
            <w:tcW w:w="9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908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r>
      <w:tr>
        <w:trPr>
          <w:trHeight w:val="243"/>
        </w:trPr>
        <w:tc>
          <w:tcPr>
            <w:tcW w:w="9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908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r>
      <w:tr>
        <w:trPr>
          <w:trHeight w:val="228"/>
        </w:trPr>
        <w:tc>
          <w:tcPr>
            <w:tcW w:w="9080" w:type="dxa"/>
            <w:vAlign w:val="bottom"/>
          </w:tcPr>
          <w:p>
            <w:pPr>
              <w:ind w:left="320"/>
              <w:spacing w:after="0"/>
              <w:rPr>
                <w:sz w:val="20"/>
                <w:szCs w:val="20"/>
                <w:color w:val="auto"/>
              </w:rPr>
            </w:pPr>
            <w:r>
              <w:rPr>
                <w:rFonts w:ascii="Arial" w:cs="Arial" w:eastAsia="Arial" w:hAnsi="Arial"/>
                <w:sz w:val="18"/>
                <w:szCs w:val="18"/>
                <w:color w:val="auto"/>
              </w:rPr>
              <w:t>Preferred stock, $.01 par value; 30,000,000 shares authorized; issued and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1"/>
        </w:trPr>
        <w:tc>
          <w:tcPr>
            <w:tcW w:w="9080" w:type="dxa"/>
            <w:vAlign w:val="bottom"/>
          </w:tcPr>
          <w:p>
            <w:pPr>
              <w:ind w:left="620"/>
              <w:spacing w:after="0"/>
              <w:rPr>
                <w:sz w:val="20"/>
                <w:szCs w:val="20"/>
                <w:color w:val="auto"/>
              </w:rPr>
            </w:pPr>
            <w:r>
              <w:rPr>
                <w:rFonts w:ascii="Arial" w:cs="Arial" w:eastAsia="Arial" w:hAnsi="Arial"/>
                <w:sz w:val="18"/>
                <w:szCs w:val="18"/>
                <w:color w:val="auto"/>
              </w:rPr>
              <w:t>outstanding - none</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5"/>
        </w:trPr>
        <w:tc>
          <w:tcPr>
            <w:tcW w:w="9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1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r>
      <w:tr>
        <w:trPr>
          <w:trHeight w:val="259"/>
        </w:trPr>
        <w:tc>
          <w:tcPr>
            <w:tcW w:w="90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shares issued and outstanding - 2,211,698 in 2010 and 2,244,698 in 2009</w:t>
            </w:r>
          </w:p>
        </w:tc>
        <w:tc>
          <w:tcPr>
            <w:tcW w:w="100" w:type="dxa"/>
            <w:vAlign w:val="bottom"/>
            <w:shd w:val="clear" w:color="auto" w:fill="C0C0C0"/>
          </w:tcPr>
          <w:p>
            <w:pPr>
              <w:spacing w:after="0"/>
              <w:rPr>
                <w:sz w:val="22"/>
                <w:szCs w:val="22"/>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w:t>
            </w: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w:t>
            </w:r>
          </w:p>
        </w:tc>
      </w:tr>
      <w:tr>
        <w:trPr>
          <w:trHeight w:val="228"/>
        </w:trPr>
        <w:tc>
          <w:tcPr>
            <w:tcW w:w="9080" w:type="dxa"/>
            <w:vAlign w:val="bottom"/>
          </w:tcPr>
          <w:p>
            <w:pPr>
              <w:ind w:left="320"/>
              <w:spacing w:after="0"/>
              <w:rPr>
                <w:sz w:val="20"/>
                <w:szCs w:val="20"/>
                <w:color w:val="auto"/>
              </w:rPr>
            </w:pPr>
            <w:r>
              <w:rPr>
                <w:rFonts w:ascii="Arial" w:cs="Arial" w:eastAsia="Arial" w:hAnsi="Arial"/>
                <w:sz w:val="18"/>
                <w:szCs w:val="18"/>
                <w:color w:val="auto"/>
              </w:rPr>
              <w:t>Common Stock, $.001 par value; 160,000,000 shares authorized;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1"/>
        </w:trPr>
        <w:tc>
          <w:tcPr>
            <w:tcW w:w="9080" w:type="dxa"/>
            <w:vAlign w:val="bottom"/>
          </w:tcPr>
          <w:p>
            <w:pPr>
              <w:ind w:left="620"/>
              <w:spacing w:after="0"/>
              <w:rPr>
                <w:sz w:val="20"/>
                <w:szCs w:val="20"/>
                <w:color w:val="auto"/>
              </w:rPr>
            </w:pPr>
            <w:r>
              <w:rPr>
                <w:rFonts w:ascii="Arial" w:cs="Arial" w:eastAsia="Arial" w:hAnsi="Arial"/>
                <w:sz w:val="18"/>
                <w:szCs w:val="18"/>
                <w:color w:val="auto"/>
              </w:rPr>
              <w:t>shares issued and outstanding - 79,690,055 in 2010 and 78,860,862 in 2009</w:t>
            </w:r>
          </w:p>
        </w:tc>
        <w:tc>
          <w:tcPr>
            <w:tcW w:w="1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51"/>
        </w:trPr>
        <w:tc>
          <w:tcPr>
            <w:tcW w:w="9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87"/>
              </w:rPr>
              <w:t>1,357,089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1,336,732</w:t>
            </w:r>
          </w:p>
        </w:tc>
      </w:tr>
      <w:tr>
        <w:trPr>
          <w:trHeight w:val="235"/>
        </w:trPr>
        <w:tc>
          <w:tcPr>
            <w:tcW w:w="90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(971,617)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(941,095)</w:t>
            </w:r>
          </w:p>
        </w:tc>
      </w:tr>
      <w:tr>
        <w:trPr>
          <w:trHeight w:val="251"/>
        </w:trPr>
        <w:tc>
          <w:tcPr>
            <w:tcW w:w="9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1,044</w:t>
            </w:r>
          </w:p>
        </w:tc>
      </w:tr>
      <w:tr>
        <w:trPr>
          <w:trHeight w:val="230"/>
        </w:trPr>
        <w:tc>
          <w:tcPr>
            <w:tcW w:w="908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386,271</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396,762</w:t>
            </w:r>
          </w:p>
        </w:tc>
      </w:tr>
      <w:tr>
        <w:trPr>
          <w:trHeight w:val="242"/>
        </w:trPr>
        <w:tc>
          <w:tcPr>
            <w:tcW w:w="90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787,156</w:t>
            </w:r>
          </w:p>
        </w:tc>
        <w:tc>
          <w:tcPr>
            <w:tcW w:w="4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741,202</w:t>
            </w:r>
          </w:p>
        </w:tc>
      </w:tr>
      <w:tr>
        <w:trPr>
          <w:trHeight w:val="28"/>
        </w:trPr>
        <w:tc>
          <w:tcPr>
            <w:tcW w:w="90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Three months ended March 31,</w:t>
            </w:r>
          </w:p>
        </w:tc>
        <w:tc>
          <w:tcPr>
            <w:tcW w:w="20" w:type="dxa"/>
            <w:vAlign w:val="bottom"/>
          </w:tcPr>
          <w:p>
            <w:pPr>
              <w:spacing w:after="0"/>
              <w:rPr>
                <w:sz w:val="19"/>
                <w:szCs w:val="19"/>
                <w:color w:val="auto"/>
              </w:rPr>
            </w:pPr>
          </w:p>
        </w:tc>
      </w:tr>
      <w:tr>
        <w:trPr>
          <w:trHeight w:val="252"/>
        </w:trPr>
        <w:tc>
          <w:tcPr>
            <w:tcW w:w="8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2009</w:t>
            </w:r>
          </w:p>
        </w:tc>
        <w:tc>
          <w:tcPr>
            <w:tcW w:w="20" w:type="dxa"/>
            <w:vAlign w:val="bottom"/>
          </w:tcPr>
          <w:p>
            <w:pPr>
              <w:spacing w:after="0"/>
              <w:rPr>
                <w:sz w:val="21"/>
                <w:szCs w:val="21"/>
                <w:color w:val="auto"/>
              </w:rPr>
            </w:pPr>
          </w:p>
        </w:tc>
      </w:tr>
      <w:tr>
        <w:trPr>
          <w:trHeight w:val="228"/>
        </w:trPr>
        <w:tc>
          <w:tcPr>
            <w:tcW w:w="8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i w:val="1"/>
                <w:iCs w:val="1"/>
                <w:color w:val="auto"/>
                <w:w w:val="85"/>
              </w:rPr>
              <w:t>(Revised -</w:t>
            </w:r>
          </w:p>
        </w:tc>
        <w:tc>
          <w:tcPr>
            <w:tcW w:w="20" w:type="dxa"/>
            <w:vAlign w:val="bottom"/>
          </w:tcPr>
          <w:p>
            <w:pPr>
              <w:spacing w:after="0"/>
              <w:rPr>
                <w:sz w:val="19"/>
                <w:szCs w:val="19"/>
                <w:color w:val="auto"/>
              </w:rPr>
            </w:pPr>
          </w:p>
        </w:tc>
      </w:tr>
      <w:tr>
        <w:trPr>
          <w:trHeight w:val="251"/>
        </w:trPr>
        <w:tc>
          <w:tcPr>
            <w:tcW w:w="8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i w:val="1"/>
                <w:iCs w:val="1"/>
                <w:color w:val="auto"/>
                <w:w w:val="83"/>
              </w:rPr>
              <w:t>see Note 8)</w:t>
            </w:r>
          </w:p>
        </w:tc>
        <w:tc>
          <w:tcPr>
            <w:tcW w:w="20" w:type="dxa"/>
            <w:vAlign w:val="bottom"/>
          </w:tcPr>
          <w:p>
            <w:pPr>
              <w:spacing w:after="0"/>
              <w:rPr>
                <w:sz w:val="21"/>
                <w:szCs w:val="21"/>
                <w:color w:val="auto"/>
              </w:rPr>
            </w:pPr>
          </w:p>
        </w:tc>
      </w:tr>
      <w:tr>
        <w:trPr>
          <w:trHeight w:val="251"/>
        </w:trPr>
        <w:tc>
          <w:tcPr>
            <w:tcW w:w="870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700" w:type="dxa"/>
            <w:vAlign w:val="bottom"/>
          </w:tcPr>
          <w:p>
            <w:pPr>
              <w:ind w:left="320"/>
              <w:spacing w:after="0"/>
              <w:rPr>
                <w:sz w:val="20"/>
                <w:szCs w:val="20"/>
                <w:color w:val="auto"/>
              </w:rPr>
            </w:pPr>
            <w:r>
              <w:rPr>
                <w:rFonts w:ascii="Arial" w:cs="Arial" w:eastAsia="Arial" w:hAnsi="Arial"/>
                <w:sz w:val="18"/>
                <w:szCs w:val="18"/>
                <w:color w:val="auto"/>
              </w:rPr>
              <w:t>Sanofi-aventis collaboration revenue</w:t>
            </w:r>
          </w:p>
        </w:tc>
        <w:tc>
          <w:tcPr>
            <w:tcW w:w="5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68,671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49,660</w:t>
            </w:r>
          </w:p>
        </w:tc>
        <w:tc>
          <w:tcPr>
            <w:tcW w:w="20" w:type="dxa"/>
            <w:vAlign w:val="bottom"/>
          </w:tcPr>
          <w:p>
            <w:pPr>
              <w:spacing w:after="0"/>
              <w:rPr>
                <w:sz w:val="20"/>
                <w:szCs w:val="20"/>
                <w:color w:val="auto"/>
              </w:rPr>
            </w:pPr>
          </w:p>
        </w:tc>
      </w:tr>
      <w:tr>
        <w:trPr>
          <w:trHeight w:val="251"/>
        </w:trPr>
        <w:tc>
          <w:tcPr>
            <w:tcW w:w="8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collaboration revenue</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13,087</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9,948</w:t>
            </w:r>
          </w:p>
        </w:tc>
        <w:tc>
          <w:tcPr>
            <w:tcW w:w="20" w:type="dxa"/>
            <w:vAlign w:val="bottom"/>
          </w:tcPr>
          <w:p>
            <w:pPr>
              <w:spacing w:after="0"/>
              <w:rPr>
                <w:sz w:val="21"/>
                <w:szCs w:val="21"/>
                <w:color w:val="auto"/>
              </w:rPr>
            </w:pPr>
          </w:p>
        </w:tc>
      </w:tr>
      <w:tr>
        <w:trPr>
          <w:trHeight w:val="235"/>
        </w:trPr>
        <w:tc>
          <w:tcPr>
            <w:tcW w:w="8700" w:type="dxa"/>
            <w:vAlign w:val="bottom"/>
          </w:tcPr>
          <w:p>
            <w:pPr>
              <w:ind w:left="320"/>
              <w:spacing w:after="0"/>
              <w:rPr>
                <w:sz w:val="20"/>
                <w:szCs w:val="20"/>
                <w:color w:val="auto"/>
              </w:rPr>
            </w:pPr>
            <w:r>
              <w:rPr>
                <w:rFonts w:ascii="Arial" w:cs="Arial" w:eastAsia="Arial" w:hAnsi="Arial"/>
                <w:sz w:val="18"/>
                <w:szCs w:val="18"/>
                <w:color w:val="auto"/>
              </w:rPr>
              <w:t>Technology licensing</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10,038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0"/>
                <w:szCs w:val="20"/>
                <w:color w:val="auto"/>
              </w:rPr>
            </w:pPr>
          </w:p>
        </w:tc>
      </w:tr>
      <w:tr>
        <w:trPr>
          <w:trHeight w:val="251"/>
        </w:trPr>
        <w:tc>
          <w:tcPr>
            <w:tcW w:w="8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product sales</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9,852</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3,891</w:t>
            </w:r>
          </w:p>
        </w:tc>
        <w:tc>
          <w:tcPr>
            <w:tcW w:w="20" w:type="dxa"/>
            <w:vAlign w:val="bottom"/>
          </w:tcPr>
          <w:p>
            <w:pPr>
              <w:spacing w:after="0"/>
              <w:rPr>
                <w:sz w:val="21"/>
                <w:szCs w:val="21"/>
                <w:color w:val="auto"/>
              </w:rPr>
            </w:pPr>
          </w:p>
        </w:tc>
      </w:tr>
      <w:tr>
        <w:trPr>
          <w:trHeight w:val="237"/>
        </w:trPr>
        <w:tc>
          <w:tcPr>
            <w:tcW w:w="87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Contract research and other</w:t>
            </w:r>
          </w:p>
        </w:tc>
        <w:tc>
          <w:tcPr>
            <w:tcW w:w="26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1,886</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1,482</w:t>
            </w:r>
          </w:p>
        </w:tc>
        <w:tc>
          <w:tcPr>
            <w:tcW w:w="20" w:type="dxa"/>
            <w:vAlign w:val="bottom"/>
          </w:tcPr>
          <w:p>
            <w:pPr>
              <w:spacing w:after="0"/>
              <w:rPr>
                <w:sz w:val="20"/>
                <w:szCs w:val="20"/>
                <w:color w:val="auto"/>
              </w:rPr>
            </w:pPr>
          </w:p>
        </w:tc>
      </w:tr>
      <w:tr>
        <w:trPr>
          <w:trHeight w:val="237"/>
        </w:trPr>
        <w:tc>
          <w:tcPr>
            <w:tcW w:w="87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103,534</w:t>
            </w:r>
          </w:p>
        </w:tc>
        <w:tc>
          <w:tcPr>
            <w:tcW w:w="26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74,981</w:t>
            </w:r>
          </w:p>
        </w:tc>
        <w:tc>
          <w:tcPr>
            <w:tcW w:w="20" w:type="dxa"/>
            <w:vAlign w:val="bottom"/>
          </w:tcPr>
          <w:p>
            <w:pPr>
              <w:spacing w:after="0"/>
              <w:rPr>
                <w:sz w:val="20"/>
                <w:szCs w:val="20"/>
                <w:color w:val="auto"/>
              </w:rPr>
            </w:pPr>
          </w:p>
        </w:tc>
      </w:tr>
      <w:tr>
        <w:trPr>
          <w:trHeight w:val="230"/>
        </w:trPr>
        <w:tc>
          <w:tcPr>
            <w:tcW w:w="8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70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7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117,471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80,307</w:t>
            </w:r>
          </w:p>
        </w:tc>
        <w:tc>
          <w:tcPr>
            <w:tcW w:w="20" w:type="dxa"/>
            <w:vAlign w:val="bottom"/>
          </w:tcPr>
          <w:p>
            <w:pPr>
              <w:spacing w:after="0"/>
              <w:rPr>
                <w:sz w:val="20"/>
                <w:szCs w:val="20"/>
                <w:color w:val="auto"/>
              </w:rPr>
            </w:pPr>
          </w:p>
        </w:tc>
      </w:tr>
      <w:tr>
        <w:trPr>
          <w:trHeight w:val="251"/>
        </w:trPr>
        <w:tc>
          <w:tcPr>
            <w:tcW w:w="8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14,005</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11,420</w:t>
            </w:r>
          </w:p>
        </w:tc>
        <w:tc>
          <w:tcPr>
            <w:tcW w:w="20" w:type="dxa"/>
            <w:vAlign w:val="bottom"/>
          </w:tcPr>
          <w:p>
            <w:pPr>
              <w:spacing w:after="0"/>
              <w:rPr>
                <w:sz w:val="21"/>
                <w:szCs w:val="21"/>
                <w:color w:val="auto"/>
              </w:rPr>
            </w:pPr>
          </w:p>
        </w:tc>
      </w:tr>
      <w:tr>
        <w:trPr>
          <w:trHeight w:val="237"/>
        </w:trPr>
        <w:tc>
          <w:tcPr>
            <w:tcW w:w="87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717</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20"/>
                <w:szCs w:val="20"/>
                <w:color w:val="auto"/>
              </w:rPr>
            </w:pPr>
          </w:p>
        </w:tc>
      </w:tr>
      <w:tr>
        <w:trPr>
          <w:trHeight w:val="237"/>
        </w:trPr>
        <w:tc>
          <w:tcPr>
            <w:tcW w:w="87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132,193</w:t>
            </w:r>
          </w:p>
        </w:tc>
        <w:tc>
          <w:tcPr>
            <w:tcW w:w="26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92,119</w:t>
            </w:r>
          </w:p>
        </w:tc>
        <w:tc>
          <w:tcPr>
            <w:tcW w:w="20" w:type="dxa"/>
            <w:vAlign w:val="bottom"/>
          </w:tcPr>
          <w:p>
            <w:pPr>
              <w:spacing w:after="0"/>
              <w:rPr>
                <w:sz w:val="20"/>
                <w:szCs w:val="20"/>
                <w:color w:val="auto"/>
              </w:rPr>
            </w:pPr>
          </w:p>
        </w:tc>
      </w:tr>
      <w:tr>
        <w:trPr>
          <w:trHeight w:val="230"/>
        </w:trPr>
        <w:tc>
          <w:tcPr>
            <w:tcW w:w="8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870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(28,659)</w:t>
            </w:r>
          </w:p>
        </w:tc>
        <w:tc>
          <w:tcPr>
            <w:tcW w:w="26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(17,138)</w:t>
            </w:r>
          </w:p>
        </w:tc>
        <w:tc>
          <w:tcPr>
            <w:tcW w:w="20" w:type="dxa"/>
            <w:vAlign w:val="bottom"/>
          </w:tcPr>
          <w:p>
            <w:pPr>
              <w:spacing w:after="0"/>
              <w:rPr>
                <w:sz w:val="20"/>
                <w:szCs w:val="20"/>
                <w:color w:val="auto"/>
              </w:rPr>
            </w:pPr>
          </w:p>
        </w:tc>
      </w:tr>
      <w:tr>
        <w:trPr>
          <w:trHeight w:val="230"/>
        </w:trPr>
        <w:tc>
          <w:tcPr>
            <w:tcW w:w="8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7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70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0"/>
                <w:szCs w:val="20"/>
                <w:color w:val="auto"/>
              </w:rPr>
            </w:pPr>
          </w:p>
        </w:tc>
      </w:tr>
      <w:tr>
        <w:trPr>
          <w:trHeight w:val="244"/>
        </w:trPr>
        <w:tc>
          <w:tcPr>
            <w:tcW w:w="8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(2,084)</w:t>
            </w:r>
          </w:p>
        </w:tc>
        <w:tc>
          <w:tcPr>
            <w:tcW w:w="26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0"/>
                <w:szCs w:val="20"/>
                <w:color w:val="auto"/>
              </w:rPr>
            </w:pPr>
          </w:p>
        </w:tc>
      </w:tr>
      <w:tr>
        <w:trPr>
          <w:trHeight w:val="230"/>
        </w:trPr>
        <w:tc>
          <w:tcPr>
            <w:tcW w:w="8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700" w:type="dxa"/>
            <w:vAlign w:val="bottom"/>
            <w:shd w:val="clear" w:color="auto" w:fill="C0C0C0"/>
          </w:tcPr>
          <w:p>
            <w:pPr>
              <w:spacing w:after="0"/>
              <w:rPr>
                <w:sz w:val="20"/>
                <w:szCs w:val="20"/>
                <w:color w:val="auto"/>
              </w:rPr>
            </w:pPr>
            <w:r>
              <w:rPr>
                <w:rFonts w:ascii="Arial" w:cs="Arial" w:eastAsia="Arial" w:hAnsi="Arial"/>
                <w:sz w:val="18"/>
                <w:szCs w:val="18"/>
                <w:color w:val="auto"/>
              </w:rPr>
              <w:t>Net loss before income tax expense</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(30,304)</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21"/>
                <w:szCs w:val="21"/>
                <w:color w:val="auto"/>
              </w:rPr>
            </w:pPr>
          </w:p>
        </w:tc>
      </w:tr>
      <w:tr>
        <w:trPr>
          <w:trHeight w:val="243"/>
        </w:trPr>
        <w:tc>
          <w:tcPr>
            <w:tcW w:w="8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700" w:type="dxa"/>
            <w:vAlign w:val="bottom"/>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0C0C0"/>
          </w:tcPr>
          <w:p>
            <w:pPr>
              <w:spacing w:after="0"/>
              <w:rPr>
                <w:sz w:val="20"/>
                <w:szCs w:val="20"/>
                <w:color w:val="auto"/>
              </w:rPr>
            </w:pPr>
          </w:p>
        </w:tc>
        <w:tc>
          <w:tcPr>
            <w:tcW w:w="24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8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870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(30,522)</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21"/>
                <w:szCs w:val="21"/>
                <w:color w:val="auto"/>
              </w:rPr>
            </w:pPr>
          </w:p>
        </w:tc>
      </w:tr>
      <w:tr>
        <w:trPr>
          <w:trHeight w:val="230"/>
        </w:trPr>
        <w:tc>
          <w:tcPr>
            <w:tcW w:w="870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70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50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(0.38)</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21"/>
                <w:szCs w:val="21"/>
                <w:color w:val="auto"/>
              </w:rPr>
            </w:pPr>
          </w:p>
        </w:tc>
      </w:tr>
      <w:tr>
        <w:trPr>
          <w:trHeight w:val="243"/>
        </w:trPr>
        <w:tc>
          <w:tcPr>
            <w:tcW w:w="8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70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81,169</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79,498</w:t>
            </w:r>
          </w:p>
        </w:tc>
        <w:tc>
          <w:tcPr>
            <w:tcW w:w="20" w:type="dxa"/>
            <w:vAlign w:val="bottom"/>
          </w:tcPr>
          <w:p>
            <w:pPr>
              <w:spacing w:after="0"/>
              <w:rPr>
                <w:sz w:val="21"/>
                <w:szCs w:val="21"/>
                <w:color w:val="auto"/>
              </w:rPr>
            </w:pPr>
          </w:p>
        </w:tc>
      </w:tr>
      <w:tr>
        <w:trPr>
          <w:trHeight w:val="457"/>
        </w:trPr>
        <w:tc>
          <w:tcPr>
            <w:tcW w:w="8700" w:type="dxa"/>
            <w:vAlign w:val="bottom"/>
          </w:tcPr>
          <w:p>
            <w:pPr>
              <w:ind w:left="3000"/>
              <w:spacing w:after="0"/>
              <w:rPr>
                <w:sz w:val="20"/>
                <w:szCs w:val="20"/>
                <w:color w:val="auto"/>
              </w:rPr>
            </w:pPr>
            <w:r>
              <w:rPr>
                <w:rFonts w:ascii="Arial" w:cs="Arial" w:eastAsia="Arial" w:hAnsi="Arial"/>
                <w:sz w:val="18"/>
                <w:szCs w:val="18"/>
                <w:b w:val="1"/>
                <w:bCs w:val="1"/>
                <w:color w:val="auto"/>
                <w:w w:val="91"/>
              </w:rPr>
              <w:t>The accompanying notes are an integral part of the financial statements.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87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457"/>
        </w:trPr>
        <w:tc>
          <w:tcPr>
            <w:tcW w:w="8700" w:type="dxa"/>
            <w:vAlign w:val="bottom"/>
          </w:tcPr>
          <w:p>
            <w:pPr>
              <w:ind w:left="56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87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2010 and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3"/>
        </w:trPr>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w w:val="92"/>
              </w:rPr>
              <w:t>Class A Stock</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w w:val="83"/>
              </w:rPr>
              <w:t>Common Stock</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Paid-in</w:t>
            </w: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w w:val="95"/>
              </w:rPr>
              <w:t>Comprehensive</w:t>
            </w:r>
          </w:p>
        </w:tc>
        <w:tc>
          <w:tcPr>
            <w:tcW w:w="140" w:type="dxa"/>
            <w:vAlign w:val="bottom"/>
          </w:tcPr>
          <w:p>
            <w:pPr>
              <w:spacing w:after="0"/>
              <w:rPr>
                <w:sz w:val="21"/>
                <w:szCs w:val="21"/>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Stockholders'</w:t>
            </w: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w w:val="83"/>
              </w:rPr>
              <w:t>Comprehensive</w:t>
            </w:r>
          </w:p>
        </w:tc>
      </w:tr>
      <w:tr>
        <w:trPr>
          <w:trHeight w:val="41"/>
        </w:trPr>
        <w:tc>
          <w:tcPr>
            <w:tcW w:w="3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3"/>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96"/>
        </w:trPr>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right="72"/>
              <w:spacing w:after="0"/>
              <w:rPr>
                <w:sz w:val="20"/>
                <w:szCs w:val="20"/>
                <w:color w:val="auto"/>
              </w:rPr>
            </w:pPr>
            <w:r>
              <w:rPr>
                <w:rFonts w:ascii="Arial" w:cs="Arial" w:eastAsia="Arial" w:hAnsi="Arial"/>
                <w:sz w:val="14"/>
                <w:szCs w:val="14"/>
                <w:b w:val="1"/>
                <w:bCs w:val="1"/>
                <w:color w:val="auto"/>
                <w:w w:val="88"/>
              </w:rPr>
              <w:t>Equity</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Loss</w:t>
            </w:r>
          </w:p>
        </w:tc>
      </w:tr>
      <w:tr>
        <w:trPr>
          <w:trHeight w:val="41"/>
        </w:trPr>
        <w:tc>
          <w:tcPr>
            <w:tcW w:w="308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17"/>
        </w:trPr>
        <w:tc>
          <w:tcPr>
            <w:tcW w:w="30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December 31, 2009</w:t>
            </w:r>
          </w:p>
        </w:tc>
        <w:tc>
          <w:tcPr>
            <w:tcW w:w="7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2,245</w:t>
            </w:r>
          </w:p>
        </w:tc>
        <w:tc>
          <w:tcPr>
            <w:tcW w:w="26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3"/>
              </w:rPr>
              <w:t>78,861</w:t>
            </w:r>
          </w:p>
        </w:tc>
        <w:tc>
          <w:tcPr>
            <w:tcW w:w="26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79</w:t>
            </w:r>
          </w:p>
        </w:tc>
        <w:tc>
          <w:tcPr>
            <w:tcW w:w="280" w:type="dxa"/>
            <w:vAlign w:val="bottom"/>
            <w:tcBorders>
              <w:bottom w:val="single" w:sz="8" w:color="C0C0C0"/>
            </w:tcBorders>
            <w:shd w:val="clear" w:color="auto" w:fill="C0C0C0"/>
          </w:tcPr>
          <w:p>
            <w:pPr>
              <w:spacing w:after="0"/>
              <w:rPr>
                <w:sz w:val="18"/>
                <w:szCs w:val="18"/>
                <w:color w:val="auto"/>
              </w:rPr>
            </w:pPr>
          </w:p>
        </w:tc>
        <w:tc>
          <w:tcPr>
            <w:tcW w:w="80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w w:val="86"/>
              </w:rPr>
              <w:t>$ 1,336,732</w:t>
            </w:r>
          </w:p>
        </w:tc>
        <w:tc>
          <w:tcPr>
            <w:tcW w:w="24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(941,095)</w:t>
            </w:r>
          </w:p>
        </w:tc>
        <w:tc>
          <w:tcPr>
            <w:tcW w:w="14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gridSpan w:val="2"/>
            <w:shd w:val="clear" w:color="auto" w:fill="C0C0C0"/>
          </w:tcPr>
          <w:p>
            <w:pPr>
              <w:ind w:lef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1,044</w:t>
            </w:r>
          </w:p>
        </w:tc>
        <w:tc>
          <w:tcPr>
            <w:tcW w:w="14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396,762</w:t>
            </w:r>
          </w:p>
        </w:tc>
        <w:tc>
          <w:tcPr>
            <w:tcW w:w="2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700" w:type="dxa"/>
            <w:vAlign w:val="bottom"/>
            <w:tcBorders>
              <w:bottom w:val="single" w:sz="8" w:color="C0C0C0"/>
            </w:tcBorders>
            <w:shd w:val="clear" w:color="auto" w:fill="C0C0C0"/>
          </w:tcPr>
          <w:p>
            <w:pPr>
              <w:spacing w:after="0"/>
              <w:rPr>
                <w:sz w:val="18"/>
                <w:szCs w:val="18"/>
                <w:color w:val="auto"/>
              </w:rPr>
            </w:pPr>
          </w:p>
        </w:tc>
      </w:tr>
      <w:tr>
        <w:trPr>
          <w:trHeight w:val="202"/>
        </w:trPr>
        <w:tc>
          <w:tcPr>
            <w:tcW w:w="3080" w:type="dxa"/>
            <w:vAlign w:val="bottom"/>
          </w:tcPr>
          <w:p>
            <w:pPr>
              <w:spacing w:after="0"/>
              <w:rPr>
                <w:sz w:val="20"/>
                <w:szCs w:val="20"/>
                <w:color w:val="auto"/>
              </w:rPr>
            </w:pPr>
            <w:r>
              <w:rPr>
                <w:rFonts w:ascii="Arial" w:cs="Arial" w:eastAsia="Arial" w:hAnsi="Arial"/>
                <w:sz w:val="14"/>
                <w:szCs w:val="14"/>
                <w:color w:val="auto"/>
              </w:rPr>
              <w:t>Issuance of Common Stock in connection with</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3"/>
        </w:trPr>
        <w:tc>
          <w:tcPr>
            <w:tcW w:w="3080" w:type="dxa"/>
            <w:vAlign w:val="bottom"/>
          </w:tcPr>
          <w:p>
            <w:pPr>
              <w:ind w:left="240"/>
              <w:spacing w:after="0"/>
              <w:rPr>
                <w:sz w:val="20"/>
                <w:szCs w:val="20"/>
                <w:color w:val="auto"/>
              </w:rPr>
            </w:pPr>
            <w:r>
              <w:rPr>
                <w:rFonts w:ascii="Arial" w:cs="Arial" w:eastAsia="Arial" w:hAnsi="Arial"/>
                <w:sz w:val="14"/>
                <w:szCs w:val="14"/>
                <w:color w:val="auto"/>
                <w:w w:val="93"/>
              </w:rPr>
              <w:t>exercise of stock options, net of shares tendered</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685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8,656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8,657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1"/>
        </w:trPr>
        <w:tc>
          <w:tcPr>
            <w:tcW w:w="3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2"/>
        </w:trPr>
        <w:tc>
          <w:tcPr>
            <w:tcW w:w="3080" w:type="dxa"/>
            <w:vAlign w:val="bottom"/>
            <w:shd w:val="clear" w:color="auto" w:fill="C0C0C0"/>
          </w:tcPr>
          <w:p>
            <w:pPr>
              <w:spacing w:after="0"/>
              <w:rPr>
                <w:sz w:val="20"/>
                <w:szCs w:val="20"/>
                <w:color w:val="auto"/>
              </w:rPr>
            </w:pPr>
            <w:r>
              <w:rPr>
                <w:rFonts w:ascii="Arial" w:cs="Arial" w:eastAsia="Arial" w:hAnsi="Arial"/>
                <w:sz w:val="14"/>
                <w:szCs w:val="14"/>
                <w:color w:val="auto"/>
              </w:rPr>
              <w:t>Issuance of Common Stock in connection with</w:t>
            </w:r>
          </w:p>
        </w:tc>
        <w:tc>
          <w:tcPr>
            <w:tcW w:w="2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r>
      <w:tr>
        <w:trPr>
          <w:trHeight w:val="264"/>
        </w:trPr>
        <w:tc>
          <w:tcPr>
            <w:tcW w:w="30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Company 401(k) Savings Plan contribution</w:t>
            </w:r>
          </w:p>
        </w:tc>
        <w:tc>
          <w:tcPr>
            <w:tcW w:w="26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111</w:t>
            </w:r>
          </w:p>
        </w:tc>
        <w:tc>
          <w:tcPr>
            <w:tcW w:w="3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2,867</w:t>
            </w:r>
          </w:p>
        </w:tc>
        <w:tc>
          <w:tcPr>
            <w:tcW w:w="12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7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2,867</w:t>
            </w:r>
          </w:p>
        </w:tc>
        <w:tc>
          <w:tcPr>
            <w:tcW w:w="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shd w:val="clear" w:color="auto" w:fill="C0C0C0"/>
          </w:tcPr>
          <w:p>
            <w:pPr>
              <w:spacing w:after="0"/>
              <w:rPr>
                <w:sz w:val="22"/>
                <w:szCs w:val="22"/>
                <w:color w:val="auto"/>
              </w:rPr>
            </w:pPr>
          </w:p>
        </w:tc>
      </w:tr>
      <w:tr>
        <w:trPr>
          <w:trHeight w:val="202"/>
        </w:trPr>
        <w:tc>
          <w:tcPr>
            <w:tcW w:w="3080" w:type="dxa"/>
            <w:vAlign w:val="bottom"/>
          </w:tcPr>
          <w:p>
            <w:pPr>
              <w:spacing w:after="0"/>
              <w:rPr>
                <w:sz w:val="20"/>
                <w:szCs w:val="20"/>
                <w:color w:val="auto"/>
              </w:rPr>
            </w:pPr>
            <w:r>
              <w:rPr>
                <w:rFonts w:ascii="Arial" w:cs="Arial" w:eastAsia="Arial" w:hAnsi="Arial"/>
                <w:sz w:val="14"/>
                <w:szCs w:val="14"/>
                <w:color w:val="auto"/>
              </w:rPr>
              <w:t>Conversion of Class A Stock to Common Stock</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1"/>
        </w:trPr>
        <w:tc>
          <w:tcPr>
            <w:tcW w:w="3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3"/>
        </w:trPr>
        <w:tc>
          <w:tcPr>
            <w:tcW w:w="30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8,834</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8,834</w:t>
            </w:r>
          </w:p>
        </w:tc>
        <w:tc>
          <w:tcPr>
            <w:tcW w:w="2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spacing w:after="0"/>
              <w:rPr>
                <w:sz w:val="19"/>
                <w:szCs w:val="19"/>
                <w:color w:val="auto"/>
              </w:rPr>
            </w:pPr>
          </w:p>
        </w:tc>
      </w:tr>
      <w:tr>
        <w:trPr>
          <w:trHeight w:val="202"/>
        </w:trPr>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(30,522)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(30,522)</w:t>
            </w: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(30,522)</w:t>
            </w:r>
          </w:p>
        </w:tc>
      </w:tr>
      <w:tr>
        <w:trPr>
          <w:trHeight w:val="41"/>
        </w:trPr>
        <w:tc>
          <w:tcPr>
            <w:tcW w:w="3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2"/>
        </w:trPr>
        <w:tc>
          <w:tcPr>
            <w:tcW w:w="3080" w:type="dxa"/>
            <w:vAlign w:val="bottom"/>
            <w:shd w:val="clear" w:color="auto" w:fill="C0C0C0"/>
          </w:tcPr>
          <w:p>
            <w:pPr>
              <w:spacing w:after="0"/>
              <w:rPr>
                <w:sz w:val="20"/>
                <w:szCs w:val="20"/>
                <w:color w:val="auto"/>
              </w:rPr>
            </w:pPr>
            <w:r>
              <w:rPr>
                <w:rFonts w:ascii="Arial" w:cs="Arial" w:eastAsia="Arial" w:hAnsi="Arial"/>
                <w:sz w:val="14"/>
                <w:szCs w:val="14"/>
                <w:color w:val="auto"/>
                <w:w w:val="88"/>
              </w:rPr>
              <w:t>Change in net unrealized gain on marketable securities,</w:t>
            </w:r>
          </w:p>
        </w:tc>
        <w:tc>
          <w:tcPr>
            <w:tcW w:w="2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r>
      <w:tr>
        <w:trPr>
          <w:trHeight w:val="284"/>
        </w:trPr>
        <w:tc>
          <w:tcPr>
            <w:tcW w:w="30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of tax benefit of $0.2 million</w:t>
            </w:r>
          </w:p>
        </w:tc>
        <w:tc>
          <w:tcPr>
            <w:tcW w:w="260" w:type="dxa"/>
            <w:vAlign w:val="bottom"/>
            <w:tcBorders>
              <w:bottom w:val="single" w:sz="8" w:color="C0C0C0"/>
            </w:tcBorders>
            <w:shd w:val="clear" w:color="auto" w:fill="C0C0C0"/>
          </w:tcPr>
          <w:p>
            <w:pPr>
              <w:spacing w:after="0"/>
              <w:rPr>
                <w:sz w:val="24"/>
                <w:szCs w:val="24"/>
                <w:color w:val="auto"/>
              </w:rPr>
            </w:pPr>
          </w:p>
        </w:tc>
        <w:tc>
          <w:tcPr>
            <w:tcW w:w="50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6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42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6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280" w:type="dxa"/>
            <w:vAlign w:val="bottom"/>
            <w:tcBorders>
              <w:bottom w:val="single" w:sz="8" w:color="C0C0C0"/>
            </w:tcBorders>
            <w:shd w:val="clear" w:color="auto" w:fill="C0C0C0"/>
          </w:tcPr>
          <w:p>
            <w:pPr>
              <w:spacing w:after="0"/>
              <w:rPr>
                <w:sz w:val="24"/>
                <w:szCs w:val="24"/>
                <w:color w:val="auto"/>
              </w:rPr>
            </w:pPr>
          </w:p>
        </w:tc>
        <w:tc>
          <w:tcPr>
            <w:tcW w:w="66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(327)</w:t>
            </w:r>
          </w:p>
        </w:tc>
        <w:tc>
          <w:tcPr>
            <w:tcW w:w="1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(327)</w:t>
            </w:r>
          </w:p>
        </w:tc>
        <w:tc>
          <w:tcPr>
            <w:tcW w:w="26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(327)</w:t>
            </w:r>
          </w:p>
        </w:tc>
      </w:tr>
      <w:tr>
        <w:trPr>
          <w:trHeight w:val="223"/>
        </w:trPr>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55"/>
        </w:trPr>
        <w:tc>
          <w:tcPr>
            <w:tcW w:w="30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March 31, 2010</w:t>
            </w:r>
          </w:p>
        </w:tc>
        <w:tc>
          <w:tcPr>
            <w:tcW w:w="7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2,212</w:t>
            </w:r>
          </w:p>
        </w:tc>
        <w:tc>
          <w:tcPr>
            <w:tcW w:w="26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3"/>
              </w:rPr>
              <w:t>79,690</w:t>
            </w:r>
          </w:p>
        </w:tc>
        <w:tc>
          <w:tcPr>
            <w:tcW w:w="26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80</w:t>
            </w:r>
          </w:p>
        </w:tc>
        <w:tc>
          <w:tcPr>
            <w:tcW w:w="280" w:type="dxa"/>
            <w:vAlign w:val="bottom"/>
            <w:tcBorders>
              <w:bottom w:val="single" w:sz="8" w:color="C0C0C0"/>
            </w:tcBorders>
            <w:shd w:val="clear" w:color="auto" w:fill="C0C0C0"/>
          </w:tcPr>
          <w:p>
            <w:pPr>
              <w:spacing w:after="0"/>
              <w:rPr>
                <w:sz w:val="21"/>
                <w:szCs w:val="21"/>
                <w:color w:val="auto"/>
              </w:rPr>
            </w:pPr>
          </w:p>
        </w:tc>
        <w:tc>
          <w:tcPr>
            <w:tcW w:w="80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w w:val="86"/>
              </w:rPr>
              <w:t>$ 1,357,089</w:t>
            </w:r>
          </w:p>
        </w:tc>
        <w:tc>
          <w:tcPr>
            <w:tcW w:w="24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(971,617)</w:t>
            </w:r>
          </w:p>
        </w:tc>
        <w:tc>
          <w:tcPr>
            <w:tcW w:w="14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tcBorders>
            <w:gridSpan w:val="2"/>
            <w:shd w:val="clear" w:color="auto" w:fill="C0C0C0"/>
          </w:tcPr>
          <w:p>
            <w:pPr>
              <w:ind w:lef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shd w:val="clear" w:color="auto" w:fill="C0C0C0"/>
          </w:tcPr>
          <w:p>
            <w:pPr>
              <w:jc w:val="right"/>
              <w:ind w:right="72"/>
              <w:spacing w:after="0"/>
              <w:rPr>
                <w:sz w:val="20"/>
                <w:szCs w:val="20"/>
                <w:color w:val="auto"/>
              </w:rPr>
            </w:pPr>
            <w:r>
              <w:rPr>
                <w:rFonts w:ascii="Arial" w:cs="Arial" w:eastAsia="Arial" w:hAnsi="Arial"/>
                <w:sz w:val="14"/>
                <w:szCs w:val="14"/>
                <w:color w:val="auto"/>
              </w:rPr>
              <w:t>717</w:t>
            </w:r>
          </w:p>
        </w:tc>
        <w:tc>
          <w:tcPr>
            <w:tcW w:w="14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386,271</w:t>
            </w:r>
          </w:p>
        </w:tc>
        <w:tc>
          <w:tcPr>
            <w:tcW w:w="460" w:type="dxa"/>
            <w:vAlign w:val="bottom"/>
            <w:tcBorders>
              <w:bottom w:val="single" w:sz="8" w:color="C0C0C0"/>
            </w:tcBorders>
            <w:gridSpan w:val="2"/>
            <w:shd w:val="clear" w:color="auto" w:fill="C0C0C0"/>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(30,849)</w:t>
            </w:r>
          </w:p>
        </w:tc>
      </w:tr>
      <w:tr>
        <w:trPr>
          <w:trHeight w:val="230"/>
        </w:trPr>
        <w:tc>
          <w:tcPr>
            <w:tcW w:w="308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23"/>
        </w:trPr>
        <w:tc>
          <w:tcPr>
            <w:tcW w:w="30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December 31, 2008</w:t>
            </w:r>
          </w:p>
        </w:tc>
        <w:tc>
          <w:tcPr>
            <w:tcW w:w="7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2,249</w:t>
            </w:r>
          </w:p>
        </w:tc>
        <w:tc>
          <w:tcPr>
            <w:tcW w:w="2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3"/>
              </w:rPr>
              <w:t>77,642</w:t>
            </w:r>
          </w:p>
        </w:tc>
        <w:tc>
          <w:tcPr>
            <w:tcW w:w="2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78</w:t>
            </w:r>
          </w:p>
        </w:tc>
        <w:tc>
          <w:tcPr>
            <w:tcW w:w="28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w w:val="86"/>
              </w:rPr>
              <w:t>$ 1,294,813</w:t>
            </w:r>
          </w:p>
        </w:tc>
        <w:tc>
          <w:tcPr>
            <w:tcW w:w="24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(873,265)</w:t>
            </w:r>
          </w:p>
        </w:tc>
        <w:tc>
          <w:tcPr>
            <w:tcW w:w="14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gridSpan w:val="2"/>
            <w:shd w:val="clear" w:color="auto" w:fill="C0C0C0"/>
          </w:tcPr>
          <w:p>
            <w:pPr>
              <w:ind w:lef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(114)</w:t>
            </w:r>
          </w:p>
        </w:tc>
        <w:tc>
          <w:tcPr>
            <w:tcW w:w="1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421,514</w:t>
            </w:r>
          </w:p>
        </w:tc>
        <w:tc>
          <w:tcPr>
            <w:tcW w:w="2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spacing w:after="0"/>
              <w:rPr>
                <w:sz w:val="19"/>
                <w:szCs w:val="19"/>
                <w:color w:val="auto"/>
              </w:rPr>
            </w:pPr>
          </w:p>
        </w:tc>
      </w:tr>
      <w:tr>
        <w:trPr>
          <w:trHeight w:val="202"/>
        </w:trPr>
        <w:tc>
          <w:tcPr>
            <w:tcW w:w="3080" w:type="dxa"/>
            <w:vAlign w:val="bottom"/>
          </w:tcPr>
          <w:p>
            <w:pPr>
              <w:spacing w:after="0"/>
              <w:rPr>
                <w:sz w:val="20"/>
                <w:szCs w:val="20"/>
                <w:color w:val="auto"/>
              </w:rPr>
            </w:pPr>
            <w:r>
              <w:rPr>
                <w:rFonts w:ascii="Arial" w:cs="Arial" w:eastAsia="Arial" w:hAnsi="Arial"/>
                <w:sz w:val="14"/>
                <w:szCs w:val="14"/>
                <w:color w:val="auto"/>
              </w:rPr>
              <w:t>Issuance of Common Stock in connection with</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3"/>
        </w:trPr>
        <w:tc>
          <w:tcPr>
            <w:tcW w:w="3080" w:type="dxa"/>
            <w:vAlign w:val="bottom"/>
          </w:tcPr>
          <w:p>
            <w:pPr>
              <w:ind w:left="240"/>
              <w:spacing w:after="0"/>
              <w:rPr>
                <w:sz w:val="20"/>
                <w:szCs w:val="20"/>
                <w:color w:val="auto"/>
              </w:rPr>
            </w:pPr>
            <w:r>
              <w:rPr>
                <w:rFonts w:ascii="Arial" w:cs="Arial" w:eastAsia="Arial" w:hAnsi="Arial"/>
                <w:sz w:val="14"/>
                <w:szCs w:val="14"/>
                <w:color w:val="auto"/>
                <w:w w:val="93"/>
              </w:rPr>
              <w:t>exercise of stock options, net of shares tendered</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117</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1,038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1"/>
        </w:trPr>
        <w:tc>
          <w:tcPr>
            <w:tcW w:w="3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2"/>
        </w:trPr>
        <w:tc>
          <w:tcPr>
            <w:tcW w:w="3080" w:type="dxa"/>
            <w:vAlign w:val="bottom"/>
            <w:shd w:val="clear" w:color="auto" w:fill="C0C0C0"/>
          </w:tcPr>
          <w:p>
            <w:pPr>
              <w:spacing w:after="0"/>
              <w:rPr>
                <w:sz w:val="20"/>
                <w:szCs w:val="20"/>
                <w:color w:val="auto"/>
              </w:rPr>
            </w:pPr>
            <w:r>
              <w:rPr>
                <w:rFonts w:ascii="Arial" w:cs="Arial" w:eastAsia="Arial" w:hAnsi="Arial"/>
                <w:sz w:val="14"/>
                <w:szCs w:val="14"/>
                <w:color w:val="auto"/>
              </w:rPr>
              <w:t>Issuance of Common Stock in connection with</w:t>
            </w:r>
          </w:p>
        </w:tc>
        <w:tc>
          <w:tcPr>
            <w:tcW w:w="2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r>
      <w:tr>
        <w:trPr>
          <w:trHeight w:val="264"/>
        </w:trPr>
        <w:tc>
          <w:tcPr>
            <w:tcW w:w="30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Company 401(k) Savings Plan contribution</w:t>
            </w:r>
          </w:p>
        </w:tc>
        <w:tc>
          <w:tcPr>
            <w:tcW w:w="26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81</w:t>
            </w:r>
          </w:p>
        </w:tc>
        <w:tc>
          <w:tcPr>
            <w:tcW w:w="26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80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1,391</w:t>
            </w:r>
          </w:p>
        </w:tc>
        <w:tc>
          <w:tcPr>
            <w:tcW w:w="12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6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7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1,391</w:t>
            </w:r>
          </w:p>
        </w:tc>
        <w:tc>
          <w:tcPr>
            <w:tcW w:w="26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shd w:val="clear" w:color="auto" w:fill="C0C0C0"/>
          </w:tcPr>
          <w:p>
            <w:pPr>
              <w:spacing w:after="0"/>
              <w:rPr>
                <w:sz w:val="22"/>
                <w:szCs w:val="22"/>
                <w:color w:val="auto"/>
              </w:rPr>
            </w:pPr>
          </w:p>
        </w:tc>
      </w:tr>
      <w:tr>
        <w:trPr>
          <w:trHeight w:val="202"/>
        </w:trPr>
        <w:tc>
          <w:tcPr>
            <w:tcW w:w="3080" w:type="dxa"/>
            <w:vAlign w:val="bottom"/>
          </w:tcPr>
          <w:p>
            <w:pPr>
              <w:spacing w:after="0"/>
              <w:rPr>
                <w:sz w:val="20"/>
                <w:szCs w:val="20"/>
                <w:color w:val="auto"/>
              </w:rPr>
            </w:pPr>
            <w:r>
              <w:rPr>
                <w:rFonts w:ascii="Arial" w:cs="Arial" w:eastAsia="Arial" w:hAnsi="Arial"/>
                <w:sz w:val="14"/>
                <w:szCs w:val="14"/>
                <w:color w:val="auto"/>
              </w:rPr>
              <w:t>Conversion of Class A Stock to Common Stock</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1"/>
        </w:trPr>
        <w:tc>
          <w:tcPr>
            <w:tcW w:w="3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3"/>
        </w:trPr>
        <w:tc>
          <w:tcPr>
            <w:tcW w:w="30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7,654</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7,654</w:t>
            </w:r>
          </w:p>
        </w:tc>
        <w:tc>
          <w:tcPr>
            <w:tcW w:w="26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spacing w:after="0"/>
              <w:rPr>
                <w:sz w:val="19"/>
                <w:szCs w:val="19"/>
                <w:color w:val="auto"/>
              </w:rPr>
            </w:pPr>
          </w:p>
        </w:tc>
      </w:tr>
      <w:tr>
        <w:trPr>
          <w:trHeight w:val="202"/>
        </w:trPr>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(15,388)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(15,388)</w:t>
            </w: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(15,388)</w:t>
            </w:r>
          </w:p>
        </w:tc>
      </w:tr>
      <w:tr>
        <w:trPr>
          <w:trHeight w:val="41"/>
        </w:trPr>
        <w:tc>
          <w:tcPr>
            <w:tcW w:w="3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2"/>
        </w:trPr>
        <w:tc>
          <w:tcPr>
            <w:tcW w:w="3080" w:type="dxa"/>
            <w:vAlign w:val="bottom"/>
            <w:shd w:val="clear" w:color="auto" w:fill="C0C0C0"/>
          </w:tcPr>
          <w:p>
            <w:pPr>
              <w:spacing w:after="0"/>
              <w:rPr>
                <w:sz w:val="20"/>
                <w:szCs w:val="20"/>
                <w:color w:val="auto"/>
              </w:rPr>
            </w:pPr>
            <w:r>
              <w:rPr>
                <w:rFonts w:ascii="Arial" w:cs="Arial" w:eastAsia="Arial" w:hAnsi="Arial"/>
                <w:sz w:val="14"/>
                <w:szCs w:val="14"/>
                <w:color w:val="auto"/>
              </w:rPr>
              <w:t>Change in net unrealized loss on</w:t>
            </w:r>
          </w:p>
        </w:tc>
        <w:tc>
          <w:tcPr>
            <w:tcW w:w="2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r>
      <w:tr>
        <w:trPr>
          <w:trHeight w:val="284"/>
        </w:trPr>
        <w:tc>
          <w:tcPr>
            <w:tcW w:w="308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marketable securities</w:t>
            </w:r>
          </w:p>
        </w:tc>
        <w:tc>
          <w:tcPr>
            <w:tcW w:w="260" w:type="dxa"/>
            <w:vAlign w:val="bottom"/>
            <w:tcBorders>
              <w:bottom w:val="single" w:sz="8" w:color="C0C0C0"/>
            </w:tcBorders>
            <w:shd w:val="clear" w:color="auto" w:fill="C0C0C0"/>
          </w:tcPr>
          <w:p>
            <w:pPr>
              <w:spacing w:after="0"/>
              <w:rPr>
                <w:sz w:val="24"/>
                <w:szCs w:val="24"/>
                <w:color w:val="auto"/>
              </w:rPr>
            </w:pPr>
          </w:p>
        </w:tc>
        <w:tc>
          <w:tcPr>
            <w:tcW w:w="50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6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42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6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280" w:type="dxa"/>
            <w:vAlign w:val="bottom"/>
            <w:tcBorders>
              <w:bottom w:val="single" w:sz="8" w:color="C0C0C0"/>
            </w:tcBorders>
            <w:shd w:val="clear" w:color="auto" w:fill="C0C0C0"/>
          </w:tcPr>
          <w:p>
            <w:pPr>
              <w:spacing w:after="0"/>
              <w:rPr>
                <w:sz w:val="24"/>
                <w:szCs w:val="24"/>
                <w:color w:val="auto"/>
              </w:rPr>
            </w:pPr>
          </w:p>
        </w:tc>
        <w:tc>
          <w:tcPr>
            <w:tcW w:w="66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(1,134)</w:t>
            </w:r>
          </w:p>
        </w:tc>
        <w:tc>
          <w:tcPr>
            <w:tcW w:w="1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(1,134)</w:t>
            </w:r>
          </w:p>
        </w:tc>
        <w:tc>
          <w:tcPr>
            <w:tcW w:w="26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(1,134)</w:t>
            </w:r>
          </w:p>
        </w:tc>
      </w:tr>
      <w:tr>
        <w:trPr>
          <w:trHeight w:val="223"/>
        </w:trPr>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23"/>
        </w:trPr>
        <w:tc>
          <w:tcPr>
            <w:tcW w:w="30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w w:val="98"/>
              </w:rPr>
              <w:t xml:space="preserve">Balance, March 31, 2009 </w:t>
            </w:r>
            <w:r>
              <w:rPr>
                <w:rFonts w:ascii="Arial" w:cs="Arial" w:eastAsia="Arial" w:hAnsi="Arial"/>
                <w:sz w:val="14"/>
                <w:szCs w:val="14"/>
                <w:b w:val="1"/>
                <w:bCs w:val="1"/>
                <w:i w:val="1"/>
                <w:iCs w:val="1"/>
                <w:color w:val="auto"/>
                <w:w w:val="98"/>
              </w:rPr>
              <w:t>(Revised - see Note 8)</w:t>
            </w:r>
          </w:p>
        </w:tc>
        <w:tc>
          <w:tcPr>
            <w:tcW w:w="2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2,247</w:t>
            </w:r>
          </w:p>
        </w:tc>
        <w:tc>
          <w:tcPr>
            <w:tcW w:w="2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3"/>
              </w:rPr>
              <w:t>77,842</w:t>
            </w:r>
          </w:p>
        </w:tc>
        <w:tc>
          <w:tcPr>
            <w:tcW w:w="26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78</w:t>
            </w:r>
          </w:p>
        </w:tc>
        <w:tc>
          <w:tcPr>
            <w:tcW w:w="28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w w:val="86"/>
              </w:rPr>
              <w:t>$ 1,304,896</w:t>
            </w:r>
          </w:p>
        </w:tc>
        <w:tc>
          <w:tcPr>
            <w:tcW w:w="24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w w:val="90"/>
              </w:rPr>
              <w:t>(888,653)</w:t>
            </w:r>
          </w:p>
        </w:tc>
        <w:tc>
          <w:tcPr>
            <w:tcW w:w="14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C0C0C0"/>
            </w:tcBorders>
            <w:gridSpan w:val="2"/>
            <w:shd w:val="clear" w:color="auto" w:fill="C0C0C0"/>
          </w:tcPr>
          <w:p>
            <w:pPr>
              <w:ind w:lef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(1,248)</w:t>
            </w:r>
          </w:p>
        </w:tc>
        <w:tc>
          <w:tcPr>
            <w:tcW w:w="1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415,075</w:t>
            </w:r>
          </w:p>
        </w:tc>
        <w:tc>
          <w:tcPr>
            <w:tcW w:w="460" w:type="dxa"/>
            <w:vAlign w:val="bottom"/>
            <w:tcBorders>
              <w:bottom w:val="single" w:sz="8" w:color="C0C0C0"/>
            </w:tcBorders>
            <w:gridSpan w:val="2"/>
            <w:shd w:val="clear" w:color="auto" w:fill="C0C0C0"/>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(16,522)</w:t>
            </w:r>
          </w:p>
        </w:tc>
      </w:tr>
      <w:tr>
        <w:trPr>
          <w:trHeight w:val="27"/>
        </w:trPr>
        <w:tc>
          <w:tcPr>
            <w:tcW w:w="308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40" w:type="dxa"/>
            <w:vAlign w:val="bottom"/>
          </w:tcPr>
          <w:p>
            <w:pPr>
              <w:spacing w:after="0"/>
              <w:rPr>
                <w:sz w:val="19"/>
                <w:szCs w:val="19"/>
                <w:color w:val="auto"/>
              </w:rPr>
            </w:pPr>
          </w:p>
        </w:tc>
        <w:tc>
          <w:tcPr>
            <w:tcW w:w="24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Three months ended March 31,</w:t>
            </w:r>
          </w:p>
        </w:tc>
        <w:tc>
          <w:tcPr>
            <w:tcW w:w="20" w:type="dxa"/>
            <w:vAlign w:val="bottom"/>
          </w:tcPr>
          <w:p>
            <w:pPr>
              <w:spacing w:after="0"/>
              <w:rPr>
                <w:sz w:val="19"/>
                <w:szCs w:val="19"/>
                <w:color w:val="auto"/>
              </w:rPr>
            </w:pPr>
          </w:p>
        </w:tc>
      </w:tr>
      <w:tr>
        <w:trPr>
          <w:trHeight w:val="252"/>
        </w:trPr>
        <w:tc>
          <w:tcPr>
            <w:tcW w:w="89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2009</w:t>
            </w:r>
          </w:p>
        </w:tc>
        <w:tc>
          <w:tcPr>
            <w:tcW w:w="20" w:type="dxa"/>
            <w:vAlign w:val="bottom"/>
          </w:tcPr>
          <w:p>
            <w:pPr>
              <w:spacing w:after="0"/>
              <w:rPr>
                <w:sz w:val="21"/>
                <w:szCs w:val="21"/>
                <w:color w:val="auto"/>
              </w:rPr>
            </w:pPr>
          </w:p>
        </w:tc>
      </w:tr>
      <w:tr>
        <w:trPr>
          <w:trHeight w:val="228"/>
        </w:trPr>
        <w:tc>
          <w:tcPr>
            <w:tcW w:w="8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i w:val="1"/>
                <w:iCs w:val="1"/>
                <w:color w:val="auto"/>
                <w:w w:val="85"/>
              </w:rPr>
              <w:t>(Revised -</w:t>
            </w:r>
          </w:p>
        </w:tc>
        <w:tc>
          <w:tcPr>
            <w:tcW w:w="20" w:type="dxa"/>
            <w:vAlign w:val="bottom"/>
          </w:tcPr>
          <w:p>
            <w:pPr>
              <w:spacing w:after="0"/>
              <w:rPr>
                <w:sz w:val="19"/>
                <w:szCs w:val="19"/>
                <w:color w:val="auto"/>
              </w:rPr>
            </w:pPr>
          </w:p>
        </w:tc>
      </w:tr>
      <w:tr>
        <w:trPr>
          <w:trHeight w:val="251"/>
        </w:trPr>
        <w:tc>
          <w:tcPr>
            <w:tcW w:w="8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i w:val="1"/>
                <w:iCs w:val="1"/>
                <w:color w:val="auto"/>
                <w:w w:val="83"/>
              </w:rPr>
              <w:t>see Note 8)</w:t>
            </w:r>
          </w:p>
        </w:tc>
        <w:tc>
          <w:tcPr>
            <w:tcW w:w="20" w:type="dxa"/>
            <w:vAlign w:val="bottom"/>
          </w:tcPr>
          <w:p>
            <w:pPr>
              <w:spacing w:after="0"/>
              <w:rPr>
                <w:sz w:val="21"/>
                <w:szCs w:val="21"/>
                <w:color w:val="auto"/>
              </w:rPr>
            </w:pPr>
          </w:p>
        </w:tc>
      </w:tr>
      <w:tr>
        <w:trPr>
          <w:trHeight w:val="251"/>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9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(30,522)</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20"/>
                <w:szCs w:val="20"/>
                <w:color w:val="auto"/>
              </w:rPr>
            </w:pPr>
          </w:p>
        </w:tc>
      </w:tr>
      <w:tr>
        <w:trPr>
          <w:trHeight w:val="214"/>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Adjustments to reconcile net loss to net cash</w:t>
            </w:r>
          </w:p>
        </w:tc>
        <w:tc>
          <w:tcPr>
            <w:tcW w:w="22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9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89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used in operating activities</w:t>
            </w:r>
          </w:p>
        </w:tc>
        <w:tc>
          <w:tcPr>
            <w:tcW w:w="220" w:type="dxa"/>
            <w:vAlign w:val="bottom"/>
            <w:shd w:val="clear" w:color="auto" w:fill="C0C0C0"/>
          </w:tcPr>
          <w:p>
            <w:pPr>
              <w:spacing w:after="0"/>
              <w:rPr>
                <w:sz w:val="22"/>
                <w:szCs w:val="22"/>
                <w:color w:val="auto"/>
              </w:rPr>
            </w:pPr>
          </w:p>
        </w:tc>
        <w:tc>
          <w:tcPr>
            <w:tcW w:w="8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980" w:type="dxa"/>
            <w:vAlign w:val="bottom"/>
            <w:shd w:val="clear" w:color="auto" w:fill="C0C0C0"/>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894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4,183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2,724</w:t>
            </w:r>
          </w:p>
        </w:tc>
        <w:tc>
          <w:tcPr>
            <w:tcW w:w="20" w:type="dxa"/>
            <w:vAlign w:val="bottom"/>
          </w:tcPr>
          <w:p>
            <w:pPr>
              <w:spacing w:after="0"/>
              <w:rPr>
                <w:sz w:val="20"/>
                <w:szCs w:val="20"/>
                <w:color w:val="auto"/>
              </w:rPr>
            </w:pPr>
          </w:p>
        </w:tc>
      </w:tr>
      <w:tr>
        <w:trPr>
          <w:trHeight w:val="251"/>
        </w:trPr>
        <w:tc>
          <w:tcPr>
            <w:tcW w:w="89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Non-cash compensation expense</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8,834</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7,654</w:t>
            </w:r>
          </w:p>
        </w:tc>
        <w:tc>
          <w:tcPr>
            <w:tcW w:w="20" w:type="dxa"/>
            <w:vAlign w:val="bottom"/>
          </w:tcPr>
          <w:p>
            <w:pPr>
              <w:spacing w:after="0"/>
              <w:rPr>
                <w:sz w:val="21"/>
                <w:szCs w:val="21"/>
                <w:color w:val="auto"/>
              </w:rPr>
            </w:pPr>
          </w:p>
        </w:tc>
      </w:tr>
      <w:tr>
        <w:trPr>
          <w:trHeight w:val="235"/>
        </w:trPr>
        <w:tc>
          <w:tcPr>
            <w:tcW w:w="8940" w:type="dxa"/>
            <w:vAlign w:val="bottom"/>
          </w:tcPr>
          <w:p>
            <w:pPr>
              <w:ind w:left="620"/>
              <w:spacing w:after="0"/>
              <w:rPr>
                <w:sz w:val="20"/>
                <w:szCs w:val="20"/>
                <w:color w:val="auto"/>
              </w:rPr>
            </w:pPr>
            <w:r>
              <w:rPr>
                <w:rFonts w:ascii="Arial" w:cs="Arial" w:eastAsia="Arial" w:hAnsi="Arial"/>
                <w:sz w:val="18"/>
                <w:szCs w:val="18"/>
                <w:color w:val="auto"/>
              </w:rPr>
              <w:t>Other non-cash charges and expenses</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89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940" w:type="dxa"/>
            <w:vAlign w:val="bottom"/>
          </w:tcPr>
          <w:p>
            <w:pPr>
              <w:ind w:left="960"/>
              <w:spacing w:after="0"/>
              <w:rPr>
                <w:sz w:val="20"/>
                <w:szCs w:val="20"/>
                <w:color w:val="auto"/>
              </w:rPr>
            </w:pPr>
            <w:r>
              <w:rPr>
                <w:rFonts w:ascii="Arial" w:cs="Arial" w:eastAsia="Arial" w:hAnsi="Arial"/>
                <w:sz w:val="18"/>
                <w:szCs w:val="18"/>
                <w:color w:val="auto"/>
              </w:rPr>
              <w:t>Increase in accounts receivable</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(6,290)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(12,997)</w:t>
            </w:r>
          </w:p>
        </w:tc>
        <w:tc>
          <w:tcPr>
            <w:tcW w:w="20" w:type="dxa"/>
            <w:vAlign w:val="bottom"/>
          </w:tcPr>
          <w:p>
            <w:pPr>
              <w:spacing w:after="0"/>
              <w:rPr>
                <w:sz w:val="20"/>
                <w:szCs w:val="20"/>
                <w:color w:val="auto"/>
              </w:rPr>
            </w:pPr>
          </w:p>
        </w:tc>
      </w:tr>
      <w:tr>
        <w:trPr>
          <w:trHeight w:val="251"/>
        </w:trPr>
        <w:tc>
          <w:tcPr>
            <w:tcW w:w="8940" w:type="dxa"/>
            <w:vAlign w:val="bottom"/>
            <w:shd w:val="clear" w:color="auto" w:fill="C0C0C0"/>
          </w:tcPr>
          <w:p>
            <w:pPr>
              <w:ind w:left="960"/>
              <w:spacing w:after="0"/>
              <w:rPr>
                <w:sz w:val="20"/>
                <w:szCs w:val="20"/>
                <w:color w:val="auto"/>
              </w:rPr>
            </w:pPr>
            <w:r>
              <w:rPr>
                <w:rFonts w:ascii="Arial" w:cs="Arial" w:eastAsia="Arial" w:hAnsi="Arial"/>
                <w:sz w:val="18"/>
                <w:szCs w:val="18"/>
                <w:color w:val="auto"/>
              </w:rPr>
              <w:t>Increase in prepaid expenses and other assets</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(2,483)</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(8,611)</w:t>
            </w:r>
          </w:p>
        </w:tc>
        <w:tc>
          <w:tcPr>
            <w:tcW w:w="20" w:type="dxa"/>
            <w:vAlign w:val="bottom"/>
          </w:tcPr>
          <w:p>
            <w:pPr>
              <w:spacing w:after="0"/>
              <w:rPr>
                <w:sz w:val="21"/>
                <w:szCs w:val="21"/>
                <w:color w:val="auto"/>
              </w:rPr>
            </w:pPr>
          </w:p>
        </w:tc>
      </w:tr>
      <w:tr>
        <w:trPr>
          <w:trHeight w:val="235"/>
        </w:trPr>
        <w:tc>
          <w:tcPr>
            <w:tcW w:w="8940" w:type="dxa"/>
            <w:vAlign w:val="bottom"/>
          </w:tcPr>
          <w:p>
            <w:pPr>
              <w:ind w:left="960"/>
              <w:spacing w:after="0"/>
              <w:rPr>
                <w:sz w:val="20"/>
                <w:szCs w:val="20"/>
                <w:color w:val="auto"/>
              </w:rPr>
            </w:pPr>
            <w:r>
              <w:rPr>
                <w:rFonts w:ascii="Arial" w:cs="Arial" w:eastAsia="Arial" w:hAnsi="Arial"/>
                <w:sz w:val="18"/>
                <w:szCs w:val="18"/>
                <w:color w:val="auto"/>
              </w:rPr>
              <w:t>Increase in deferred revenue</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3,513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3,194</w:t>
            </w:r>
          </w:p>
        </w:tc>
        <w:tc>
          <w:tcPr>
            <w:tcW w:w="20" w:type="dxa"/>
            <w:vAlign w:val="bottom"/>
          </w:tcPr>
          <w:p>
            <w:pPr>
              <w:spacing w:after="0"/>
              <w:rPr>
                <w:sz w:val="20"/>
                <w:szCs w:val="20"/>
                <w:color w:val="auto"/>
              </w:rPr>
            </w:pPr>
          </w:p>
        </w:tc>
      </w:tr>
      <w:tr>
        <w:trPr>
          <w:trHeight w:val="235"/>
        </w:trPr>
        <w:tc>
          <w:tcPr>
            <w:tcW w:w="8940" w:type="dxa"/>
            <w:vAlign w:val="bottom"/>
            <w:shd w:val="clear" w:color="auto" w:fill="C0C0C0"/>
          </w:tcPr>
          <w:p>
            <w:pPr>
              <w:ind w:left="960"/>
              <w:spacing w:after="0"/>
              <w:rPr>
                <w:sz w:val="20"/>
                <w:szCs w:val="20"/>
                <w:color w:val="auto"/>
              </w:rPr>
            </w:pPr>
            <w:r>
              <w:rPr>
                <w:rFonts w:ascii="Arial" w:cs="Arial" w:eastAsia="Arial" w:hAnsi="Arial"/>
                <w:sz w:val="18"/>
                <w:szCs w:val="18"/>
                <w:color w:val="auto"/>
              </w:rPr>
              <w:t>Increase in accounts payable, accrued expenses,</w:t>
            </w:r>
          </w:p>
        </w:tc>
        <w:tc>
          <w:tcPr>
            <w:tcW w:w="22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8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8940" w:type="dxa"/>
            <w:vAlign w:val="bottom"/>
            <w:shd w:val="clear" w:color="auto" w:fill="C0C0C0"/>
          </w:tcPr>
          <w:p>
            <w:pPr>
              <w:ind w:left="1240"/>
              <w:spacing w:after="0"/>
              <w:rPr>
                <w:sz w:val="20"/>
                <w:szCs w:val="20"/>
                <w:color w:val="auto"/>
              </w:rPr>
            </w:pPr>
            <w:r>
              <w:rPr>
                <w:rFonts w:ascii="Arial" w:cs="Arial" w:eastAsia="Arial" w:hAnsi="Arial"/>
                <w:sz w:val="18"/>
                <w:szCs w:val="18"/>
                <w:color w:val="auto"/>
              </w:rPr>
              <w:t>and other liabilities</w:t>
            </w:r>
          </w:p>
        </w:tc>
        <w:tc>
          <w:tcPr>
            <w:tcW w:w="220" w:type="dxa"/>
            <w:vAlign w:val="bottom"/>
            <w:tcBorders>
              <w:bottom w:val="single" w:sz="8" w:color="auto"/>
            </w:tcBorders>
            <w:shd w:val="clear" w:color="auto" w:fill="C0C0C0"/>
          </w:tcPr>
          <w:p>
            <w:pPr>
              <w:spacing w:after="0"/>
              <w:rPr>
                <w:sz w:val="22"/>
                <w:szCs w:val="22"/>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12,294</w:t>
            </w:r>
          </w:p>
        </w:tc>
        <w:tc>
          <w:tcPr>
            <w:tcW w:w="280" w:type="dxa"/>
            <w:vAlign w:val="bottom"/>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spacing w:after="0"/>
              <w:rPr>
                <w:sz w:val="22"/>
                <w:szCs w:val="22"/>
                <w:color w:val="auto"/>
              </w:rPr>
            </w:pP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8,043</w:t>
            </w:r>
          </w:p>
        </w:tc>
        <w:tc>
          <w:tcPr>
            <w:tcW w:w="20" w:type="dxa"/>
            <w:vAlign w:val="bottom"/>
          </w:tcPr>
          <w:p>
            <w:pPr>
              <w:spacing w:after="0"/>
              <w:rPr>
                <w:sz w:val="22"/>
                <w:szCs w:val="22"/>
                <w:color w:val="auto"/>
              </w:rPr>
            </w:pPr>
          </w:p>
        </w:tc>
      </w:tr>
      <w:tr>
        <w:trPr>
          <w:trHeight w:val="230"/>
        </w:trPr>
        <w:tc>
          <w:tcPr>
            <w:tcW w:w="8940" w:type="dxa"/>
            <w:vAlign w:val="bottom"/>
            <w:tcBorders>
              <w:bottom w:val="single" w:sz="8" w:color="C0C0C0"/>
            </w:tcBorders>
          </w:tcPr>
          <w:p>
            <w:pPr>
              <w:ind w:left="1540"/>
              <w:spacing w:after="0"/>
              <w:rPr>
                <w:sz w:val="20"/>
                <w:szCs w:val="20"/>
                <w:color w:val="auto"/>
              </w:rPr>
            </w:pPr>
            <w:r>
              <w:rPr>
                <w:rFonts w:ascii="Arial" w:cs="Arial" w:eastAsia="Arial" w:hAnsi="Arial"/>
                <w:sz w:val="18"/>
                <w:szCs w:val="18"/>
                <w:color w:val="auto"/>
              </w:rPr>
              <w:t>Total adjustments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20,521</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r>
      <w:tr>
        <w:trPr>
          <w:trHeight w:val="237"/>
        </w:trPr>
        <w:tc>
          <w:tcPr>
            <w:tcW w:w="8940" w:type="dxa"/>
            <w:vAlign w:val="bottom"/>
            <w:shd w:val="clear" w:color="auto" w:fill="C0C0C0"/>
          </w:tcPr>
          <w:p>
            <w:pPr>
              <w:ind w:left="15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(10,001)</w:t>
            </w:r>
          </w:p>
        </w:tc>
        <w:tc>
          <w:tcPr>
            <w:tcW w:w="28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(15,381)</w:t>
            </w:r>
          </w:p>
        </w:tc>
        <w:tc>
          <w:tcPr>
            <w:tcW w:w="20" w:type="dxa"/>
            <w:vAlign w:val="bottom"/>
          </w:tcPr>
          <w:p>
            <w:pPr>
              <w:spacing w:after="0"/>
              <w:rPr>
                <w:sz w:val="20"/>
                <w:szCs w:val="20"/>
                <w:color w:val="auto"/>
              </w:rPr>
            </w:pPr>
          </w:p>
        </w:tc>
      </w:tr>
      <w:tr>
        <w:trPr>
          <w:trHeight w:val="230"/>
        </w:trPr>
        <w:tc>
          <w:tcPr>
            <w:tcW w:w="8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94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(177,594)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(100,315)</w:t>
            </w:r>
          </w:p>
        </w:tc>
        <w:tc>
          <w:tcPr>
            <w:tcW w:w="20" w:type="dxa"/>
            <w:vAlign w:val="bottom"/>
          </w:tcPr>
          <w:p>
            <w:pPr>
              <w:spacing w:after="0"/>
              <w:rPr>
                <w:sz w:val="20"/>
                <w:szCs w:val="20"/>
                <w:color w:val="auto"/>
              </w:rPr>
            </w:pPr>
          </w:p>
        </w:tc>
      </w:tr>
      <w:tr>
        <w:trPr>
          <w:trHeight w:val="251"/>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Sales or maturities of marketable securities</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64,359</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82,694</w:t>
            </w:r>
          </w:p>
        </w:tc>
        <w:tc>
          <w:tcPr>
            <w:tcW w:w="20" w:type="dxa"/>
            <w:vAlign w:val="bottom"/>
          </w:tcPr>
          <w:p>
            <w:pPr>
              <w:spacing w:after="0"/>
              <w:rPr>
                <w:sz w:val="21"/>
                <w:szCs w:val="21"/>
                <w:color w:val="auto"/>
              </w:rPr>
            </w:pPr>
          </w:p>
        </w:tc>
      </w:tr>
      <w:tr>
        <w:trPr>
          <w:trHeight w:val="237"/>
        </w:trPr>
        <w:tc>
          <w:tcPr>
            <w:tcW w:w="89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(22,743)</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(21,917)</w:t>
            </w:r>
          </w:p>
        </w:tc>
        <w:tc>
          <w:tcPr>
            <w:tcW w:w="20" w:type="dxa"/>
            <w:vAlign w:val="bottom"/>
          </w:tcPr>
          <w:p>
            <w:pPr>
              <w:spacing w:after="0"/>
              <w:rPr>
                <w:sz w:val="20"/>
                <w:szCs w:val="20"/>
                <w:color w:val="auto"/>
              </w:rPr>
            </w:pPr>
          </w:p>
        </w:tc>
      </w:tr>
      <w:tr>
        <w:trPr>
          <w:trHeight w:val="237"/>
        </w:trPr>
        <w:tc>
          <w:tcPr>
            <w:tcW w:w="8940" w:type="dxa"/>
            <w:vAlign w:val="bottom"/>
            <w:shd w:val="clear" w:color="auto" w:fill="C0C0C0"/>
          </w:tcPr>
          <w:p>
            <w:pPr>
              <w:ind w:left="15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(135,978)</w:t>
            </w:r>
          </w:p>
        </w:tc>
        <w:tc>
          <w:tcPr>
            <w:tcW w:w="28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(39,538)</w:t>
            </w:r>
          </w:p>
        </w:tc>
        <w:tc>
          <w:tcPr>
            <w:tcW w:w="20" w:type="dxa"/>
            <w:vAlign w:val="bottom"/>
          </w:tcPr>
          <w:p>
            <w:pPr>
              <w:spacing w:after="0"/>
              <w:rPr>
                <w:sz w:val="20"/>
                <w:szCs w:val="20"/>
                <w:color w:val="auto"/>
              </w:rPr>
            </w:pPr>
          </w:p>
        </w:tc>
      </w:tr>
      <w:tr>
        <w:trPr>
          <w:trHeight w:val="230"/>
        </w:trPr>
        <w:tc>
          <w:tcPr>
            <w:tcW w:w="8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8940" w:type="dxa"/>
            <w:vAlign w:val="bottom"/>
          </w:tcPr>
          <w:p>
            <w:pPr>
              <w:ind w:left="320"/>
              <w:spacing w:after="0"/>
              <w:rPr>
                <w:sz w:val="20"/>
                <w:szCs w:val="20"/>
                <w:color w:val="auto"/>
              </w:rPr>
            </w:pPr>
            <w:r>
              <w:rPr>
                <w:rFonts w:ascii="Arial" w:cs="Arial" w:eastAsia="Arial" w:hAnsi="Arial"/>
                <w:sz w:val="18"/>
                <w:szCs w:val="18"/>
                <w:color w:val="auto"/>
              </w:rPr>
              <w:t>Proceeds in connection with facility lease obligations</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47,544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5,182</w:t>
            </w:r>
          </w:p>
        </w:tc>
        <w:tc>
          <w:tcPr>
            <w:tcW w:w="20" w:type="dxa"/>
            <w:vAlign w:val="bottom"/>
          </w:tcPr>
          <w:p>
            <w:pPr>
              <w:spacing w:after="0"/>
              <w:rPr>
                <w:sz w:val="20"/>
                <w:szCs w:val="20"/>
                <w:color w:val="auto"/>
              </w:rPr>
            </w:pPr>
          </w:p>
        </w:tc>
      </w:tr>
      <w:tr>
        <w:trPr>
          <w:trHeight w:val="251"/>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Payments in connection with facility lease obligations</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(555)</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9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Net proceeds from the issuance of Common Stock</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9,226</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20"/>
                <w:szCs w:val="20"/>
                <w:color w:val="auto"/>
              </w:rPr>
            </w:pPr>
          </w:p>
        </w:tc>
      </w:tr>
      <w:tr>
        <w:trPr>
          <w:trHeight w:val="237"/>
        </w:trPr>
        <w:tc>
          <w:tcPr>
            <w:tcW w:w="8940" w:type="dxa"/>
            <w:vAlign w:val="bottom"/>
            <w:shd w:val="clear" w:color="auto" w:fill="C0C0C0"/>
          </w:tcPr>
          <w:p>
            <w:pPr>
              <w:ind w:left="15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56,215</w:t>
            </w:r>
          </w:p>
        </w:tc>
        <w:tc>
          <w:tcPr>
            <w:tcW w:w="28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6,220</w:t>
            </w:r>
          </w:p>
        </w:tc>
        <w:tc>
          <w:tcPr>
            <w:tcW w:w="20" w:type="dxa"/>
            <w:vAlign w:val="bottom"/>
          </w:tcPr>
          <w:p>
            <w:pPr>
              <w:spacing w:after="0"/>
              <w:rPr>
                <w:sz w:val="20"/>
                <w:szCs w:val="20"/>
                <w:color w:val="auto"/>
              </w:rPr>
            </w:pPr>
          </w:p>
        </w:tc>
      </w:tr>
      <w:tr>
        <w:trPr>
          <w:trHeight w:val="230"/>
        </w:trPr>
        <w:tc>
          <w:tcPr>
            <w:tcW w:w="8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(89,764)</w:t>
            </w:r>
          </w:p>
        </w:tc>
        <w:tc>
          <w:tcPr>
            <w:tcW w:w="2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(48,699)</w:t>
            </w:r>
          </w:p>
        </w:tc>
        <w:tc>
          <w:tcPr>
            <w:tcW w:w="20" w:type="dxa"/>
            <w:vAlign w:val="bottom"/>
          </w:tcPr>
          <w:p>
            <w:pPr>
              <w:spacing w:after="0"/>
              <w:rPr>
                <w:sz w:val="21"/>
                <w:szCs w:val="21"/>
                <w:color w:val="auto"/>
              </w:rPr>
            </w:pPr>
          </w:p>
        </w:tc>
      </w:tr>
      <w:tr>
        <w:trPr>
          <w:trHeight w:val="243"/>
        </w:trPr>
        <w:tc>
          <w:tcPr>
            <w:tcW w:w="8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0C0C0"/>
          </w:tcPr>
          <w:p>
            <w:pPr>
              <w:spacing w:after="0"/>
              <w:rPr>
                <w:sz w:val="20"/>
                <w:szCs w:val="20"/>
                <w:color w:val="auto"/>
              </w:rPr>
            </w:pP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207,075</w:t>
            </w:r>
          </w:p>
        </w:tc>
        <w:tc>
          <w:tcPr>
            <w:tcW w:w="28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247,796</w:t>
            </w:r>
          </w:p>
        </w:tc>
        <w:tc>
          <w:tcPr>
            <w:tcW w:w="20" w:type="dxa"/>
            <w:vAlign w:val="bottom"/>
          </w:tcPr>
          <w:p>
            <w:pPr>
              <w:spacing w:after="0"/>
              <w:rPr>
                <w:sz w:val="20"/>
                <w:szCs w:val="20"/>
                <w:color w:val="auto"/>
              </w:rPr>
            </w:pPr>
          </w:p>
        </w:tc>
      </w:tr>
      <w:tr>
        <w:trPr>
          <w:trHeight w:val="230"/>
        </w:trPr>
        <w:tc>
          <w:tcPr>
            <w:tcW w:w="8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2"/>
        </w:trPr>
        <w:tc>
          <w:tcPr>
            <w:tcW w:w="89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117,311</w:t>
            </w:r>
          </w:p>
        </w:tc>
        <w:tc>
          <w:tcPr>
            <w:tcW w:w="28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199,097</w:t>
            </w:r>
          </w:p>
        </w:tc>
        <w:tc>
          <w:tcPr>
            <w:tcW w:w="20" w:type="dxa"/>
            <w:vAlign w:val="bottom"/>
          </w:tcPr>
          <w:p>
            <w:pPr>
              <w:spacing w:after="0"/>
              <w:rPr>
                <w:sz w:val="22"/>
                <w:szCs w:val="22"/>
                <w:color w:val="auto"/>
              </w:rPr>
            </w:pPr>
          </w:p>
        </w:tc>
      </w:tr>
      <w:tr>
        <w:trPr>
          <w:trHeight w:val="445"/>
        </w:trPr>
        <w:tc>
          <w:tcPr>
            <w:tcW w:w="8940" w:type="dxa"/>
            <w:vAlign w:val="bottom"/>
          </w:tcPr>
          <w:p>
            <w:pPr>
              <w:ind w:left="3000"/>
              <w:spacing w:after="0"/>
              <w:rPr>
                <w:sz w:val="20"/>
                <w:szCs w:val="20"/>
                <w:color w:val="auto"/>
              </w:rPr>
            </w:pPr>
            <w:r>
              <w:rPr>
                <w:rFonts w:ascii="Arial" w:cs="Arial" w:eastAsia="Arial" w:hAnsi="Arial"/>
                <w:sz w:val="18"/>
                <w:szCs w:val="18"/>
                <w:b w:val="1"/>
                <w:bCs w:val="1"/>
                <w:color w:val="auto"/>
                <w:w w:val="95"/>
              </w:rPr>
              <w:t>The accompanying notes are an integral part of the financial statements.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89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457"/>
        </w:trPr>
        <w:tc>
          <w:tcPr>
            <w:tcW w:w="8940" w:type="dxa"/>
            <w:vAlign w:val="bottom"/>
          </w:tcPr>
          <w:p>
            <w:pPr>
              <w:ind w:left="56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89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2009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2009. In addition, the previously issued condensed statements of operations, stockholders’ equity, and cash flows for the three months ended March 31, 2009, contained in the Company’s Quarterly Report on Form 10-Q for the period ended March 31, 2009, have been revised in this Quarterly Report on Form 10-Q with respect to the Company’s December 2006 lease of office and laboratory facilities in Tarrytown, New York by applying authoritative guidance issued by the Financial Accounting Standards Board (FASB). See Note 8 below.</w:t>
      </w:r>
    </w:p>
    <w:p>
      <w:pPr>
        <w:spacing w:after="0" w:line="232"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Effective in the first quarter of 2010, the estimated useful lives of certain capitalized laboratory and other equipment, which is a component of property, plant, and equipment, was extended. The effect of this change in estimate was to lower depreciation expense by $1.0 million and to lower the Company’s net loss per share by $0.01 for the three months ended March 31,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(rilonacept) Product Revenue</w:t>
      </w:r>
    </w:p>
    <w:p>
      <w:pPr>
        <w:spacing w:after="0" w:line="214" w:lineRule="exact"/>
        <w:rPr>
          <w:sz w:val="20"/>
          <w:szCs w:val="20"/>
          <w:color w:val="auto"/>
        </w:rPr>
      </w:pPr>
    </w:p>
    <w:p>
      <w:pPr>
        <w:jc w:val="both"/>
        <w:ind w:firstLine="297"/>
        <w:spacing w:after="0" w:line="211" w:lineRule="auto"/>
        <w:rPr>
          <w:sz w:val="20"/>
          <w:szCs w:val="20"/>
          <w:color w:val="auto"/>
        </w:rPr>
      </w:pPr>
      <w:r>
        <w:rPr>
          <w:rFonts w:ascii="Arial" w:cs="Arial" w:eastAsia="Arial" w:hAnsi="Arial"/>
          <w:sz w:val="17"/>
          <w:szCs w:val="17"/>
          <w:color w:val="auto"/>
        </w:rPr>
        <w:t>In February 2008, the Company received marketing approval from the U.S. Food and Drug Administration (“FDA”)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for the treatment of Cryopyrin-Associated Periodic Syndromes (“CAPS”). The Company had limited historical return experience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beginning with initial sales in 2008 through the end of 2009; therefore,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As a result, for the three months ended March 31, 2010, the Company recognized as revenue $9.9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which included $5.1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made during the quarter and $4.8 million of previously deferred net product sales. For the three months ended March 31, 2009, the Company recognized as revenue $3.9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There was no deferred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revenue at March 31, 2010. At March 31, 2009, deferred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revenue was $4.2 million. The effect of this change in estimate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revenue was to lower the Company’s net loss per share by $0.06 for the three months ended March 31, 2010.</w:t>
      </w:r>
    </w:p>
    <w:p>
      <w:pPr>
        <w:spacing w:after="0" w:line="271" w:lineRule="exact"/>
        <w:rPr>
          <w:sz w:val="20"/>
          <w:szCs w:val="20"/>
          <w:color w:val="auto"/>
        </w:rPr>
      </w:pPr>
    </w:p>
    <w:p>
      <w:pPr>
        <w:jc w:val="both"/>
        <w:ind w:firstLine="365"/>
        <w:spacing w:after="0" w:line="199" w:lineRule="auto"/>
        <w:rPr>
          <w:sz w:val="20"/>
          <w:szCs w:val="20"/>
          <w:color w:val="auto"/>
        </w:rPr>
      </w:pPr>
      <w:r>
        <w:rPr>
          <w:rFonts w:ascii="Arial" w:cs="Arial" w:eastAsia="Arial" w:hAnsi="Arial"/>
          <w:sz w:val="18"/>
          <w:szCs w:val="18"/>
          <w:color w:val="auto"/>
        </w:rPr>
        <w:t>Cost of goods sold related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sales, which consisted primarily of royalties, totaled $0.7 million and $0.4 million for the three months ended March 31, 2010 and 2009, respectively. To date,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shipments to the Company’s customers have consisted of supplies of inventory manufactured and expensed prior to FDA approval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therefore, the costs of these supplies were not included in costs of goods sold. At both March 31, 2010 and December 31, 2009, the Company had $0.4 million of inventoried work-in-process costs related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which is included in prepaid expenses and other current assets.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285"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months ended March 31, 2010 and 2009,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37"/>
        </w:trPr>
        <w:tc>
          <w:tcPr>
            <w:tcW w:w="5220" w:type="dxa"/>
            <w:vAlign w:val="bottom"/>
            <w:tcBorders>
              <w:bottom w:val="single" w:sz="8" w:color="C0C0C0"/>
            </w:tcBorders>
          </w:tcPr>
          <w:p>
            <w:pPr>
              <w:spacing w:after="0"/>
              <w:rPr>
                <w:sz w:val="20"/>
                <w:szCs w:val="20"/>
                <w:color w:val="auto"/>
              </w:rPr>
            </w:pPr>
          </w:p>
        </w:tc>
        <w:tc>
          <w:tcPr>
            <w:tcW w:w="140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r>
      <w:tr>
        <w:trPr>
          <w:trHeight w:val="243"/>
        </w:trPr>
        <w:tc>
          <w:tcPr>
            <w:tcW w:w="522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16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(30,522)</w:t>
            </w:r>
          </w:p>
        </w:tc>
        <w:tc>
          <w:tcPr>
            <w:tcW w:w="5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(15,388)</w:t>
            </w:r>
          </w:p>
        </w:tc>
      </w:tr>
      <w:tr>
        <w:trPr>
          <w:trHeight w:val="243"/>
        </w:trPr>
        <w:tc>
          <w:tcPr>
            <w:tcW w:w="5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22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14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81,169</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79,498</w:t>
            </w:r>
          </w:p>
        </w:tc>
      </w:tr>
      <w:tr>
        <w:trPr>
          <w:trHeight w:val="243"/>
        </w:trPr>
        <w:tc>
          <w:tcPr>
            <w:tcW w:w="5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22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164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(0.38)</w:t>
            </w:r>
          </w:p>
        </w:tc>
        <w:tc>
          <w:tcPr>
            <w:tcW w:w="5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(0.19)</w:t>
            </w:r>
          </w:p>
        </w:tc>
      </w:tr>
    </w:tbl>
    <w:p>
      <w:pPr>
        <w:spacing w:after="0" w:line="262"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Shares issuable upon the exercise of stock options and vesting of restricted stock awards, which have been excluded from the March 31, 2010 and 2009 diluted per share amounts because their effect would have been antidilutive, include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9"/>
              </w:rPr>
              <w:t>Three months ended March 31,</w:t>
            </w:r>
          </w:p>
        </w:tc>
      </w:tr>
      <w:tr>
        <w:trPr>
          <w:trHeight w:val="237"/>
        </w:trPr>
        <w:tc>
          <w:tcPr>
            <w:tcW w:w="4880" w:type="dxa"/>
            <w:vAlign w:val="bottom"/>
            <w:tcBorders>
              <w:bottom w:val="single" w:sz="8" w:color="C0C0C0"/>
            </w:tcBorders>
          </w:tcPr>
          <w:p>
            <w:pPr>
              <w:spacing w:after="0"/>
              <w:rPr>
                <w:sz w:val="20"/>
                <w:szCs w:val="20"/>
                <w:color w:val="auto"/>
              </w:rPr>
            </w:pPr>
          </w:p>
        </w:tc>
        <w:tc>
          <w:tcPr>
            <w:tcW w:w="17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r>
      <w:tr>
        <w:trPr>
          <w:trHeight w:val="243"/>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17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488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20,216</w:t>
            </w:r>
          </w:p>
        </w:tc>
      </w:tr>
      <w:tr>
        <w:trPr>
          <w:trHeight w:val="251"/>
        </w:trPr>
        <w:tc>
          <w:tcPr>
            <w:tcW w:w="48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 average exercise price</w:t>
            </w:r>
          </w:p>
        </w:tc>
        <w:tc>
          <w:tcPr>
            <w:tcW w:w="200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18.59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17.55</w:t>
            </w:r>
          </w:p>
        </w:tc>
      </w:tr>
      <w:tr>
        <w:trPr>
          <w:trHeight w:val="243"/>
        </w:trPr>
        <w:tc>
          <w:tcPr>
            <w:tcW w:w="4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17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28"/>
        </w:trPr>
        <w:tc>
          <w:tcPr>
            <w:tcW w:w="4880" w:type="dxa"/>
            <w:vAlign w:val="bottom"/>
          </w:tcPr>
          <w:p>
            <w:pPr>
              <w:ind w:left="320"/>
              <w:spacing w:after="0"/>
              <w:rPr>
                <w:sz w:val="20"/>
                <w:szCs w:val="20"/>
                <w:color w:val="auto"/>
              </w:rPr>
            </w:pPr>
            <w:r>
              <w:rPr>
                <w:rFonts w:ascii="Arial" w:cs="Arial" w:eastAsia="Arial" w:hAnsi="Arial"/>
                <w:sz w:val="18"/>
                <w:szCs w:val="18"/>
                <w:color w:val="auto"/>
              </w:rPr>
              <w:t>Weighted average number, in thousands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79"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Included in accounts payable and accrued expenses at March 31, 2010 and December 31, 2009 were $5.4 million and $9.8 million, respectively, of accrued capital expenditures. Included in accounts payable and accrued expenses at March 31, 2009 and December 31, 2008 were $9.8 million and $7.0 million, respectively, of accrued capital expenditures.</w:t>
      </w:r>
    </w:p>
    <w:p>
      <w:pPr>
        <w:spacing w:after="0" w:line="248"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Included in accounts payable and accrued expenses at December 31, 2009 and 2008 were $2.6 million and $1.5 million, respectively, of accrued Company 401(k) Savings Plan contribution expense. In the first quarter of 2010 and 2009, the Company contributed 111,419 and 81,086 shares, respectively, of Common Stock to the 401(k) Savings Plan in satisfaction of these obligations.</w:t>
      </w:r>
    </w:p>
    <w:p>
      <w:pPr>
        <w:spacing w:after="0" w:line="248" w:lineRule="exact"/>
        <w:rPr>
          <w:sz w:val="20"/>
          <w:szCs w:val="20"/>
          <w:color w:val="auto"/>
        </w:rPr>
      </w:pPr>
    </w:p>
    <w:p>
      <w:pPr>
        <w:jc w:val="both"/>
        <w:ind w:firstLine="338"/>
        <w:spacing w:after="0" w:line="306" w:lineRule="auto"/>
        <w:rPr>
          <w:sz w:val="20"/>
          <w:szCs w:val="20"/>
          <w:color w:val="auto"/>
        </w:rPr>
      </w:pPr>
      <w:r>
        <w:rPr>
          <w:rFonts w:ascii="Arial" w:cs="Arial" w:eastAsia="Arial" w:hAnsi="Arial"/>
          <w:sz w:val="16"/>
          <w:szCs w:val="16"/>
          <w:color w:val="auto"/>
        </w:rPr>
        <w:t>Pursuant to the application of authoritative guidance issued by the Financial Accounting Standards Board (“FASB”) to the Company’s lease of office and laboratory facilities in Tarrytown, New York (see Note 8), the Company recognized a facility lease obligation of $0.6 million for the three months ended March 31, 2009, in connection with capitalizing, on the Company’s books, the landlord’s costs of constructing new facilities that the Company has leased.</w:t>
      </w:r>
    </w:p>
    <w:p>
      <w:pPr>
        <w:spacing w:after="0" w:line="21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Included in facility lease obligations and property, plant, and equipment at March 31, 2010 was $0.8 million of capitalized and deferred interest for the quarter ended March 31, 2010, as the related facilities being leased by the Company are currently under construction and lease payments on these facilities do not commence until January 2011.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73"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Included in other assets at March 31, 2010 and December 31, 2009 were $0.1 million and $0.7 million, respectively, due to the Company in connection with employee exercises of stock options.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Included in marketable securities at March 31, 2010 and December 31, 2009 were $1.3 million and $0.6 million, respectively, of accrued interest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Included in marketable securities at March 31, 2009 and December 31, 2008 were $2.5 million and $1.7 million, respectively, of accrued interest income.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5" w:lineRule="exact"/>
        <w:rPr>
          <w:sz w:val="20"/>
          <w:szCs w:val="20"/>
          <w:color w:val="auto"/>
        </w:rPr>
      </w:pPr>
    </w:p>
    <w:p>
      <w:pPr>
        <w:jc w:val="both"/>
        <w:ind w:right="20" w:firstLine="284"/>
        <w:spacing w:after="0" w:line="291" w:lineRule="auto"/>
        <w:rPr>
          <w:sz w:val="20"/>
          <w:szCs w:val="20"/>
          <w:color w:val="auto"/>
        </w:rPr>
      </w:pPr>
      <w:r>
        <w:rPr>
          <w:rFonts w:ascii="Arial" w:cs="Arial" w:eastAsia="Arial" w:hAnsi="Arial"/>
          <w:sz w:val="16"/>
          <w:szCs w:val="16"/>
          <w:color w:val="auto"/>
        </w:rPr>
        <w:t>Marketable securities at March 31, 2010 and December 31, 2009 consisted of debt securities, as detailed below, and equity securities, the aggregate fair value of which was $4.8 million and $5.5 million at March 31, 2010 and December 31, 2009, respectively, and the aggregate cost basis of which was $4.0 million at both March 31, 2010 and December 31, 2009. The following tables summarize the amortized cost basis of debt securities included in marketable securities, the aggregate fair value of those securities, and gross unrealized gains and losses on those securities at March 31, 2010 and December 31, 2009.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Amortized</w:t>
            </w:r>
          </w:p>
        </w:tc>
        <w:tc>
          <w:tcPr>
            <w:tcW w:w="14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Fair</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18"/>
                <w:szCs w:val="18"/>
                <w:b w:val="1"/>
                <w:bCs w:val="1"/>
                <w:color w:val="auto"/>
              </w:rPr>
              <w:t>At March 31, 2010</w:t>
            </w:r>
          </w:p>
        </w:tc>
        <w:tc>
          <w:tcPr>
            <w:tcW w:w="266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Cost Basis</w:t>
            </w:r>
          </w:p>
        </w:tc>
        <w:tc>
          <w:tcPr>
            <w:tcW w:w="14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Gains</w:t>
            </w:r>
          </w:p>
        </w:tc>
        <w:tc>
          <w:tcPr>
            <w:tcW w:w="260" w:type="dxa"/>
            <w:vAlign w:val="bottom"/>
          </w:tcPr>
          <w:p>
            <w:pPr>
              <w:spacing w:after="0"/>
              <w:rPr>
                <w:sz w:val="20"/>
                <w:szCs w:val="20"/>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b w:val="1"/>
                <w:bCs w:val="1"/>
                <w:color w:val="auto"/>
                <w:w w:val="96"/>
              </w:rPr>
              <w:t>Net</w:t>
            </w:r>
          </w:p>
        </w:tc>
        <w:tc>
          <w:tcPr>
            <w:tcW w:w="20" w:type="dxa"/>
            <w:vAlign w:val="bottom"/>
          </w:tcPr>
          <w:p>
            <w:pPr>
              <w:spacing w:after="0"/>
              <w:rPr>
                <w:sz w:val="20"/>
                <w:szCs w:val="20"/>
                <w:color w:val="auto"/>
              </w:rPr>
            </w:pPr>
          </w:p>
        </w:tc>
      </w:tr>
      <w:tr>
        <w:trPr>
          <w:trHeight w:val="243"/>
        </w:trPr>
        <w:tc>
          <w:tcPr>
            <w:tcW w:w="43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2660" w:type="dxa"/>
            <w:vAlign w:val="bottom"/>
            <w:tcBorders>
              <w:top w:val="single" w:sz="8" w:color="auto"/>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8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282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149,697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$ 149,688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r>
      <w:tr>
        <w:trPr>
          <w:trHeight w:val="235"/>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w:t>
            </w:r>
          </w:p>
        </w:tc>
        <w:tc>
          <w:tcPr>
            <w:tcW w:w="26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43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bonds</w:t>
            </w:r>
          </w:p>
        </w:tc>
        <w:tc>
          <w:tcPr>
            <w:tcW w:w="26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23,822</w:t>
            </w: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23,956</w:t>
            </w:r>
          </w:p>
        </w:tc>
        <w:tc>
          <w:tcPr>
            <w:tcW w:w="2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2"/>
                <w:szCs w:val="22"/>
                <w:color w:val="auto"/>
              </w:rPr>
            </w:pPr>
          </w:p>
        </w:tc>
      </w:tr>
      <w:tr>
        <w:trPr>
          <w:trHeight w:val="235"/>
        </w:trPr>
        <w:tc>
          <w:tcPr>
            <w:tcW w:w="438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8,152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8,248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r>
      <w:tr>
        <w:trPr>
          <w:trHeight w:val="251"/>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1,255</w:t>
            </w: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1,134</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(121)</w:t>
            </w:r>
          </w:p>
        </w:tc>
        <w:tc>
          <w:tcPr>
            <w:tcW w:w="20" w:type="dxa"/>
            <w:vAlign w:val="bottom"/>
          </w:tcPr>
          <w:p>
            <w:pPr>
              <w:spacing w:after="0"/>
              <w:rPr>
                <w:sz w:val="21"/>
                <w:szCs w:val="21"/>
                <w:color w:val="auto"/>
              </w:rPr>
            </w:pPr>
          </w:p>
        </w:tc>
      </w:tr>
      <w:tr>
        <w:trPr>
          <w:trHeight w:val="228"/>
        </w:trPr>
        <w:tc>
          <w:tcPr>
            <w:tcW w:w="4380" w:type="dxa"/>
            <w:vAlign w:val="bottom"/>
          </w:tcPr>
          <w:p>
            <w:pPr>
              <w:ind w:left="320"/>
              <w:spacing w:after="0"/>
              <w:rPr>
                <w:sz w:val="20"/>
                <w:szCs w:val="20"/>
                <w:color w:val="auto"/>
              </w:rPr>
            </w:pPr>
            <w:r>
              <w:rPr>
                <w:rFonts w:ascii="Arial" w:cs="Arial" w:eastAsia="Arial" w:hAnsi="Arial"/>
                <w:sz w:val="18"/>
                <w:szCs w:val="18"/>
                <w:color w:val="auto"/>
              </w:rPr>
              <w:t>U.S. government guaranteed</w:t>
            </w: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438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collateralized mortgage obligations</w:t>
            </w:r>
          </w:p>
        </w:tc>
        <w:tc>
          <w:tcPr>
            <w:tcW w:w="26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1"/>
                <w:szCs w:val="21"/>
                <w:color w:val="auto"/>
              </w:rPr>
            </w:pPr>
          </w:p>
        </w:tc>
      </w:tr>
      <w:tr>
        <w:trPr>
          <w:trHeight w:val="237"/>
        </w:trPr>
        <w:tc>
          <w:tcPr>
            <w:tcW w:w="4380" w:type="dxa"/>
            <w:vAlign w:val="bottom"/>
            <w:shd w:val="clear" w:color="auto" w:fill="C0C0C0"/>
          </w:tcPr>
          <w:p>
            <w:pPr>
              <w:spacing w:after="0"/>
              <w:rPr>
                <w:sz w:val="20"/>
                <w:szCs w:val="20"/>
                <w:color w:val="auto"/>
              </w:rPr>
            </w:pPr>
          </w:p>
        </w:tc>
        <w:tc>
          <w:tcPr>
            <w:tcW w:w="26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8"/>
              </w:rPr>
              <w:t>186,096</w:t>
            </w: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186,328</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0"/>
                <w:szCs w:val="20"/>
                <w:color w:val="auto"/>
              </w:rPr>
            </w:pPr>
          </w:p>
        </w:tc>
      </w:tr>
      <w:tr>
        <w:trPr>
          <w:trHeight w:val="230"/>
        </w:trPr>
        <w:tc>
          <w:tcPr>
            <w:tcW w:w="4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Maturities between one and three years</w:t>
            </w:r>
          </w:p>
        </w:tc>
        <w:tc>
          <w:tcPr>
            <w:tcW w:w="2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8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59,524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59,487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r>
      <w:tr>
        <w:trPr>
          <w:trHeight w:val="235"/>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w:t>
            </w:r>
          </w:p>
        </w:tc>
        <w:tc>
          <w:tcPr>
            <w:tcW w:w="26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43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bonds</w:t>
            </w:r>
          </w:p>
        </w:tc>
        <w:tc>
          <w:tcPr>
            <w:tcW w:w="26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40,001</w:t>
            </w: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40,376</w:t>
            </w:r>
          </w:p>
        </w:tc>
        <w:tc>
          <w:tcPr>
            <w:tcW w:w="2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22"/>
                <w:szCs w:val="22"/>
                <w:color w:val="auto"/>
              </w:rPr>
            </w:pPr>
          </w:p>
        </w:tc>
      </w:tr>
      <w:tr>
        <w:trPr>
          <w:trHeight w:val="235"/>
        </w:trPr>
        <w:tc>
          <w:tcPr>
            <w:tcW w:w="438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1,517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1,439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244"/>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Municipal bonds</w:t>
            </w:r>
          </w:p>
        </w:tc>
        <w:tc>
          <w:tcPr>
            <w:tcW w:w="26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2,208</w:t>
            </w: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r>
      <w:tr>
        <w:trPr>
          <w:trHeight w:val="237"/>
        </w:trPr>
        <w:tc>
          <w:tcPr>
            <w:tcW w:w="4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103,259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103,510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0"/>
                <w:szCs w:val="20"/>
                <w:color w:val="auto"/>
              </w:rPr>
            </w:pPr>
          </w:p>
        </w:tc>
      </w:tr>
      <w:tr>
        <w:trPr>
          <w:trHeight w:val="230"/>
        </w:trPr>
        <w:tc>
          <w:tcPr>
            <w:tcW w:w="4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4380" w:type="dxa"/>
            <w:vAlign w:val="bottom"/>
            <w:shd w:val="clear" w:color="auto" w:fill="C0C0C0"/>
          </w:tcPr>
          <w:p>
            <w:pPr>
              <w:spacing w:after="0"/>
              <w:rPr>
                <w:sz w:val="22"/>
                <w:szCs w:val="22"/>
                <w:color w:val="auto"/>
              </w:rPr>
            </w:pPr>
          </w:p>
        </w:tc>
        <w:tc>
          <w:tcPr>
            <w:tcW w:w="2820" w:type="dxa"/>
            <w:vAlign w:val="bottom"/>
            <w:gridSpan w:val="2"/>
            <w:shd w:val="clear" w:color="auto" w:fill="C0C0C0"/>
          </w:tcPr>
          <w:p>
            <w:pPr>
              <w:ind w:left="26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8"/>
              </w:rPr>
              <w:t>289,355</w:t>
            </w: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$ 289,838</w:t>
            </w:r>
          </w:p>
        </w:tc>
        <w:tc>
          <w:tcPr>
            <w:tcW w:w="260" w:type="dxa"/>
            <w:vAlign w:val="bottom"/>
            <w:shd w:val="clear" w:color="auto" w:fill="C0C0C0"/>
          </w:tcPr>
          <w:p>
            <w:pPr>
              <w:spacing w:after="0"/>
              <w:rPr>
                <w:sz w:val="22"/>
                <w:szCs w:val="22"/>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800</w:t>
            </w:r>
          </w:p>
        </w:tc>
        <w:tc>
          <w:tcPr>
            <w:tcW w:w="46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22"/>
                <w:szCs w:val="22"/>
                <w:color w:val="auto"/>
              </w:rPr>
            </w:pPr>
          </w:p>
        </w:tc>
      </w:tr>
      <w:tr>
        <w:trPr>
          <w:trHeight w:val="217"/>
        </w:trPr>
        <w:tc>
          <w:tcPr>
            <w:tcW w:w="4380" w:type="dxa"/>
            <w:vAlign w:val="bottom"/>
            <w:tcBorders>
              <w:top w:val="single" w:sz="8" w:color="C0C0C0"/>
              <w:bottom w:val="single" w:sz="8" w:color="auto"/>
            </w:tcBorders>
          </w:tcPr>
          <w:p>
            <w:pPr>
              <w:spacing w:after="0"/>
              <w:rPr>
                <w:sz w:val="20"/>
                <w:szCs w:val="20"/>
                <w:color w:val="auto"/>
              </w:rPr>
            </w:pPr>
            <w:r>
              <w:rPr>
                <w:rFonts w:ascii="Arial" w:cs="Arial" w:eastAsia="Arial" w:hAnsi="Arial"/>
                <w:sz w:val="18"/>
                <w:szCs w:val="18"/>
                <w:b w:val="1"/>
                <w:bCs w:val="1"/>
                <w:color w:val="auto"/>
              </w:rPr>
              <w:t>At December 31, 2009</w:t>
            </w:r>
          </w:p>
        </w:tc>
        <w:tc>
          <w:tcPr>
            <w:tcW w:w="2660" w:type="dxa"/>
            <w:vAlign w:val="bottom"/>
            <w:tcBorders>
              <w:top w:val="single" w:sz="8" w:color="C0C0C0"/>
              <w:bottom w:val="single" w:sz="8" w:color="auto"/>
            </w:tcBorders>
          </w:tcPr>
          <w:p>
            <w:pPr>
              <w:spacing w:after="0"/>
              <w:rPr>
                <w:sz w:val="18"/>
                <w:szCs w:val="18"/>
                <w:color w:val="auto"/>
              </w:rPr>
            </w:pPr>
          </w:p>
        </w:tc>
        <w:tc>
          <w:tcPr>
            <w:tcW w:w="160" w:type="dxa"/>
            <w:vAlign w:val="bottom"/>
            <w:tcBorders>
              <w:top w:val="single" w:sz="8" w:color="auto"/>
              <w:bottom w:val="single" w:sz="8" w:color="C0C0C0"/>
            </w:tcBorders>
          </w:tcPr>
          <w:p>
            <w:pPr>
              <w:spacing w:after="0"/>
              <w:rPr>
                <w:sz w:val="18"/>
                <w:szCs w:val="18"/>
                <w:color w:val="auto"/>
              </w:rPr>
            </w:pPr>
          </w:p>
        </w:tc>
        <w:tc>
          <w:tcPr>
            <w:tcW w:w="660" w:type="dxa"/>
            <w:vAlign w:val="bottom"/>
            <w:tcBorders>
              <w:top w:val="single" w:sz="8" w:color="auto"/>
              <w:bottom w:val="single" w:sz="8" w:color="C0C0C0"/>
            </w:tcBorders>
          </w:tcPr>
          <w:p>
            <w:pPr>
              <w:spacing w:after="0"/>
              <w:rPr>
                <w:sz w:val="18"/>
                <w:szCs w:val="18"/>
                <w:color w:val="auto"/>
              </w:rPr>
            </w:pPr>
          </w:p>
        </w:tc>
        <w:tc>
          <w:tcPr>
            <w:tcW w:w="120" w:type="dxa"/>
            <w:vAlign w:val="bottom"/>
            <w:tcBorders>
              <w:top w:val="single" w:sz="8" w:color="C0C0C0"/>
              <w:bottom w:val="single" w:sz="8" w:color="C0C0C0"/>
            </w:tcBorders>
          </w:tcPr>
          <w:p>
            <w:pPr>
              <w:spacing w:after="0"/>
              <w:rPr>
                <w:sz w:val="18"/>
                <w:szCs w:val="18"/>
                <w:color w:val="auto"/>
              </w:rPr>
            </w:pPr>
          </w:p>
        </w:tc>
        <w:tc>
          <w:tcPr>
            <w:tcW w:w="140" w:type="dxa"/>
            <w:vAlign w:val="bottom"/>
            <w:tcBorders>
              <w:top w:val="single" w:sz="8" w:color="C0C0C0"/>
              <w:bottom w:val="single" w:sz="8" w:color="C0C0C0"/>
            </w:tcBorders>
          </w:tcPr>
          <w:p>
            <w:pPr>
              <w:spacing w:after="0"/>
              <w:rPr>
                <w:sz w:val="18"/>
                <w:szCs w:val="18"/>
                <w:color w:val="auto"/>
              </w:rPr>
            </w:pPr>
          </w:p>
        </w:tc>
        <w:tc>
          <w:tcPr>
            <w:tcW w:w="700" w:type="dxa"/>
            <w:vAlign w:val="bottom"/>
            <w:tcBorders>
              <w:top w:val="single" w:sz="8" w:color="auto"/>
              <w:bottom w:val="single" w:sz="8" w:color="C0C0C0"/>
            </w:tcBorders>
          </w:tcPr>
          <w:p>
            <w:pPr>
              <w:spacing w:after="0"/>
              <w:rPr>
                <w:sz w:val="18"/>
                <w:szCs w:val="18"/>
                <w:color w:val="auto"/>
              </w:rPr>
            </w:pPr>
          </w:p>
        </w:tc>
        <w:tc>
          <w:tcPr>
            <w:tcW w:w="260" w:type="dxa"/>
            <w:vAlign w:val="bottom"/>
            <w:tcBorders>
              <w:top w:val="single" w:sz="8" w:color="C0C0C0"/>
              <w:bottom w:val="single" w:sz="8" w:color="C0C0C0"/>
            </w:tcBorders>
          </w:tcPr>
          <w:p>
            <w:pPr>
              <w:spacing w:after="0"/>
              <w:rPr>
                <w:sz w:val="18"/>
                <w:szCs w:val="18"/>
                <w:color w:val="auto"/>
              </w:rPr>
            </w:pPr>
          </w:p>
        </w:tc>
        <w:tc>
          <w:tcPr>
            <w:tcW w:w="180" w:type="dxa"/>
            <w:vAlign w:val="bottom"/>
            <w:tcBorders>
              <w:top w:val="single" w:sz="8" w:color="auto"/>
              <w:bottom w:val="single" w:sz="8" w:color="C0C0C0"/>
            </w:tcBorders>
          </w:tcPr>
          <w:p>
            <w:pPr>
              <w:spacing w:after="0"/>
              <w:rPr>
                <w:sz w:val="18"/>
                <w:szCs w:val="18"/>
                <w:color w:val="auto"/>
              </w:rPr>
            </w:pPr>
          </w:p>
        </w:tc>
        <w:tc>
          <w:tcPr>
            <w:tcW w:w="360" w:type="dxa"/>
            <w:vAlign w:val="bottom"/>
            <w:tcBorders>
              <w:top w:val="single" w:sz="8" w:color="auto"/>
              <w:bottom w:val="single" w:sz="8" w:color="C0C0C0"/>
            </w:tcBorders>
          </w:tcPr>
          <w:p>
            <w:pPr>
              <w:spacing w:after="0"/>
              <w:rPr>
                <w:sz w:val="18"/>
                <w:szCs w:val="18"/>
                <w:color w:val="auto"/>
              </w:rPr>
            </w:pPr>
          </w:p>
        </w:tc>
        <w:tc>
          <w:tcPr>
            <w:tcW w:w="260" w:type="dxa"/>
            <w:vAlign w:val="bottom"/>
            <w:tcBorders>
              <w:top w:val="single" w:sz="8" w:color="C0C0C0"/>
              <w:bottom w:val="single" w:sz="8" w:color="C0C0C0"/>
            </w:tcBorders>
          </w:tcPr>
          <w:p>
            <w:pPr>
              <w:spacing w:after="0"/>
              <w:rPr>
                <w:sz w:val="18"/>
                <w:szCs w:val="18"/>
                <w:color w:val="auto"/>
              </w:rPr>
            </w:pPr>
          </w:p>
        </w:tc>
        <w:tc>
          <w:tcPr>
            <w:tcW w:w="200" w:type="dxa"/>
            <w:vAlign w:val="bottom"/>
            <w:tcBorders>
              <w:top w:val="single" w:sz="8" w:color="auto"/>
              <w:bottom w:val="single" w:sz="8" w:color="C0C0C0"/>
            </w:tcBorders>
          </w:tcPr>
          <w:p>
            <w:pPr>
              <w:spacing w:after="0"/>
              <w:rPr>
                <w:sz w:val="18"/>
                <w:szCs w:val="18"/>
                <w:color w:val="auto"/>
              </w:rPr>
            </w:pPr>
          </w:p>
        </w:tc>
        <w:tc>
          <w:tcPr>
            <w:tcW w:w="520" w:type="dxa"/>
            <w:vAlign w:val="bottom"/>
            <w:tcBorders>
              <w:top w:val="single" w:sz="8" w:color="auto"/>
              <w:bottom w:val="single" w:sz="8" w:color="C0C0C0"/>
            </w:tcBorders>
          </w:tcPr>
          <w:p>
            <w:pPr>
              <w:spacing w:after="0"/>
              <w:rPr>
                <w:sz w:val="18"/>
                <w:szCs w:val="18"/>
                <w:color w:val="auto"/>
              </w:rPr>
            </w:pPr>
          </w:p>
        </w:tc>
        <w:tc>
          <w:tcPr>
            <w:tcW w:w="280" w:type="dxa"/>
            <w:vAlign w:val="bottom"/>
            <w:tcBorders>
              <w:top w:val="single" w:sz="8" w:color="C0C0C0"/>
              <w:bottom w:val="single" w:sz="8" w:color="C0C0C0"/>
            </w:tcBorders>
          </w:tcPr>
          <w:p>
            <w:pPr>
              <w:spacing w:after="0"/>
              <w:rPr>
                <w:sz w:val="18"/>
                <w:szCs w:val="18"/>
                <w:color w:val="auto"/>
              </w:rPr>
            </w:pPr>
          </w:p>
        </w:tc>
        <w:tc>
          <w:tcPr>
            <w:tcW w:w="100" w:type="dxa"/>
            <w:vAlign w:val="bottom"/>
            <w:tcBorders>
              <w:top w:val="single" w:sz="8" w:color="auto"/>
              <w:bottom w:val="single" w:sz="8" w:color="C0C0C0"/>
            </w:tcBorders>
          </w:tcPr>
          <w:p>
            <w:pPr>
              <w:spacing w:after="0"/>
              <w:rPr>
                <w:sz w:val="18"/>
                <w:szCs w:val="18"/>
                <w:color w:val="auto"/>
              </w:rPr>
            </w:pPr>
          </w:p>
        </w:tc>
        <w:tc>
          <w:tcPr>
            <w:tcW w:w="440" w:type="dxa"/>
            <w:vAlign w:val="bottom"/>
            <w:tcBorders>
              <w:top w:val="single" w:sz="8" w:color="auto"/>
              <w:bottom w:val="single" w:sz="8" w:color="C0C0C0"/>
            </w:tcBorders>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2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8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282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100,491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$ 100,573</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r>
      <w:tr>
        <w:trPr>
          <w:trHeight w:val="235"/>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w:t>
            </w:r>
          </w:p>
        </w:tc>
        <w:tc>
          <w:tcPr>
            <w:tcW w:w="26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43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bonds</w:t>
            </w:r>
          </w:p>
        </w:tc>
        <w:tc>
          <w:tcPr>
            <w:tcW w:w="26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17,176</w:t>
            </w: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17,340</w:t>
            </w:r>
          </w:p>
        </w:tc>
        <w:tc>
          <w:tcPr>
            <w:tcW w:w="2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5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2"/>
                <w:szCs w:val="22"/>
                <w:color w:val="auto"/>
              </w:rPr>
            </w:pPr>
          </w:p>
        </w:tc>
      </w:tr>
      <w:tr>
        <w:trPr>
          <w:trHeight w:val="235"/>
        </w:trPr>
        <w:tc>
          <w:tcPr>
            <w:tcW w:w="438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10,142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10,342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0"/>
                <w:szCs w:val="20"/>
                <w:color w:val="auto"/>
              </w:rPr>
            </w:pPr>
          </w:p>
        </w:tc>
      </w:tr>
      <w:tr>
        <w:trPr>
          <w:trHeight w:val="251"/>
        </w:trPr>
        <w:tc>
          <w:tcPr>
            <w:tcW w:w="43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2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2,471</w:t>
            </w: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2,338</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0"/>
              </w:rPr>
              <w:t>(133)</w:t>
            </w:r>
          </w:p>
        </w:tc>
        <w:tc>
          <w:tcPr>
            <w:tcW w:w="20" w:type="dxa"/>
            <w:vAlign w:val="bottom"/>
          </w:tcPr>
          <w:p>
            <w:pPr>
              <w:spacing w:after="0"/>
              <w:rPr>
                <w:sz w:val="21"/>
                <w:szCs w:val="21"/>
                <w:color w:val="auto"/>
              </w:rPr>
            </w:pPr>
          </w:p>
        </w:tc>
      </w:tr>
      <w:tr>
        <w:trPr>
          <w:trHeight w:val="228"/>
        </w:trPr>
        <w:tc>
          <w:tcPr>
            <w:tcW w:w="4380" w:type="dxa"/>
            <w:vAlign w:val="bottom"/>
          </w:tcPr>
          <w:p>
            <w:pPr>
              <w:ind w:left="320"/>
              <w:spacing w:after="0"/>
              <w:rPr>
                <w:sz w:val="20"/>
                <w:szCs w:val="20"/>
                <w:color w:val="auto"/>
              </w:rPr>
            </w:pPr>
            <w:r>
              <w:rPr>
                <w:rFonts w:ascii="Arial" w:cs="Arial" w:eastAsia="Arial" w:hAnsi="Arial"/>
                <w:sz w:val="18"/>
                <w:szCs w:val="18"/>
                <w:color w:val="auto"/>
              </w:rPr>
              <w:t>U.S. government guaranteed</w:t>
            </w: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438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collateralized mortgage obligations</w:t>
            </w:r>
          </w:p>
        </w:tc>
        <w:tc>
          <w:tcPr>
            <w:tcW w:w="26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r>
      <w:tr>
        <w:trPr>
          <w:trHeight w:val="243"/>
        </w:trPr>
        <w:tc>
          <w:tcPr>
            <w:tcW w:w="4380" w:type="dxa"/>
            <w:vAlign w:val="bottom"/>
            <w:shd w:val="clear" w:color="auto" w:fill="C0C0C0"/>
          </w:tcPr>
          <w:p>
            <w:pPr>
              <w:spacing w:after="0"/>
              <w:rPr>
                <w:sz w:val="21"/>
                <w:szCs w:val="21"/>
                <w:color w:val="auto"/>
              </w:rPr>
            </w:pPr>
          </w:p>
        </w:tc>
        <w:tc>
          <w:tcPr>
            <w:tcW w:w="26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8"/>
              </w:rPr>
              <w:t>133,892</w:t>
            </w:r>
          </w:p>
        </w:tc>
        <w:tc>
          <w:tcPr>
            <w:tcW w:w="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134,255</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21"/>
                <w:szCs w:val="21"/>
                <w:color w:val="auto"/>
              </w:rPr>
            </w:pPr>
          </w:p>
        </w:tc>
      </w:tr>
      <w:tr>
        <w:trPr>
          <w:trHeight w:val="451"/>
        </w:trPr>
        <w:tc>
          <w:tcPr>
            <w:tcW w:w="4380" w:type="dxa"/>
            <w:vAlign w:val="bottom"/>
          </w:tcPr>
          <w:p>
            <w:pPr>
              <w:spacing w:after="0"/>
              <w:rPr>
                <w:sz w:val="24"/>
                <w:szCs w:val="24"/>
                <w:color w:val="auto"/>
              </w:rPr>
            </w:pPr>
          </w:p>
        </w:tc>
        <w:tc>
          <w:tcPr>
            <w:tcW w:w="2660" w:type="dxa"/>
            <w:vAlign w:val="bottom"/>
          </w:tcPr>
          <w:p>
            <w:pPr>
              <w:jc w:val="right"/>
              <w:ind w:right="1192"/>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3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Amortized</w:t>
            </w:r>
          </w:p>
        </w:tc>
        <w:tc>
          <w:tcPr>
            <w:tcW w:w="14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Unrealized</w:t>
            </w:r>
          </w:p>
        </w:tc>
        <w:tc>
          <w:tcPr>
            <w:tcW w:w="540" w:type="dxa"/>
            <w:vAlign w:val="bottom"/>
            <w:tcBorders>
              <w:bottom w:val="single" w:sz="8" w:color="auto"/>
            </w:tcBorders>
          </w:tcPr>
          <w:p>
            <w:pPr>
              <w:spacing w:after="0"/>
              <w:rPr>
                <w:sz w:val="20"/>
                <w:szCs w:val="20"/>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b w:val="1"/>
                <w:bCs w:val="1"/>
                <w:color w:val="auto"/>
              </w:rPr>
              <w:t>At December 31, 2009 (continued)</w:t>
            </w:r>
          </w:p>
        </w:tc>
        <w:tc>
          <w:tcPr>
            <w:tcW w:w="20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1"/>
              </w:rPr>
              <w:t>Cost Basis</w:t>
            </w:r>
          </w:p>
        </w:tc>
        <w:tc>
          <w:tcPr>
            <w:tcW w:w="14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rPr>
              <w:t>Net</w:t>
            </w:r>
          </w:p>
        </w:tc>
      </w:tr>
      <w:tr>
        <w:trPr>
          <w:trHeight w:val="243"/>
        </w:trPr>
        <w:tc>
          <w:tcPr>
            <w:tcW w:w="51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Maturities between one and two years</w:t>
            </w:r>
          </w:p>
        </w:tc>
        <w:tc>
          <w:tcPr>
            <w:tcW w:w="2080" w:type="dxa"/>
            <w:vAlign w:val="bottom"/>
            <w:tcBorders>
              <w:top w:val="single" w:sz="8" w:color="auto"/>
            </w:tcBorders>
            <w:shd w:val="clear" w:color="auto" w:fill="C0C0C0"/>
          </w:tcPr>
          <w:p>
            <w:pPr>
              <w:spacing w:after="0"/>
              <w:rPr>
                <w:sz w:val="21"/>
                <w:szCs w:val="21"/>
                <w:color w:val="auto"/>
              </w:rPr>
            </w:pPr>
          </w:p>
        </w:tc>
        <w:tc>
          <w:tcPr>
            <w:tcW w:w="80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66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spacing w:after="0"/>
              <w:rPr>
                <w:sz w:val="21"/>
                <w:szCs w:val="21"/>
                <w:color w:val="auto"/>
              </w:rPr>
            </w:pPr>
          </w:p>
        </w:tc>
      </w:tr>
      <w:tr>
        <w:trPr>
          <w:trHeight w:val="235"/>
        </w:trPr>
        <w:tc>
          <w:tcPr>
            <w:tcW w:w="512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3020" w:type="dxa"/>
            <w:vAlign w:val="bottom"/>
            <w:gridSpan w:val="3"/>
          </w:tcPr>
          <w:p>
            <w:pPr>
              <w:jc w:val="right"/>
              <w:ind w:right="140"/>
              <w:spacing w:after="0"/>
              <w:rPr>
                <w:sz w:val="20"/>
                <w:szCs w:val="20"/>
                <w:color w:val="auto"/>
              </w:rPr>
            </w:pPr>
            <w:r>
              <w:rPr>
                <w:rFonts w:ascii="Arial" w:cs="Arial" w:eastAsia="Arial" w:hAnsi="Arial"/>
                <w:sz w:val="18"/>
                <w:szCs w:val="18"/>
                <w:color w:val="auto"/>
              </w:rPr>
              <w:t>9,413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9,367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5"/>
        </w:trPr>
        <w:tc>
          <w:tcPr>
            <w:tcW w:w="51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w:t>
            </w:r>
          </w:p>
        </w:tc>
        <w:tc>
          <w:tcPr>
            <w:tcW w:w="208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r>
      <w:tr>
        <w:trPr>
          <w:trHeight w:val="259"/>
        </w:trPr>
        <w:tc>
          <w:tcPr>
            <w:tcW w:w="51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bonds</w:t>
            </w:r>
          </w:p>
        </w:tc>
        <w:tc>
          <w:tcPr>
            <w:tcW w:w="2080" w:type="dxa"/>
            <w:vAlign w:val="bottom"/>
            <w:shd w:val="clear" w:color="auto" w:fill="C0C0C0"/>
          </w:tcPr>
          <w:p>
            <w:pPr>
              <w:spacing w:after="0"/>
              <w:rPr>
                <w:sz w:val="22"/>
                <w:szCs w:val="22"/>
                <w:color w:val="auto"/>
              </w:rPr>
            </w:pPr>
          </w:p>
        </w:tc>
        <w:tc>
          <w:tcPr>
            <w:tcW w:w="9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31,064</w:t>
            </w:r>
          </w:p>
        </w:tc>
        <w:tc>
          <w:tcPr>
            <w:tcW w:w="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31,344</w:t>
            </w:r>
          </w:p>
        </w:tc>
        <w:tc>
          <w:tcPr>
            <w:tcW w:w="280" w:type="dxa"/>
            <w:vAlign w:val="bottom"/>
            <w:shd w:val="clear" w:color="auto" w:fill="C0C0C0"/>
          </w:tcPr>
          <w:p>
            <w:pPr>
              <w:spacing w:after="0"/>
              <w:rPr>
                <w:sz w:val="22"/>
                <w:szCs w:val="22"/>
                <w:color w:val="auto"/>
              </w:rPr>
            </w:pPr>
          </w:p>
        </w:tc>
        <w:tc>
          <w:tcPr>
            <w:tcW w:w="5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5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280</w:t>
            </w:r>
          </w:p>
        </w:tc>
      </w:tr>
      <w:tr>
        <w:trPr>
          <w:trHeight w:val="235"/>
        </w:trPr>
        <w:tc>
          <w:tcPr>
            <w:tcW w:w="512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20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1"/>
        </w:trPr>
        <w:tc>
          <w:tcPr>
            <w:tcW w:w="5120" w:type="dxa"/>
            <w:vAlign w:val="bottom"/>
            <w:shd w:val="clear" w:color="auto" w:fill="C0C0C0"/>
          </w:tcPr>
          <w:p>
            <w:pPr>
              <w:spacing w:after="0" w:line="20" w:lineRule="exact"/>
              <w:rPr>
                <w:sz w:val="1"/>
                <w:szCs w:val="1"/>
                <w:color w:val="auto"/>
              </w:rPr>
            </w:pPr>
          </w:p>
        </w:tc>
        <w:tc>
          <w:tcPr>
            <w:tcW w:w="2080" w:type="dxa"/>
            <w:vAlign w:val="bottom"/>
            <w:shd w:val="clear" w:color="auto" w:fill="C0C0C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7"/>
        </w:trPr>
        <w:tc>
          <w:tcPr>
            <w:tcW w:w="5120" w:type="dxa"/>
            <w:vAlign w:val="bottom"/>
            <w:shd w:val="clear" w:color="auto" w:fill="C0C0C0"/>
          </w:tcPr>
          <w:p>
            <w:pPr>
              <w:spacing w:after="0"/>
              <w:rPr>
                <w:sz w:val="20"/>
                <w:szCs w:val="20"/>
                <w:color w:val="auto"/>
              </w:rPr>
            </w:pPr>
          </w:p>
        </w:tc>
        <w:tc>
          <w:tcPr>
            <w:tcW w:w="2080" w:type="dxa"/>
            <w:vAlign w:val="bottom"/>
            <w:shd w:val="clear" w:color="auto" w:fill="C0C0C0"/>
          </w:tcPr>
          <w:p>
            <w:pPr>
              <w:spacing w:after="0"/>
              <w:rPr>
                <w:sz w:val="20"/>
                <w:szCs w:val="20"/>
                <w:color w:val="auto"/>
              </w:rPr>
            </w:pPr>
          </w:p>
        </w:tc>
        <w:tc>
          <w:tcPr>
            <w:tcW w:w="9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41,645</w:t>
            </w:r>
          </w:p>
        </w:tc>
        <w:tc>
          <w:tcPr>
            <w:tcW w:w="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41,611</w:t>
            </w:r>
          </w:p>
        </w:tc>
        <w:tc>
          <w:tcPr>
            <w:tcW w:w="280" w:type="dxa"/>
            <w:vAlign w:val="bottom"/>
            <w:shd w:val="clear" w:color="auto" w:fill="C0C0C0"/>
          </w:tcPr>
          <w:p>
            <w:pPr>
              <w:spacing w:after="0"/>
              <w:rPr>
                <w:sz w:val="20"/>
                <w:szCs w:val="20"/>
                <w:color w:val="auto"/>
              </w:rPr>
            </w:pPr>
          </w:p>
        </w:tc>
        <w:tc>
          <w:tcPr>
            <w:tcW w:w="5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280</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(314)</w:t>
            </w:r>
          </w:p>
        </w:tc>
        <w:tc>
          <w:tcPr>
            <w:tcW w:w="280" w:type="dxa"/>
            <w:vAlign w:val="bottom"/>
            <w:shd w:val="clear" w:color="auto" w:fill="C0C0C0"/>
          </w:tcPr>
          <w:p>
            <w:pPr>
              <w:spacing w:after="0"/>
              <w:rPr>
                <w:sz w:val="20"/>
                <w:szCs w:val="20"/>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r>
      <w:tr>
        <w:trPr>
          <w:trHeight w:val="235"/>
        </w:trPr>
        <w:tc>
          <w:tcPr>
            <w:tcW w:w="5120" w:type="dxa"/>
            <w:vAlign w:val="bottom"/>
            <w:shd w:val="clear" w:color="auto" w:fill="C0C0C0"/>
          </w:tcPr>
          <w:p>
            <w:pPr>
              <w:spacing w:after="0"/>
              <w:rPr>
                <w:sz w:val="20"/>
                <w:szCs w:val="20"/>
                <w:color w:val="auto"/>
              </w:rPr>
            </w:pPr>
          </w:p>
        </w:tc>
        <w:tc>
          <w:tcPr>
            <w:tcW w:w="302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  175,537</w:t>
            </w:r>
          </w:p>
        </w:tc>
        <w:tc>
          <w:tcPr>
            <w:tcW w:w="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9"/>
              </w:rPr>
              <w:t>$ 175,866</w:t>
            </w:r>
          </w:p>
        </w:tc>
        <w:tc>
          <w:tcPr>
            <w:tcW w:w="280" w:type="dxa"/>
            <w:vAlign w:val="bottom"/>
            <w:shd w:val="clear" w:color="auto" w:fill="C0C0C0"/>
          </w:tcPr>
          <w:p>
            <w:pPr>
              <w:spacing w:after="0"/>
              <w:rPr>
                <w:sz w:val="20"/>
                <w:szCs w:val="20"/>
                <w:color w:val="auto"/>
              </w:rPr>
            </w:pPr>
          </w:p>
        </w:tc>
        <w:tc>
          <w:tcPr>
            <w:tcW w:w="5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3"/>
              </w:rPr>
              <w:t>$ 776</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(447)</w:t>
            </w:r>
          </w:p>
        </w:tc>
        <w:tc>
          <w:tcPr>
            <w:tcW w:w="280" w:type="dxa"/>
            <w:vAlign w:val="bottom"/>
            <w:shd w:val="clear" w:color="auto" w:fill="C0C0C0"/>
          </w:tcPr>
          <w:p>
            <w:pPr>
              <w:spacing w:after="0"/>
              <w:rPr>
                <w:sz w:val="20"/>
                <w:szCs w:val="20"/>
                <w:color w:val="auto"/>
              </w:rPr>
            </w:pPr>
          </w:p>
        </w:tc>
        <w:tc>
          <w:tcPr>
            <w:tcW w:w="5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3"/>
              </w:rPr>
              <w:t>$ 329</w:t>
            </w:r>
          </w:p>
        </w:tc>
      </w:tr>
      <w:tr>
        <w:trPr>
          <w:trHeight w:val="35"/>
        </w:trPr>
        <w:tc>
          <w:tcPr>
            <w:tcW w:w="5120" w:type="dxa"/>
            <w:vAlign w:val="bottom"/>
            <w:shd w:val="clear" w:color="auto" w:fill="C0C0C0"/>
          </w:tcPr>
          <w:p>
            <w:pPr>
              <w:spacing w:after="0"/>
              <w:rPr>
                <w:sz w:val="3"/>
                <w:szCs w:val="3"/>
                <w:color w:val="auto"/>
              </w:rPr>
            </w:pPr>
          </w:p>
        </w:tc>
        <w:tc>
          <w:tcPr>
            <w:tcW w:w="2080" w:type="dxa"/>
            <w:vAlign w:val="bottom"/>
            <w:shd w:val="clear" w:color="auto" w:fill="C0C0C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540" w:type="dxa"/>
            <w:vAlign w:val="bottom"/>
            <w:shd w:val="clear" w:color="auto" w:fill="000000"/>
          </w:tcPr>
          <w:p>
            <w:pPr>
              <w:spacing w:after="0"/>
              <w:rPr>
                <w:sz w:val="3"/>
                <w:szCs w:val="3"/>
                <w:color w:val="auto"/>
              </w:rPr>
            </w:pPr>
          </w:p>
        </w:tc>
      </w:tr>
    </w:tbl>
    <w:p>
      <w:pPr>
        <w:spacing w:after="0" w:line="262"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At March 31, 2010 and December 31, 2009, marketable securities included an additional unrealized gain of $0.7 million and $1.4 million, respectively, related to one equity security in the Company’s marketable securities portfolio.</w:t>
      </w:r>
    </w:p>
    <w:p>
      <w:pPr>
        <w:spacing w:after="0" w:line="24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March 31, 2010 and December 31, 2009. The debt securities listed at March 31, 2010 mature at various dates through December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6"/>
          </w:tcPr>
          <w:p>
            <w:pPr>
              <w:ind w:left="4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20"/>
                <w:szCs w:val="20"/>
                <w:color w:val="auto"/>
              </w:rPr>
            </w:pPr>
          </w:p>
        </w:tc>
        <w:tc>
          <w:tcPr>
            <w:tcW w:w="1980" w:type="dxa"/>
            <w:vAlign w:val="bottom"/>
            <w:gridSpan w:val="5"/>
          </w:tcPr>
          <w:p>
            <w:pPr>
              <w:ind w:left="2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040" w:type="dxa"/>
            <w:vAlign w:val="bottom"/>
            <w:gridSpan w:val="3"/>
          </w:tcPr>
          <w:p>
            <w:pPr>
              <w:ind w:left="580"/>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Unrealized</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Unrealized</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251"/>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At March 31, 2010</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w:t>
            </w: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1"/>
                <w:szCs w:val="21"/>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1"/>
                <w:szCs w:val="21"/>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b w:val="1"/>
                <w:bCs w:val="1"/>
                <w:color w:val="auto"/>
                <w:w w:val="90"/>
              </w:rPr>
              <w:t>Loss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121,293</w:t>
            </w:r>
          </w:p>
        </w:tc>
        <w:tc>
          <w:tcPr>
            <w:tcW w:w="1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C0C0C0"/>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121,293</w:t>
            </w:r>
          </w:p>
        </w:tc>
        <w:tc>
          <w:tcPr>
            <w:tcW w:w="20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8"/>
        </w:trPr>
        <w:tc>
          <w:tcPr>
            <w:tcW w:w="5320" w:type="dxa"/>
            <w:vAlign w:val="bottom"/>
            <w:gridSpan w:val="2"/>
          </w:tcPr>
          <w:p>
            <w:pPr>
              <w:spacing w:after="0"/>
              <w:rPr>
                <w:sz w:val="20"/>
                <w:szCs w:val="20"/>
                <w:color w:val="auto"/>
              </w:rPr>
            </w:pPr>
            <w:r>
              <w:rPr>
                <w:rFonts w:ascii="Arial" w:cs="Arial" w:eastAsia="Arial" w:hAnsi="Arial"/>
                <w:sz w:val="18"/>
                <w:szCs w:val="18"/>
                <w:color w:val="auto"/>
              </w:rPr>
              <w:t>U.S. government guaranteed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320" w:type="dxa"/>
            <w:vAlign w:val="bottom"/>
            <w:gridSpan w:val="2"/>
          </w:tcPr>
          <w:p>
            <w:pPr>
              <w:spacing w:after="0"/>
              <w:rPr>
                <w:sz w:val="20"/>
                <w:szCs w:val="20"/>
                <w:color w:val="auto"/>
              </w:rPr>
            </w:pPr>
            <w:r>
              <w:rPr>
                <w:rFonts w:ascii="Arial" w:cs="Arial" w:eastAsia="Arial" w:hAnsi="Arial"/>
                <w:sz w:val="18"/>
                <w:szCs w:val="18"/>
                <w:color w:val="auto"/>
              </w:rPr>
              <w:t>corporate bond</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12,362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2,572</w:t>
            </w: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2,572</w:t>
            </w: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7"/>
        </w:trPr>
        <w:tc>
          <w:tcPr>
            <w:tcW w:w="532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top w:val="single" w:sz="8" w:color="C0C0C0"/>
              <w:bottom w:val="single" w:sz="8" w:color="C0C0C0"/>
            </w:tcBorders>
            <w:shd w:val="clear" w:color="auto" w:fill="C0C0C0"/>
          </w:tcPr>
          <w:p>
            <w:pPr>
              <w:spacing w:after="0"/>
              <w:rPr>
                <w:sz w:val="21"/>
                <w:szCs w:val="21"/>
                <w:color w:val="auto"/>
              </w:rPr>
            </w:pPr>
          </w:p>
        </w:tc>
        <w:tc>
          <w:tcPr>
            <w:tcW w:w="16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135,864</w:t>
            </w:r>
          </w:p>
        </w:tc>
        <w:tc>
          <w:tcPr>
            <w:tcW w:w="100" w:type="dxa"/>
            <w:vAlign w:val="bottom"/>
            <w:tcBorders>
              <w:top w:val="single" w:sz="8" w:color="C0C0C0"/>
              <w:bottom w:val="single" w:sz="8" w:color="C0C0C0"/>
            </w:tcBorders>
            <w:shd w:val="clear" w:color="auto" w:fill="C0C0C0"/>
          </w:tcPr>
          <w:p>
            <w:pPr>
              <w:spacing w:after="0"/>
              <w:rPr>
                <w:sz w:val="21"/>
                <w:szCs w:val="21"/>
                <w:color w:val="auto"/>
              </w:rPr>
            </w:pPr>
          </w:p>
        </w:tc>
        <w:tc>
          <w:tcPr>
            <w:tcW w:w="100" w:type="dxa"/>
            <w:vAlign w:val="bottom"/>
            <w:tcBorders>
              <w:top w:val="single" w:sz="8" w:color="C0C0C0"/>
              <w:bottom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top w:val="single" w:sz="8" w:color="C0C0C0"/>
              <w:bottom w:val="single" w:sz="8" w:color="C0C0C0"/>
            </w:tcBorders>
            <w:shd w:val="clear" w:color="auto" w:fill="C0C0C0"/>
          </w:tcPr>
          <w:p>
            <w:pPr>
              <w:spacing w:after="0"/>
              <w:rPr>
                <w:sz w:val="21"/>
                <w:szCs w:val="21"/>
                <w:color w:val="auto"/>
              </w:rPr>
            </w:pPr>
          </w:p>
        </w:tc>
        <w:tc>
          <w:tcPr>
            <w:tcW w:w="100" w:type="dxa"/>
            <w:vAlign w:val="bottom"/>
            <w:tcBorders>
              <w:top w:val="single" w:sz="8" w:color="auto"/>
              <w:bottom w:val="single" w:sz="8" w:color="auto"/>
            </w:tcBorders>
            <w:shd w:val="clear" w:color="auto" w:fill="C0C0C0"/>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2,572</w:t>
            </w:r>
          </w:p>
        </w:tc>
        <w:tc>
          <w:tcPr>
            <w:tcW w:w="200" w:type="dxa"/>
            <w:vAlign w:val="bottom"/>
            <w:tcBorders>
              <w:top w:val="single" w:sz="8" w:color="C0C0C0"/>
              <w:bottom w:val="single" w:sz="8" w:color="C0C0C0"/>
            </w:tcBorders>
            <w:shd w:val="clear" w:color="auto" w:fill="C0C0C0"/>
          </w:tcPr>
          <w:p>
            <w:pPr>
              <w:spacing w:after="0"/>
              <w:rPr>
                <w:sz w:val="21"/>
                <w:szCs w:val="21"/>
                <w:color w:val="auto"/>
              </w:rPr>
            </w:pPr>
          </w:p>
        </w:tc>
        <w:tc>
          <w:tcPr>
            <w:tcW w:w="1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top w:val="single" w:sz="8" w:color="C0C0C0"/>
              <w:bottom w:val="single" w:sz="8" w:color="C0C0C0"/>
            </w:tcBorders>
            <w:shd w:val="clear" w:color="auto" w:fill="C0C0C0"/>
          </w:tcPr>
          <w:p>
            <w:pPr>
              <w:spacing w:after="0"/>
              <w:rPr>
                <w:sz w:val="21"/>
                <w:szCs w:val="21"/>
                <w:color w:val="auto"/>
              </w:rPr>
            </w:pPr>
          </w:p>
        </w:tc>
        <w:tc>
          <w:tcPr>
            <w:tcW w:w="16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138,436</w:t>
            </w:r>
          </w:p>
        </w:tc>
        <w:tc>
          <w:tcPr>
            <w:tcW w:w="200" w:type="dxa"/>
            <w:vAlign w:val="bottom"/>
            <w:tcBorders>
              <w:top w:val="single" w:sz="8" w:color="C0C0C0"/>
              <w:bottom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At December 31, 2009</w:t>
            </w: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9,367</w:t>
            </w:r>
          </w:p>
        </w:tc>
        <w:tc>
          <w:tcPr>
            <w:tcW w:w="100" w:type="dxa"/>
            <w:vAlign w:val="bottom"/>
          </w:tcPr>
          <w:p>
            <w:pPr>
              <w:spacing w:after="0"/>
              <w:rPr>
                <w:sz w:val="19"/>
                <w:szCs w:val="19"/>
                <w:color w:val="auto"/>
              </w:rPr>
            </w:pP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9,367</w:t>
            </w:r>
          </w:p>
        </w:tc>
        <w:tc>
          <w:tcPr>
            <w:tcW w:w="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3,238</w:t>
            </w:r>
          </w:p>
        </w:tc>
        <w:tc>
          <w:tcPr>
            <w:tcW w:w="20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3,238</w:t>
            </w:r>
          </w:p>
        </w:tc>
        <w:tc>
          <w:tcPr>
            <w:tcW w:w="20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12,605</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Realized gains and losses are included as a component of investment income. For the three months ended March 31, 2010 and 2009, realized gains and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assets that are measured at fair value on a recurring basis</w:t>
      </w:r>
      <w:r>
        <w:rPr>
          <w:rFonts w:ascii="Arial" w:cs="Arial" w:eastAsia="Arial" w:hAnsi="Arial"/>
          <w:sz w:val="18"/>
          <w:szCs w:val="18"/>
          <w:i w:val="1"/>
          <w:iCs w:val="1"/>
          <w:color w:val="auto"/>
        </w:rPr>
        <w:t>,</w:t>
      </w:r>
      <w:r>
        <w:rPr>
          <w:rFonts w:ascii="Arial" w:cs="Arial" w:eastAsia="Arial" w:hAnsi="Arial"/>
          <w:sz w:val="18"/>
          <w:szCs w:val="18"/>
          <w:color w:val="auto"/>
        </w:rPr>
        <w:t xml:space="preserve"> at March 31, 2010 and December 31, 2009,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2"/>
              </w:rPr>
              <w:t>Fair Value Measurements at Reporting Date Using</w:t>
            </w:r>
          </w:p>
        </w:tc>
      </w:tr>
      <w:tr>
        <w:trPr>
          <w:trHeight w:val="228"/>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Quoted Prices</w:t>
            </w:r>
          </w:p>
        </w:tc>
        <w:tc>
          <w:tcPr>
            <w:tcW w:w="10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Significant</w:t>
            </w:r>
          </w:p>
        </w:tc>
        <w:tc>
          <w:tcPr>
            <w:tcW w:w="132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in Active</w:t>
            </w:r>
          </w:p>
        </w:tc>
        <w:tc>
          <w:tcPr>
            <w:tcW w:w="10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Other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Significant</w:t>
            </w: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Markets for</w:t>
            </w:r>
          </w:p>
        </w:tc>
        <w:tc>
          <w:tcPr>
            <w:tcW w:w="10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Observable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Unobservable</w:t>
            </w: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4"/>
          </w:tcPr>
          <w:p>
            <w:pPr>
              <w:ind w:left="120"/>
              <w:spacing w:after="0"/>
              <w:rPr>
                <w:sz w:val="20"/>
                <w:szCs w:val="20"/>
                <w:color w:val="auto"/>
              </w:rPr>
            </w:pPr>
            <w:r>
              <w:rPr>
                <w:rFonts w:ascii="Arial" w:cs="Arial" w:eastAsia="Arial" w:hAnsi="Arial"/>
                <w:sz w:val="18"/>
                <w:szCs w:val="18"/>
                <w:b w:val="1"/>
                <w:bCs w:val="1"/>
                <w:color w:val="auto"/>
              </w:rPr>
              <w:t>Identical Assets</w:t>
            </w:r>
          </w:p>
        </w:tc>
        <w:tc>
          <w:tcPr>
            <w:tcW w:w="10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Inputs</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Inputs</w:t>
            </w:r>
          </w:p>
        </w:tc>
      </w:tr>
      <w:tr>
        <w:trPr>
          <w:trHeight w:val="252"/>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480" w:type="dxa"/>
            <w:vAlign w:val="bottom"/>
            <w:gridSpan w:val="4"/>
          </w:tcPr>
          <w:p>
            <w:pPr>
              <w:ind w:left="15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(Level 2)</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(Level 3)</w:t>
            </w:r>
          </w:p>
        </w:tc>
      </w:tr>
      <w:tr>
        <w:trPr>
          <w:trHeight w:val="223"/>
        </w:trPr>
        <w:tc>
          <w:tcPr>
            <w:tcW w:w="20" w:type="dxa"/>
            <w:vAlign w:val="bottom"/>
          </w:tcPr>
          <w:p>
            <w:pPr>
              <w:spacing w:after="0"/>
              <w:rPr>
                <w:sz w:val="19"/>
                <w:szCs w:val="19"/>
                <w:color w:val="auto"/>
              </w:rPr>
            </w:pPr>
          </w:p>
        </w:tc>
        <w:tc>
          <w:tcPr>
            <w:tcW w:w="462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At March 31, 2010</w:t>
            </w:r>
          </w:p>
        </w:tc>
        <w:tc>
          <w:tcPr>
            <w:tcW w:w="1560" w:type="dxa"/>
            <w:vAlign w:val="bottom"/>
            <w:tcBorders>
              <w:top w:val="single" w:sz="8" w:color="C0C0C0"/>
              <w:bottom w:val="single" w:sz="8" w:color="auto"/>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64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106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102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320" w:type="dxa"/>
            <w:vAlign w:val="bottom"/>
            <w:tcBorders>
              <w:top w:val="single" w:sz="8" w:color="auto"/>
            </w:tcBorders>
            <w:shd w:val="clear" w:color="auto" w:fill="C0C0C0"/>
          </w:tcPr>
          <w:p>
            <w:pPr>
              <w:spacing w:after="0"/>
              <w:rPr>
                <w:sz w:val="19"/>
                <w:szCs w:val="19"/>
                <w:color w:val="auto"/>
              </w:rPr>
            </w:pPr>
          </w:p>
        </w:tc>
      </w:tr>
      <w:tr>
        <w:trPr>
          <w:trHeight w:val="235"/>
        </w:trPr>
        <w:tc>
          <w:tcPr>
            <w:tcW w:w="4640" w:type="dxa"/>
            <w:vAlign w:val="bottom"/>
            <w:gridSpan w:val="2"/>
          </w:tcPr>
          <w:p>
            <w:pPr>
              <w:spacing w:after="0"/>
              <w:rPr>
                <w:sz w:val="20"/>
                <w:szCs w:val="20"/>
                <w:color w:val="auto"/>
              </w:rPr>
            </w:pPr>
            <w:r>
              <w:rPr>
                <w:rFonts w:ascii="Arial" w:cs="Arial" w:eastAsia="Arial" w:hAnsi="Arial"/>
                <w:sz w:val="18"/>
                <w:szCs w:val="18"/>
                <w:color w:val="auto"/>
              </w:rPr>
              <w:t>Available-for-sale marketable securities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4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U.S. government obligations</w:t>
            </w:r>
          </w:p>
        </w:tc>
        <w:tc>
          <w:tcPr>
            <w:tcW w:w="1700" w:type="dxa"/>
            <w:vAlign w:val="bottom"/>
            <w:gridSpan w:val="2"/>
            <w:shd w:val="clear" w:color="auto" w:fill="C0C0C0"/>
          </w:tcPr>
          <w:p>
            <w:pPr>
              <w:ind w:left="1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5"/>
              </w:rPr>
              <w:t>209,175</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209,175</w:t>
            </w:r>
          </w:p>
        </w:tc>
        <w:tc>
          <w:tcPr>
            <w:tcW w:w="1320" w:type="dxa"/>
            <w:vAlign w:val="bottom"/>
            <w:shd w:val="clear" w:color="auto" w:fill="C0C0C0"/>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U.S. government guaranteed corporate</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bonds</w:t>
            </w: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64,332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64,332</w:t>
            </w:r>
          </w:p>
        </w:tc>
        <w:tc>
          <w:tcPr>
            <w:tcW w:w="1320" w:type="dxa"/>
            <w:vAlign w:val="bottom"/>
          </w:tcPr>
          <w:p>
            <w:pPr>
              <w:spacing w:after="0"/>
              <w:rPr>
                <w:sz w:val="21"/>
                <w:szCs w:val="21"/>
                <w:color w:val="auto"/>
              </w:rPr>
            </w:pPr>
          </w:p>
        </w:tc>
      </w:tr>
      <w:tr>
        <w:trPr>
          <w:trHeight w:val="251"/>
        </w:trPr>
        <w:tc>
          <w:tcPr>
            <w:tcW w:w="20" w:type="dxa"/>
            <w:vAlign w:val="bottom"/>
          </w:tcPr>
          <w:p>
            <w:pPr>
              <w:spacing w:after="0"/>
              <w:rPr>
                <w:sz w:val="21"/>
                <w:szCs w:val="21"/>
                <w:color w:val="auto"/>
              </w:rPr>
            </w:pPr>
          </w:p>
        </w:tc>
        <w:tc>
          <w:tcPr>
            <w:tcW w:w="4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Corporate bonds</w:t>
            </w:r>
          </w:p>
        </w:tc>
        <w:tc>
          <w:tcPr>
            <w:tcW w:w="15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8,248</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3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8,248</w:t>
            </w:r>
          </w:p>
        </w:tc>
        <w:tc>
          <w:tcPr>
            <w:tcW w:w="1320" w:type="dxa"/>
            <w:vAlign w:val="bottom"/>
            <w:shd w:val="clear" w:color="auto" w:fill="C0C0C0"/>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Mortgage-backed securities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2,573</w:t>
            </w:r>
          </w:p>
        </w:tc>
        <w:tc>
          <w:tcPr>
            <w:tcW w:w="132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4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U.S. government guaranteed</w:t>
            </w:r>
          </w:p>
        </w:tc>
        <w:tc>
          <w:tcPr>
            <w:tcW w:w="15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320" w:type="dxa"/>
            <w:vAlign w:val="bottom"/>
            <w:shd w:val="clear" w:color="auto" w:fill="C0C0C0"/>
          </w:tcPr>
          <w:p>
            <w:pPr>
              <w:spacing w:after="0"/>
              <w:rPr>
                <w:sz w:val="20"/>
                <w:szCs w:val="20"/>
                <w:color w:val="auto"/>
              </w:rPr>
            </w:pPr>
          </w:p>
        </w:tc>
      </w:tr>
      <w:tr>
        <w:trPr>
          <w:trHeight w:val="259"/>
        </w:trPr>
        <w:tc>
          <w:tcPr>
            <w:tcW w:w="20" w:type="dxa"/>
            <w:vAlign w:val="bottom"/>
          </w:tcPr>
          <w:p>
            <w:pPr>
              <w:spacing w:after="0"/>
              <w:rPr>
                <w:sz w:val="22"/>
                <w:szCs w:val="22"/>
                <w:color w:val="auto"/>
              </w:rPr>
            </w:pPr>
          </w:p>
        </w:tc>
        <w:tc>
          <w:tcPr>
            <w:tcW w:w="4620" w:type="dxa"/>
            <w:vAlign w:val="bottom"/>
            <w:shd w:val="clear" w:color="auto" w:fill="C0C0C0"/>
          </w:tcPr>
          <w:p>
            <w:pPr>
              <w:ind w:left="600"/>
              <w:spacing w:after="0"/>
              <w:rPr>
                <w:sz w:val="20"/>
                <w:szCs w:val="20"/>
                <w:color w:val="auto"/>
              </w:rPr>
            </w:pPr>
            <w:r>
              <w:rPr>
                <w:rFonts w:ascii="Arial" w:cs="Arial" w:eastAsia="Arial" w:hAnsi="Arial"/>
                <w:sz w:val="18"/>
                <w:szCs w:val="18"/>
                <w:color w:val="auto"/>
              </w:rPr>
              <w:t>collateralized mortgage obligations</w:t>
            </w:r>
          </w:p>
        </w:tc>
        <w:tc>
          <w:tcPr>
            <w:tcW w:w="15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3,302</w:t>
            </w:r>
          </w:p>
        </w:tc>
        <w:tc>
          <w:tcPr>
            <w:tcW w:w="1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3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3,302</w:t>
            </w:r>
          </w:p>
        </w:tc>
        <w:tc>
          <w:tcPr>
            <w:tcW w:w="1320" w:type="dxa"/>
            <w:vAlign w:val="bottom"/>
            <w:shd w:val="clear" w:color="auto" w:fill="C0C0C0"/>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Municipal bonds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2,208</w:t>
            </w:r>
          </w:p>
        </w:tc>
        <w:tc>
          <w:tcPr>
            <w:tcW w:w="13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Equity securities</w:t>
            </w:r>
          </w:p>
        </w:tc>
        <w:tc>
          <w:tcPr>
            <w:tcW w:w="15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4,768</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4,768</w:t>
            </w:r>
          </w:p>
        </w:tc>
        <w:tc>
          <w:tcPr>
            <w:tcW w:w="1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320" w:type="dxa"/>
            <w:vAlign w:val="bottom"/>
            <w:shd w:val="clear" w:color="auto" w:fill="C0C0C0"/>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17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294,606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289,838</w:t>
            </w:r>
          </w:p>
        </w:tc>
        <w:tc>
          <w:tcPr>
            <w:tcW w:w="1320" w:type="dxa"/>
            <w:vAlign w:val="bottom"/>
          </w:tcPr>
          <w:p>
            <w:pPr>
              <w:spacing w:after="0"/>
              <w:rPr>
                <w:sz w:val="22"/>
                <w:szCs w:val="22"/>
                <w:color w:val="auto"/>
              </w:rPr>
            </w:pPr>
          </w:p>
        </w:tc>
      </w:tr>
      <w:tr>
        <w:trPr>
          <w:trHeight w:val="217"/>
        </w:trPr>
        <w:tc>
          <w:tcPr>
            <w:tcW w:w="20" w:type="dxa"/>
            <w:vAlign w:val="bottom"/>
          </w:tcPr>
          <w:p>
            <w:pPr>
              <w:spacing w:after="0"/>
              <w:rPr>
                <w:sz w:val="18"/>
                <w:szCs w:val="18"/>
                <w:color w:val="auto"/>
              </w:rPr>
            </w:pPr>
          </w:p>
        </w:tc>
        <w:tc>
          <w:tcPr>
            <w:tcW w:w="4620" w:type="dxa"/>
            <w:vAlign w:val="bottom"/>
            <w:tcBorders>
              <w:top w:val="single" w:sz="8" w:color="C0C0C0"/>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At December 31, 2009</w:t>
            </w:r>
          </w:p>
        </w:tc>
        <w:tc>
          <w:tcPr>
            <w:tcW w:w="1560" w:type="dxa"/>
            <w:vAlign w:val="bottom"/>
            <w:tcBorders>
              <w:top w:val="single" w:sz="8" w:color="C0C0C0"/>
              <w:bottom w:val="single" w:sz="8" w:color="auto"/>
            </w:tcBorders>
            <w:shd w:val="clear" w:color="auto" w:fill="C0C0C0"/>
          </w:tcPr>
          <w:p>
            <w:pPr>
              <w:spacing w:after="0"/>
              <w:rPr>
                <w:sz w:val="18"/>
                <w:szCs w:val="18"/>
                <w:color w:val="auto"/>
              </w:rPr>
            </w:pPr>
          </w:p>
        </w:tc>
        <w:tc>
          <w:tcPr>
            <w:tcW w:w="140" w:type="dxa"/>
            <w:vAlign w:val="bottom"/>
            <w:tcBorders>
              <w:top w:val="single" w:sz="8" w:color="auto"/>
            </w:tcBorders>
            <w:shd w:val="clear" w:color="auto" w:fill="C0C0C0"/>
          </w:tcPr>
          <w:p>
            <w:pPr>
              <w:spacing w:after="0"/>
              <w:rPr>
                <w:sz w:val="18"/>
                <w:szCs w:val="18"/>
                <w:color w:val="auto"/>
              </w:rPr>
            </w:pPr>
          </w:p>
        </w:tc>
        <w:tc>
          <w:tcPr>
            <w:tcW w:w="640" w:type="dxa"/>
            <w:vAlign w:val="bottom"/>
            <w:tcBorders>
              <w:top w:val="single" w:sz="8" w:color="auto"/>
            </w:tcBorders>
            <w:shd w:val="clear" w:color="auto" w:fill="C0C0C0"/>
          </w:tcPr>
          <w:p>
            <w:pPr>
              <w:spacing w:after="0"/>
              <w:rPr>
                <w:sz w:val="18"/>
                <w:szCs w:val="18"/>
                <w:color w:val="auto"/>
              </w:rPr>
            </w:pPr>
          </w:p>
        </w:tc>
        <w:tc>
          <w:tcPr>
            <w:tcW w:w="14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1060" w:type="dxa"/>
            <w:vAlign w:val="bottom"/>
            <w:tcBorders>
              <w:top w:val="single" w:sz="8" w:color="auto"/>
            </w:tcBorders>
            <w:shd w:val="clear" w:color="auto" w:fill="C0C0C0"/>
          </w:tcPr>
          <w:p>
            <w:pPr>
              <w:spacing w:after="0"/>
              <w:rPr>
                <w:sz w:val="18"/>
                <w:szCs w:val="18"/>
                <w:color w:val="auto"/>
              </w:rPr>
            </w:pPr>
          </w:p>
        </w:tc>
        <w:tc>
          <w:tcPr>
            <w:tcW w:w="28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1020" w:type="dxa"/>
            <w:vAlign w:val="bottom"/>
            <w:tcBorders>
              <w:top w:val="single" w:sz="8" w:color="auto"/>
            </w:tcBorders>
            <w:shd w:val="clear" w:color="auto" w:fill="C0C0C0"/>
          </w:tcPr>
          <w:p>
            <w:pPr>
              <w:spacing w:after="0"/>
              <w:rPr>
                <w:sz w:val="18"/>
                <w:szCs w:val="18"/>
                <w:color w:val="auto"/>
              </w:rPr>
            </w:pPr>
          </w:p>
        </w:tc>
        <w:tc>
          <w:tcPr>
            <w:tcW w:w="280" w:type="dxa"/>
            <w:vAlign w:val="bottom"/>
            <w:tcBorders>
              <w:top w:val="single" w:sz="8" w:color="C0C0C0"/>
            </w:tcBorders>
            <w:shd w:val="clear" w:color="auto" w:fill="C0C0C0"/>
          </w:tcPr>
          <w:p>
            <w:pPr>
              <w:spacing w:after="0"/>
              <w:rPr>
                <w:sz w:val="18"/>
                <w:szCs w:val="18"/>
                <w:color w:val="auto"/>
              </w:rPr>
            </w:pPr>
          </w:p>
        </w:tc>
        <w:tc>
          <w:tcPr>
            <w:tcW w:w="1320" w:type="dxa"/>
            <w:vAlign w:val="bottom"/>
            <w:tcBorders>
              <w:top w:val="single" w:sz="8" w:color="C0C0C0"/>
            </w:tcBorders>
            <w:shd w:val="clear" w:color="auto" w:fill="C0C0C0"/>
          </w:tcPr>
          <w:p>
            <w:pPr>
              <w:spacing w:after="0"/>
              <w:rPr>
                <w:sz w:val="18"/>
                <w:szCs w:val="18"/>
                <w:color w:val="auto"/>
              </w:rPr>
            </w:pPr>
          </w:p>
        </w:tc>
      </w:tr>
      <w:tr>
        <w:trPr>
          <w:trHeight w:val="235"/>
        </w:trPr>
        <w:tc>
          <w:tcPr>
            <w:tcW w:w="4640" w:type="dxa"/>
            <w:vAlign w:val="bottom"/>
            <w:gridSpan w:val="2"/>
          </w:tcPr>
          <w:p>
            <w:pPr>
              <w:spacing w:after="0"/>
              <w:rPr>
                <w:sz w:val="20"/>
                <w:szCs w:val="20"/>
                <w:color w:val="auto"/>
              </w:rPr>
            </w:pPr>
            <w:r>
              <w:rPr>
                <w:rFonts w:ascii="Arial" w:cs="Arial" w:eastAsia="Arial" w:hAnsi="Arial"/>
                <w:sz w:val="18"/>
                <w:szCs w:val="18"/>
                <w:color w:val="auto"/>
              </w:rPr>
              <w:t>Available-for-sale marketable securities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4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U.S. government obligations</w:t>
            </w:r>
          </w:p>
        </w:tc>
        <w:tc>
          <w:tcPr>
            <w:tcW w:w="1700" w:type="dxa"/>
            <w:vAlign w:val="bottom"/>
            <w:gridSpan w:val="2"/>
            <w:shd w:val="clear" w:color="auto" w:fill="C0C0C0"/>
          </w:tcPr>
          <w:p>
            <w:pPr>
              <w:ind w:left="1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5"/>
              </w:rPr>
              <w:t>109,940</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109,940</w:t>
            </w:r>
          </w:p>
        </w:tc>
        <w:tc>
          <w:tcPr>
            <w:tcW w:w="1320" w:type="dxa"/>
            <w:vAlign w:val="bottom"/>
            <w:shd w:val="clear" w:color="auto" w:fill="C0C0C0"/>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U.S. government guaranteed corporate</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48,684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48,684</w:t>
            </w:r>
          </w:p>
        </w:tc>
        <w:tc>
          <w:tcPr>
            <w:tcW w:w="132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4620" w:type="dxa"/>
            <w:vAlign w:val="bottom"/>
          </w:tcPr>
          <w:p>
            <w:pPr>
              <w:ind w:left="600"/>
              <w:spacing w:after="0"/>
              <w:rPr>
                <w:sz w:val="20"/>
                <w:szCs w:val="20"/>
                <w:color w:val="auto"/>
              </w:rPr>
            </w:pPr>
            <w:r>
              <w:rPr>
                <w:rFonts w:ascii="Arial" w:cs="Arial" w:eastAsia="Arial" w:hAnsi="Arial"/>
                <w:sz w:val="18"/>
                <w:szCs w:val="18"/>
                <w:color w:val="auto"/>
              </w:rPr>
              <w:t>bonds</w:t>
            </w: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1"/>
        </w:trPr>
        <w:tc>
          <w:tcPr>
            <w:tcW w:w="20" w:type="dxa"/>
            <w:vAlign w:val="bottom"/>
          </w:tcPr>
          <w:p>
            <w:pPr>
              <w:spacing w:after="0"/>
              <w:rPr>
                <w:sz w:val="21"/>
                <w:szCs w:val="21"/>
                <w:color w:val="auto"/>
              </w:rPr>
            </w:pPr>
          </w:p>
        </w:tc>
        <w:tc>
          <w:tcPr>
            <w:tcW w:w="4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Corporate bonds</w:t>
            </w:r>
          </w:p>
        </w:tc>
        <w:tc>
          <w:tcPr>
            <w:tcW w:w="15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10,342</w:t>
            </w: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3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10,342</w:t>
            </w:r>
          </w:p>
        </w:tc>
        <w:tc>
          <w:tcPr>
            <w:tcW w:w="1320" w:type="dxa"/>
            <w:vAlign w:val="bottom"/>
            <w:shd w:val="clear" w:color="auto" w:fill="C0C0C0"/>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Mortgage-backed securities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3,238</w:t>
            </w:r>
          </w:p>
        </w:tc>
        <w:tc>
          <w:tcPr>
            <w:tcW w:w="1320" w:type="dxa"/>
            <w:vAlign w:val="bottom"/>
          </w:tcPr>
          <w:p>
            <w:pPr>
              <w:spacing w:after="0"/>
              <w:rPr>
                <w:sz w:val="20"/>
                <w:szCs w:val="20"/>
                <w:color w:val="auto"/>
              </w:rPr>
            </w:pPr>
          </w:p>
        </w:tc>
      </w:tr>
      <w:tr>
        <w:trPr>
          <w:trHeight w:val="235"/>
        </w:trPr>
        <w:tc>
          <w:tcPr>
            <w:tcW w:w="20" w:type="dxa"/>
            <w:vAlign w:val="bottom"/>
          </w:tcPr>
          <w:p>
            <w:pPr>
              <w:spacing w:after="0"/>
              <w:rPr>
                <w:sz w:val="20"/>
                <w:szCs w:val="20"/>
                <w:color w:val="auto"/>
              </w:rPr>
            </w:pPr>
          </w:p>
        </w:tc>
        <w:tc>
          <w:tcPr>
            <w:tcW w:w="46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U.S. government guaranteed</w:t>
            </w:r>
          </w:p>
        </w:tc>
        <w:tc>
          <w:tcPr>
            <w:tcW w:w="15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320" w:type="dxa"/>
            <w:vAlign w:val="bottom"/>
            <w:shd w:val="clear" w:color="auto" w:fill="C0C0C0"/>
          </w:tcPr>
          <w:p>
            <w:pPr>
              <w:spacing w:after="0"/>
              <w:rPr>
                <w:sz w:val="20"/>
                <w:szCs w:val="20"/>
                <w:color w:val="auto"/>
              </w:rPr>
            </w:pPr>
          </w:p>
        </w:tc>
      </w:tr>
      <w:tr>
        <w:trPr>
          <w:trHeight w:val="259"/>
        </w:trPr>
        <w:tc>
          <w:tcPr>
            <w:tcW w:w="20" w:type="dxa"/>
            <w:vAlign w:val="bottom"/>
          </w:tcPr>
          <w:p>
            <w:pPr>
              <w:spacing w:after="0"/>
              <w:rPr>
                <w:sz w:val="22"/>
                <w:szCs w:val="22"/>
                <w:color w:val="auto"/>
              </w:rPr>
            </w:pPr>
          </w:p>
        </w:tc>
        <w:tc>
          <w:tcPr>
            <w:tcW w:w="4620" w:type="dxa"/>
            <w:vAlign w:val="bottom"/>
            <w:shd w:val="clear" w:color="auto" w:fill="C0C0C0"/>
          </w:tcPr>
          <w:p>
            <w:pPr>
              <w:ind w:left="600"/>
              <w:spacing w:after="0"/>
              <w:rPr>
                <w:sz w:val="20"/>
                <w:szCs w:val="20"/>
                <w:color w:val="auto"/>
              </w:rPr>
            </w:pPr>
            <w:r>
              <w:rPr>
                <w:rFonts w:ascii="Arial" w:cs="Arial" w:eastAsia="Arial" w:hAnsi="Arial"/>
                <w:sz w:val="18"/>
                <w:szCs w:val="18"/>
                <w:color w:val="auto"/>
              </w:rPr>
              <w:t>collaterized mortgage obligations</w:t>
            </w:r>
          </w:p>
        </w:tc>
        <w:tc>
          <w:tcPr>
            <w:tcW w:w="15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3,662</w:t>
            </w:r>
          </w:p>
        </w:tc>
        <w:tc>
          <w:tcPr>
            <w:tcW w:w="1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3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3,662</w:t>
            </w:r>
          </w:p>
        </w:tc>
        <w:tc>
          <w:tcPr>
            <w:tcW w:w="1320" w:type="dxa"/>
            <w:vAlign w:val="bottom"/>
            <w:shd w:val="clear" w:color="auto" w:fill="C0C0C0"/>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Arial" w:cs="Arial" w:eastAsia="Arial" w:hAnsi="Arial"/>
                <w:sz w:val="18"/>
                <w:szCs w:val="18"/>
                <w:color w:val="auto"/>
              </w:rPr>
              <w:t>Equity securities</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shd w:val="clear" w:color="auto" w:fill="C0C0C0"/>
          </w:tcPr>
          <w:p>
            <w:pPr>
              <w:spacing w:after="0" w:line="20" w:lineRule="exact"/>
              <w:rPr>
                <w:sz w:val="1"/>
                <w:szCs w:val="1"/>
                <w:color w:val="auto"/>
              </w:rPr>
            </w:pPr>
          </w:p>
        </w:tc>
        <w:tc>
          <w:tcPr>
            <w:tcW w:w="156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320" w:type="dxa"/>
            <w:vAlign w:val="bottom"/>
            <w:shd w:val="clear" w:color="auto" w:fill="C0C0C0"/>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620" w:type="dxa"/>
            <w:vAlign w:val="bottom"/>
            <w:shd w:val="clear" w:color="auto" w:fill="C0C0C0"/>
          </w:tcPr>
          <w:p>
            <w:pPr>
              <w:spacing w:after="0"/>
              <w:rPr>
                <w:sz w:val="20"/>
                <w:szCs w:val="20"/>
                <w:color w:val="auto"/>
              </w:rPr>
            </w:pPr>
          </w:p>
        </w:tc>
        <w:tc>
          <w:tcPr>
            <w:tcW w:w="1700" w:type="dxa"/>
            <w:vAlign w:val="bottom"/>
            <w:gridSpan w:val="2"/>
            <w:shd w:val="clear" w:color="auto" w:fill="C0C0C0"/>
          </w:tcPr>
          <w:p>
            <w:pPr>
              <w:ind w:left="1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5"/>
              </w:rPr>
              <w:t>181,335</w:t>
            </w:r>
          </w:p>
        </w:tc>
        <w:tc>
          <w:tcPr>
            <w:tcW w:w="240" w:type="dxa"/>
            <w:vAlign w:val="bottom"/>
            <w:gridSpan w:val="2"/>
            <w:shd w:val="clear" w:color="auto" w:fill="C0C0C0"/>
          </w:tcPr>
          <w:p>
            <w:pPr>
              <w:ind w:left="1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175,866</w:t>
            </w:r>
          </w:p>
        </w:tc>
        <w:tc>
          <w:tcPr>
            <w:tcW w:w="1320" w:type="dxa"/>
            <w:vAlign w:val="bottom"/>
            <w:shd w:val="clear" w:color="auto" w:fill="C0C0C0"/>
          </w:tcPr>
          <w:p>
            <w:pPr>
              <w:spacing w:after="0"/>
              <w:rPr>
                <w:sz w:val="20"/>
                <w:szCs w:val="20"/>
                <w:color w:val="auto"/>
              </w:rPr>
            </w:pPr>
          </w:p>
        </w:tc>
      </w:tr>
      <w:tr>
        <w:trPr>
          <w:trHeight w:val="35"/>
        </w:trPr>
        <w:tc>
          <w:tcPr>
            <w:tcW w:w="20" w:type="dxa"/>
            <w:vAlign w:val="bottom"/>
          </w:tcPr>
          <w:p>
            <w:pPr>
              <w:spacing w:after="0"/>
              <w:rPr>
                <w:sz w:val="3"/>
                <w:szCs w:val="3"/>
                <w:color w:val="auto"/>
              </w:rPr>
            </w:pPr>
          </w:p>
        </w:tc>
        <w:tc>
          <w:tcPr>
            <w:tcW w:w="4620" w:type="dxa"/>
            <w:vAlign w:val="bottom"/>
            <w:shd w:val="clear" w:color="auto" w:fill="C0C0C0"/>
          </w:tcPr>
          <w:p>
            <w:pPr>
              <w:spacing w:after="0"/>
              <w:rPr>
                <w:sz w:val="3"/>
                <w:szCs w:val="3"/>
                <w:color w:val="auto"/>
              </w:rPr>
            </w:pPr>
          </w:p>
        </w:tc>
        <w:tc>
          <w:tcPr>
            <w:tcW w:w="156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320" w:type="dxa"/>
            <w:vAlign w:val="bottom"/>
            <w:shd w:val="clear" w:color="auto" w:fill="C0C0C0"/>
          </w:tcPr>
          <w:p>
            <w:pPr>
              <w:spacing w:after="0"/>
              <w:rPr>
                <w:sz w:val="3"/>
                <w:szCs w:val="3"/>
                <w:color w:val="auto"/>
              </w:rPr>
            </w:pPr>
          </w:p>
        </w:tc>
      </w:tr>
    </w:tbl>
    <w:p>
      <w:pPr>
        <w:spacing w:after="0" w:line="2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During the three months ended March 31, 2010, deterioration in the credit quality of a marketable security from one issuer subjected the Company to the risk of not being able to recover the securities $1.1 million carrying value. As a result, the Company recognized a $0.1 million impairment charge related to this Level 2 marketable security, which the Company considered to be other-than-temporarily impaired. During the three months ended March 31, 2009, the Company did not record any charges for other-than-temporary impairment of its Level 2 marketable securities.</w:t>
      </w:r>
    </w:p>
    <w:p>
      <w:pPr>
        <w:spacing w:after="0" w:line="255"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At March 31, 2009 and December 31, 2008, the Company held one Level 3 marketable security whose fair value was $0.1 million. This Level 3 security was valued using information provided by the Company’s investment advisors, including quoted bid prices which take into consideration the securities’ current lack of liquidity. During the three months ended March 31, 2009, the Company did not record any settlements, realized gains or losses, or charges for other-than-temporary impairment related to this Level 3 marketable security. In addition, there were no purchases, sales, or maturities of Level 3 marketable securities and no unrealized gains or losses related to Level 3 marketable securities for the three months ended March 31, 2009. The Company held no Level 3 marketable securities at March 31, 2010 and December 31, 2009. There were no transfers of marketable securities between Levels 1, 2, or 3 classifications during the three months ended March 31, 2010 and 2009.</w:t>
      </w:r>
    </w:p>
    <w:p>
      <w:pPr>
        <w:spacing w:after="0" w:line="226"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73"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current economic environment and the deterioration in the credit quality of issuers of securities that the Company holds increase the risk of potential declines in the current market value of marketable securities in the Company’s investment portfolio. Such declines could result in charges against income in future periods for other-than-temporary impairments and the amounts could be material.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tcPr>
          <w:p>
            <w:pPr>
              <w:spacing w:after="0"/>
              <w:rPr>
                <w:sz w:val="20"/>
                <w:szCs w:val="20"/>
                <w:color w:val="auto"/>
              </w:rPr>
            </w:pPr>
            <w:r>
              <w:rPr>
                <w:rFonts w:ascii="Arial" w:cs="Arial" w:eastAsia="Arial" w:hAnsi="Arial"/>
                <w:sz w:val="18"/>
                <w:szCs w:val="18"/>
                <w:b w:val="1"/>
                <w:bCs w:val="1"/>
                <w:color w:val="auto"/>
              </w:rPr>
              <w:t>6. Accounts Payable and Accrued Expenses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86"/>
        </w:trPr>
        <w:tc>
          <w:tcPr>
            <w:tcW w:w="8280" w:type="dxa"/>
            <w:vAlign w:val="bottom"/>
          </w:tcPr>
          <w:p>
            <w:pPr>
              <w:ind w:left="280"/>
              <w:spacing w:after="0"/>
              <w:rPr>
                <w:sz w:val="20"/>
                <w:szCs w:val="20"/>
                <w:color w:val="auto"/>
              </w:rPr>
            </w:pPr>
            <w:r>
              <w:rPr>
                <w:rFonts w:ascii="Arial" w:cs="Arial" w:eastAsia="Arial" w:hAnsi="Arial"/>
                <w:sz w:val="18"/>
                <w:szCs w:val="18"/>
                <w:color w:val="auto"/>
                <w:w w:val="89"/>
              </w:rPr>
              <w:t>Accounts payable and accrued expenses as of March 31, 2010 and December 31, 2009 consist of the following:</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73"/>
        </w:trPr>
        <w:tc>
          <w:tcPr>
            <w:tcW w:w="828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March 31,</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85"/>
              </w:rPr>
              <w:t>December 31,</w:t>
            </w:r>
          </w:p>
        </w:tc>
      </w:tr>
      <w:tr>
        <w:trPr>
          <w:trHeight w:val="252"/>
        </w:trPr>
        <w:tc>
          <w:tcPr>
            <w:tcW w:w="8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2010</w:t>
            </w:r>
          </w:p>
        </w:tc>
        <w:tc>
          <w:tcPr>
            <w:tcW w:w="22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r>
      <w:tr>
        <w:trPr>
          <w:trHeight w:val="243"/>
        </w:trPr>
        <w:tc>
          <w:tcPr>
            <w:tcW w:w="8280" w:type="dxa"/>
            <w:vAlign w:val="bottom"/>
            <w:shd w:val="clear" w:color="auto" w:fill="C0C0C0"/>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14,315</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18,638</w:t>
            </w:r>
          </w:p>
        </w:tc>
      </w:tr>
      <w:tr>
        <w:trPr>
          <w:trHeight w:val="235"/>
        </w:trPr>
        <w:tc>
          <w:tcPr>
            <w:tcW w:w="828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9,444</w:t>
            </w:r>
          </w:p>
        </w:tc>
      </w:tr>
      <w:tr>
        <w:trPr>
          <w:trHeight w:val="251"/>
        </w:trPr>
        <w:tc>
          <w:tcPr>
            <w:tcW w:w="8280" w:type="dxa"/>
            <w:vAlign w:val="bottom"/>
            <w:shd w:val="clear" w:color="auto" w:fill="C0C0C0"/>
          </w:tcPr>
          <w:p>
            <w:pPr>
              <w:spacing w:after="0"/>
              <w:rPr>
                <w:sz w:val="20"/>
                <w:szCs w:val="20"/>
                <w:color w:val="auto"/>
              </w:rPr>
            </w:pPr>
            <w:r>
              <w:rPr>
                <w:rFonts w:ascii="Arial" w:cs="Arial" w:eastAsia="Arial" w:hAnsi="Arial"/>
                <w:sz w:val="18"/>
                <w:szCs w:val="18"/>
                <w:color w:val="auto"/>
              </w:rPr>
              <w:t>Accrued clinical trial expense</w:t>
            </w: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14,880</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11,673</w:t>
            </w:r>
          </w:p>
        </w:tc>
      </w:tr>
      <w:tr>
        <w:trPr>
          <w:trHeight w:val="235"/>
        </w:trPr>
        <w:tc>
          <w:tcPr>
            <w:tcW w:w="8280" w:type="dxa"/>
            <w:vAlign w:val="bottom"/>
          </w:tcPr>
          <w:p>
            <w:pPr>
              <w:spacing w:after="0"/>
              <w:rPr>
                <w:sz w:val="20"/>
                <w:szCs w:val="20"/>
                <w:color w:val="auto"/>
              </w:rPr>
            </w:pPr>
            <w:r>
              <w:rPr>
                <w:rFonts w:ascii="Arial" w:cs="Arial" w:eastAsia="Arial" w:hAnsi="Arial"/>
                <w:sz w:val="18"/>
                <w:szCs w:val="18"/>
                <w:color w:val="auto"/>
              </w:rPr>
              <w:t>Accrued property, plant, and equipment expenditures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1,883</w:t>
            </w:r>
          </w:p>
        </w:tc>
      </w:tr>
      <w:tr>
        <w:trPr>
          <w:trHeight w:val="251"/>
        </w:trPr>
        <w:tc>
          <w:tcPr>
            <w:tcW w:w="8280" w:type="dxa"/>
            <w:vAlign w:val="bottom"/>
            <w:shd w:val="clear" w:color="auto" w:fill="C0C0C0"/>
          </w:tcPr>
          <w:p>
            <w:pPr>
              <w:spacing w:after="0"/>
              <w:rPr>
                <w:sz w:val="20"/>
                <w:szCs w:val="20"/>
                <w:color w:val="auto"/>
              </w:rPr>
            </w:pPr>
            <w:r>
              <w:rPr>
                <w:rFonts w:ascii="Arial" w:cs="Arial" w:eastAsia="Arial" w:hAnsi="Arial"/>
                <w:sz w:val="18"/>
                <w:szCs w:val="18"/>
                <w:color w:val="auto"/>
              </w:rPr>
              <w:t>Accrued expenses, other</w:t>
            </w: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7,629</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6,207</w:t>
            </w:r>
          </w:p>
        </w:tc>
      </w:tr>
      <w:tr>
        <w:trPr>
          <w:trHeight w:val="237"/>
        </w:trPr>
        <w:tc>
          <w:tcPr>
            <w:tcW w:w="82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Payable to Bayer HealthCare</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r>
      <w:tr>
        <w:trPr>
          <w:trHeight w:val="250"/>
        </w:trPr>
        <w:tc>
          <w:tcPr>
            <w:tcW w:w="828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53,905</w:t>
            </w:r>
          </w:p>
        </w:tc>
        <w:tc>
          <w:tcPr>
            <w:tcW w:w="22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49,031</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Loss</w:t>
      </w:r>
    </w:p>
    <w:p>
      <w:pPr>
        <w:spacing w:after="0" w:line="285" w:lineRule="exact"/>
        <w:rPr>
          <w:sz w:val="20"/>
          <w:szCs w:val="20"/>
          <w:color w:val="auto"/>
        </w:rPr>
      </w:pPr>
    </w:p>
    <w:p>
      <w:pPr>
        <w:jc w:val="both"/>
        <w:ind w:firstLine="284"/>
        <w:spacing w:after="0" w:line="268" w:lineRule="auto"/>
        <w:rPr>
          <w:sz w:val="20"/>
          <w:szCs w:val="20"/>
          <w:color w:val="auto"/>
        </w:rPr>
      </w:pPr>
      <w:r>
        <w:rPr>
          <w:rFonts w:ascii="Arial" w:cs="Arial" w:eastAsia="Arial" w:hAnsi="Arial"/>
          <w:sz w:val="18"/>
          <w:szCs w:val="18"/>
          <w:color w:val="auto"/>
        </w:rPr>
        <w:t>Comprehensive loss of the Company includes net loss adjusted for the change in net unrealized gain (loss) on marketable securities, net of any tax effect. For the three months ended March 31, 2010 and 2009, the components of comprehensive loss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8"/>
                <w:szCs w:val="18"/>
                <w:b w:val="1"/>
                <w:bCs w:val="1"/>
                <w:color w:val="auto"/>
                <w:w w:val="88"/>
              </w:rPr>
              <w:t>Three months ended March 31,</w:t>
            </w:r>
          </w:p>
        </w:tc>
      </w:tr>
      <w:tr>
        <w:trPr>
          <w:trHeight w:val="237"/>
        </w:trPr>
        <w:tc>
          <w:tcPr>
            <w:tcW w:w="632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r>
      <w:tr>
        <w:trPr>
          <w:trHeight w:val="243"/>
        </w:trPr>
        <w:tc>
          <w:tcPr>
            <w:tcW w:w="632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(30,522)</w:t>
            </w:r>
          </w:p>
        </w:tc>
        <w:tc>
          <w:tcPr>
            <w:tcW w:w="220" w:type="dxa"/>
            <w:vAlign w:val="bottom"/>
            <w:shd w:val="clear" w:color="auto" w:fill="C0C0C0"/>
          </w:tcPr>
          <w:p>
            <w:pPr>
              <w:spacing w:after="0"/>
              <w:rPr>
                <w:sz w:val="21"/>
                <w:szCs w:val="21"/>
                <w:color w:val="auto"/>
              </w:rPr>
            </w:pPr>
          </w:p>
        </w:tc>
        <w:tc>
          <w:tcPr>
            <w:tcW w:w="240" w:type="dxa"/>
            <w:vAlign w:val="bottom"/>
            <w:shd w:val="clear" w:color="auto" w:fill="C0C0C0"/>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(15,388)</w:t>
            </w:r>
          </w:p>
        </w:tc>
      </w:tr>
      <w:tr>
        <w:trPr>
          <w:trHeight w:val="235"/>
        </w:trPr>
        <w:tc>
          <w:tcPr>
            <w:tcW w:w="632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(1,134)</w:t>
            </w:r>
          </w:p>
        </w:tc>
      </w:tr>
      <w:tr>
        <w:trPr>
          <w:trHeight w:val="244"/>
        </w:trPr>
        <w:tc>
          <w:tcPr>
            <w:tcW w:w="6320" w:type="dxa"/>
            <w:vAlign w:val="bottom"/>
            <w:shd w:val="clear" w:color="auto" w:fill="C0C0C0"/>
          </w:tcPr>
          <w:p>
            <w:pPr>
              <w:spacing w:after="0"/>
              <w:rPr>
                <w:sz w:val="20"/>
                <w:szCs w:val="20"/>
                <w:color w:val="auto"/>
              </w:rPr>
            </w:pPr>
            <w:r>
              <w:rPr>
                <w:rFonts w:ascii="Arial" w:cs="Arial" w:eastAsia="Arial" w:hAnsi="Arial"/>
                <w:sz w:val="18"/>
                <w:szCs w:val="18"/>
                <w:color w:val="auto"/>
              </w:rPr>
              <w:t>Tax benefit of decrease in net unrealized gain on marketable securities</w:t>
            </w:r>
          </w:p>
        </w:tc>
        <w:tc>
          <w:tcPr>
            <w:tcW w:w="13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r>
      <w:tr>
        <w:trPr>
          <w:trHeight w:val="250"/>
        </w:trPr>
        <w:tc>
          <w:tcPr>
            <w:tcW w:w="6320" w:type="dxa"/>
            <w:vAlign w:val="bottom"/>
          </w:tcPr>
          <w:p>
            <w:pPr>
              <w:ind w:left="320"/>
              <w:spacing w:after="0"/>
              <w:rPr>
                <w:sz w:val="20"/>
                <w:szCs w:val="20"/>
                <w:color w:val="auto"/>
              </w:rPr>
            </w:pPr>
            <w:r>
              <w:rPr>
                <w:rFonts w:ascii="Arial" w:cs="Arial" w:eastAsia="Arial" w:hAnsi="Arial"/>
                <w:sz w:val="18"/>
                <w:szCs w:val="18"/>
                <w:color w:val="auto"/>
              </w:rPr>
              <w:t>Total comprehensive loss</w:t>
            </w:r>
          </w:p>
        </w:tc>
        <w:tc>
          <w:tcPr>
            <w:tcW w:w="13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(30,849)</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(16,522)</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Revisions of Previously Issued Financial Statements</w:t>
      </w:r>
    </w:p>
    <w:p>
      <w:pPr>
        <w:spacing w:after="0" w:line="285"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The application of FASB authoritative guidance, under certain conditions, can result in the capitalization on a lessee’s books of a lessor’s costs of constructing facilities to be leased to the lessee. In mid-2009, the Company became aware that certain of these conditions were applicable to its December 2006 lease, as amended, of new laboratory and office facilities in Tarrytown, New York. As a result, the Company is deemed, in substance, to be the owner of the landlord’s buildings, and the landlord’s costs of constructing these new facilities were required to be capitalized on the Company’s books as a non-cash transaction, offset by a corresponding lease obligation on the Company’s balance sheet. In addition, the land element of the lease should have been accounted for as an operating lease; therefore, adjustments to non-cash rent expense previously recognized in connection with these new facilities were also required. Lease payments on these facilities commenced in August 2009.</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73"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color w:val="auto"/>
        </w:rPr>
        <w:t>As previously disclosed in the Company’s Annual Report on Form 10-K for the year ended December 31, 2009, the Company revised its previously issued financial statements to capitalize the landlord’s costs of constructing the new Tarrytown facilities which the Company is leasing and to adjust the Company’s previously recognized rent expense in connection with these facilities, as described above. These revisions primarily resulted in an increase to property, plant, and equipment and a corresponding increase in facility lease obligation (a long-term liability). The Company also revised its statements of operations and statements of cash flows to reflect rent expense in connection with only the land element of its lease, with a corresponding adjustment to other long-term liabilities. In addition, the Company’s statement of cash flows for the quarter ended March 31, 2009 was revised to reclassify, from an operating activity to a financing activity, a $5.2 million reimbursement received from the Company’s landlord for tenant improvement costs that the Company incurred. Under FASB authoritative guidance, such payments that the Company receives from its landlord are deemed to be a financing obligation.</w:t>
      </w:r>
    </w:p>
    <w:p>
      <w:pPr>
        <w:spacing w:after="0" w:line="226"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The above described revisions consisted entirely of non-cash adjustments. They had no impact on the Company’s business operations, existing capital resources, or the Company’s ability to fund its operating needs. The revisions also had no impact on the Company’s previously reported net increases or decreases in cash and cash equivalents. In addition, these revisions had no impact on the Company’s previously reported current assets, current liabilities, and operating revenues. The Company did not amend previously issued financial statements because, after considering both qualitative and quantitative factors, the Company determined that the judgment of a reasonable person relying on the Company’s previously issued financial statements would not have been changed or influenced by these revisions.</w:t>
      </w:r>
    </w:p>
    <w:p>
      <w:pPr>
        <w:spacing w:after="0" w:line="252"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For comparative purposes, the impact of the above described revisions to the Company’s statement of operations, statement of stockholders’ equity, and statement of cash flows for the three months ended March 31, 2009 is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Impact for the three months ended March 31,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As Originally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2"/>
        </w:trPr>
        <w:tc>
          <w:tcPr>
            <w:tcW w:w="580" w:type="dxa"/>
            <w:vAlign w:val="bottom"/>
          </w:tcPr>
          <w:p>
            <w:pPr>
              <w:spacing w:after="0"/>
              <w:rPr>
                <w:sz w:val="21"/>
                <w:szCs w:val="21"/>
                <w:color w:val="auto"/>
              </w:rPr>
            </w:pPr>
          </w:p>
        </w:tc>
        <w:tc>
          <w:tcPr>
            <w:tcW w:w="6880" w:type="dxa"/>
            <w:vAlign w:val="bottom"/>
            <w:tcBorders>
              <w:bottom w:val="single" w:sz="8" w:color="C0C0C0"/>
            </w:tcBorders>
          </w:tcPr>
          <w:p>
            <w:pPr>
              <w:spacing w:after="0"/>
              <w:rPr>
                <w:sz w:val="21"/>
                <w:szCs w:val="21"/>
                <w:color w:val="auto"/>
              </w:rPr>
            </w:pPr>
          </w:p>
        </w:tc>
        <w:tc>
          <w:tcPr>
            <w:tcW w:w="11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Reported</w:t>
            </w:r>
          </w:p>
        </w:tc>
        <w:tc>
          <w:tcPr>
            <w:tcW w:w="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As Revised</w:t>
            </w:r>
          </w:p>
        </w:tc>
      </w:tr>
      <w:tr>
        <w:trPr>
          <w:trHeight w:val="243"/>
        </w:trPr>
        <w:tc>
          <w:tcPr>
            <w:tcW w:w="580" w:type="dxa"/>
            <w:vAlign w:val="bottom"/>
          </w:tcPr>
          <w:p>
            <w:pPr>
              <w:spacing w:after="0"/>
              <w:rPr>
                <w:sz w:val="21"/>
                <w:szCs w:val="21"/>
                <w:color w:val="auto"/>
              </w:rPr>
            </w:pPr>
          </w:p>
        </w:tc>
        <w:tc>
          <w:tcPr>
            <w:tcW w:w="688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center"/>
              <w:ind w:left="392"/>
              <w:spacing w:after="0"/>
              <w:rPr>
                <w:sz w:val="20"/>
                <w:szCs w:val="20"/>
                <w:color w:val="auto"/>
              </w:rPr>
            </w:pPr>
            <w:r>
              <w:rPr>
                <w:rFonts w:ascii="Arial" w:cs="Arial" w:eastAsia="Arial" w:hAnsi="Arial"/>
                <w:sz w:val="18"/>
                <w:szCs w:val="18"/>
                <w:color w:val="auto"/>
                <w:w w:val="91"/>
              </w:rPr>
              <w:t>82.1</w:t>
            </w:r>
          </w:p>
        </w:tc>
        <w:tc>
          <w:tcPr>
            <w:tcW w:w="500" w:type="dxa"/>
            <w:vAlign w:val="bottom"/>
            <w:gridSpan w:val="3"/>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80.3</w:t>
            </w:r>
          </w:p>
        </w:tc>
      </w:tr>
      <w:tr>
        <w:trPr>
          <w:trHeight w:val="235"/>
        </w:trPr>
        <w:tc>
          <w:tcPr>
            <w:tcW w:w="7460" w:type="dxa"/>
            <w:vAlign w:val="bottom"/>
            <w:gridSpan w:val="2"/>
          </w:tcPr>
          <w:p>
            <w:pPr>
              <w:ind w:left="58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left="412"/>
              <w:spacing w:after="0"/>
              <w:rPr>
                <w:sz w:val="20"/>
                <w:szCs w:val="20"/>
                <w:color w:val="auto"/>
              </w:rPr>
            </w:pPr>
            <w:r>
              <w:rPr>
                <w:rFonts w:ascii="Arial" w:cs="Arial" w:eastAsia="Arial" w:hAnsi="Arial"/>
                <w:sz w:val="18"/>
                <w:szCs w:val="18"/>
                <w:color w:val="auto"/>
                <w:w w:val="85"/>
              </w:rPr>
              <w:t>11.7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11.4</w:t>
            </w:r>
          </w:p>
        </w:tc>
      </w:tr>
      <w:tr>
        <w:trPr>
          <w:trHeight w:val="251"/>
        </w:trPr>
        <w:tc>
          <w:tcPr>
            <w:tcW w:w="580" w:type="dxa"/>
            <w:vAlign w:val="bottom"/>
          </w:tcPr>
          <w:p>
            <w:pPr>
              <w:spacing w:after="0"/>
              <w:rPr>
                <w:sz w:val="21"/>
                <w:szCs w:val="21"/>
                <w:color w:val="auto"/>
              </w:rPr>
            </w:pPr>
          </w:p>
        </w:tc>
        <w:tc>
          <w:tcPr>
            <w:tcW w:w="6880" w:type="dxa"/>
            <w:vAlign w:val="bottom"/>
            <w:shd w:val="clear" w:color="auto" w:fill="C0C0C0"/>
          </w:tcPr>
          <w:p>
            <w:pPr>
              <w:spacing w:after="0"/>
              <w:rPr>
                <w:sz w:val="20"/>
                <w:szCs w:val="20"/>
                <w:color w:val="auto"/>
              </w:rPr>
            </w:pPr>
            <w:r>
              <w:rPr>
                <w:rFonts w:ascii="Arial" w:cs="Arial" w:eastAsia="Arial" w:hAnsi="Arial"/>
                <w:sz w:val="18"/>
                <w:szCs w:val="18"/>
                <w:color w:val="auto"/>
              </w:rPr>
              <w:t>Total expenses</w:t>
            </w:r>
          </w:p>
        </w:tc>
        <w:tc>
          <w:tcPr>
            <w:tcW w:w="110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center"/>
              <w:ind w:left="392"/>
              <w:spacing w:after="0"/>
              <w:rPr>
                <w:sz w:val="20"/>
                <w:szCs w:val="20"/>
                <w:color w:val="auto"/>
              </w:rPr>
            </w:pPr>
            <w:r>
              <w:rPr>
                <w:rFonts w:ascii="Arial" w:cs="Arial" w:eastAsia="Arial" w:hAnsi="Arial"/>
                <w:sz w:val="18"/>
                <w:szCs w:val="18"/>
                <w:color w:val="auto"/>
                <w:w w:val="91"/>
              </w:rPr>
              <w:t>94.2</w:t>
            </w:r>
          </w:p>
        </w:tc>
        <w:tc>
          <w:tcPr>
            <w:tcW w:w="40" w:type="dxa"/>
            <w:vAlign w:val="bottom"/>
            <w:shd w:val="clear" w:color="auto" w:fill="C0C0C0"/>
          </w:tcPr>
          <w:p>
            <w:pPr>
              <w:spacing w:after="0"/>
              <w:rPr>
                <w:sz w:val="21"/>
                <w:szCs w:val="21"/>
                <w:color w:val="auto"/>
              </w:rPr>
            </w:pPr>
          </w:p>
        </w:tc>
        <w:tc>
          <w:tcPr>
            <w:tcW w:w="220" w:type="dxa"/>
            <w:vAlign w:val="bottom"/>
            <w:tcBorders>
              <w:right w:val="single" w:sz="8" w:color="C0C0C0"/>
            </w:tcBorders>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92.1</w:t>
            </w:r>
          </w:p>
        </w:tc>
      </w:tr>
      <w:tr>
        <w:trPr>
          <w:trHeight w:val="235"/>
        </w:trPr>
        <w:tc>
          <w:tcPr>
            <w:tcW w:w="746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left="412"/>
              <w:spacing w:after="0"/>
              <w:rPr>
                <w:sz w:val="20"/>
                <w:szCs w:val="20"/>
                <w:color w:val="auto"/>
              </w:rPr>
            </w:pPr>
            <w:r>
              <w:rPr>
                <w:rFonts w:ascii="Arial" w:cs="Arial" w:eastAsia="Arial" w:hAnsi="Arial"/>
                <w:sz w:val="18"/>
                <w:szCs w:val="18"/>
                <w:color w:val="auto"/>
                <w:w w:val="89"/>
              </w:rPr>
              <w:t>(17.5)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51"/>
        </w:trPr>
        <w:tc>
          <w:tcPr>
            <w:tcW w:w="580" w:type="dxa"/>
            <w:vAlign w:val="bottom"/>
          </w:tcPr>
          <w:p>
            <w:pPr>
              <w:spacing w:after="0"/>
              <w:rPr>
                <w:sz w:val="21"/>
                <w:szCs w:val="21"/>
                <w:color w:val="auto"/>
              </w:rPr>
            </w:pPr>
          </w:p>
        </w:tc>
        <w:tc>
          <w:tcPr>
            <w:tcW w:w="688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12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center"/>
              <w:ind w:left="412"/>
              <w:spacing w:after="0"/>
              <w:rPr>
                <w:sz w:val="20"/>
                <w:szCs w:val="20"/>
                <w:color w:val="auto"/>
              </w:rPr>
            </w:pPr>
            <w:r>
              <w:rPr>
                <w:rFonts w:ascii="Arial" w:cs="Arial" w:eastAsia="Arial" w:hAnsi="Arial"/>
                <w:sz w:val="18"/>
                <w:szCs w:val="18"/>
                <w:color w:val="auto"/>
                <w:w w:val="89"/>
              </w:rPr>
              <w:t>(0.22)</w:t>
            </w:r>
          </w:p>
        </w:tc>
        <w:tc>
          <w:tcPr>
            <w:tcW w:w="500" w:type="dxa"/>
            <w:vAlign w:val="bottom"/>
            <w:gridSpan w:val="3"/>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(0.19)</w:t>
            </w:r>
          </w:p>
        </w:tc>
      </w:tr>
      <w:tr>
        <w:trPr>
          <w:trHeight w:val="451"/>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Statement of Stockholders’ Equity Impact for the three months ended March 31, 2009</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3"/>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As Originally</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2"/>
        </w:trPr>
        <w:tc>
          <w:tcPr>
            <w:tcW w:w="580" w:type="dxa"/>
            <w:vAlign w:val="bottom"/>
          </w:tcPr>
          <w:p>
            <w:pPr>
              <w:spacing w:after="0"/>
              <w:rPr>
                <w:sz w:val="21"/>
                <w:szCs w:val="21"/>
                <w:color w:val="auto"/>
              </w:rPr>
            </w:pPr>
          </w:p>
        </w:tc>
        <w:tc>
          <w:tcPr>
            <w:tcW w:w="6880" w:type="dxa"/>
            <w:vAlign w:val="bottom"/>
            <w:tcBorders>
              <w:bottom w:val="single" w:sz="8" w:color="C0C0C0"/>
            </w:tcBorders>
          </w:tcPr>
          <w:p>
            <w:pPr>
              <w:spacing w:after="0"/>
              <w:rPr>
                <w:sz w:val="21"/>
                <w:szCs w:val="21"/>
                <w:color w:val="auto"/>
              </w:rPr>
            </w:pPr>
          </w:p>
        </w:tc>
        <w:tc>
          <w:tcPr>
            <w:tcW w:w="11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Reported</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As Revised</w:t>
            </w:r>
          </w:p>
        </w:tc>
      </w:tr>
      <w:tr>
        <w:trPr>
          <w:trHeight w:val="243"/>
        </w:trPr>
        <w:tc>
          <w:tcPr>
            <w:tcW w:w="580" w:type="dxa"/>
            <w:vAlign w:val="bottom"/>
          </w:tcPr>
          <w:p>
            <w:pPr>
              <w:spacing w:after="0"/>
              <w:rPr>
                <w:sz w:val="21"/>
                <w:szCs w:val="21"/>
                <w:color w:val="auto"/>
              </w:rPr>
            </w:pPr>
          </w:p>
        </w:tc>
        <w:tc>
          <w:tcPr>
            <w:tcW w:w="6880" w:type="dxa"/>
            <w:vAlign w:val="bottom"/>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center"/>
              <w:ind w:left="392"/>
              <w:spacing w:after="0"/>
              <w:rPr>
                <w:sz w:val="20"/>
                <w:szCs w:val="20"/>
                <w:color w:val="auto"/>
              </w:rPr>
            </w:pPr>
            <w:r>
              <w:rPr>
                <w:rFonts w:ascii="Arial" w:cs="Arial" w:eastAsia="Arial" w:hAnsi="Arial"/>
                <w:sz w:val="18"/>
                <w:szCs w:val="18"/>
                <w:color w:val="auto"/>
                <w:w w:val="91"/>
              </w:rPr>
              <w:t>(893.4)</w:t>
            </w:r>
          </w:p>
        </w:tc>
        <w:tc>
          <w:tcPr>
            <w:tcW w:w="500" w:type="dxa"/>
            <w:vAlign w:val="bottom"/>
            <w:gridSpan w:val="3"/>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(887.7)</w:t>
            </w:r>
          </w:p>
        </w:tc>
      </w:tr>
      <w:tr>
        <w:trPr>
          <w:trHeight w:val="228"/>
        </w:trPr>
        <w:tc>
          <w:tcPr>
            <w:tcW w:w="7460" w:type="dxa"/>
            <w:vAlign w:val="bottom"/>
            <w:gridSpan w:val="2"/>
          </w:tcPr>
          <w:p>
            <w:pPr>
              <w:ind w:left="580"/>
              <w:spacing w:after="0"/>
              <w:rPr>
                <w:sz w:val="20"/>
                <w:szCs w:val="20"/>
                <w:color w:val="auto"/>
              </w:rPr>
            </w:pPr>
            <w:r>
              <w:rPr>
                <w:rFonts w:ascii="Arial" w:cs="Arial" w:eastAsia="Arial" w:hAnsi="Arial"/>
                <w:sz w:val="18"/>
                <w:szCs w:val="18"/>
                <w:color w:val="auto"/>
              </w:rPr>
              <w:t>Total stockholders’ equity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392"/>
              <w:spacing w:after="0"/>
              <w:rPr>
                <w:sz w:val="20"/>
                <w:szCs w:val="20"/>
                <w:color w:val="auto"/>
              </w:rPr>
            </w:pPr>
            <w:r>
              <w:rPr>
                <w:rFonts w:ascii="Arial" w:cs="Arial" w:eastAsia="Arial" w:hAnsi="Arial"/>
                <w:sz w:val="18"/>
                <w:szCs w:val="18"/>
                <w:color w:val="auto"/>
                <w:w w:val="88"/>
              </w:rPr>
              <w:t>410.3</w:t>
            </w:r>
          </w:p>
        </w:tc>
        <w:tc>
          <w:tcPr>
            <w:tcW w:w="50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415.1</w:t>
            </w:r>
          </w:p>
        </w:tc>
      </w:tr>
      <w:tr>
        <w:trPr>
          <w:trHeight w:val="466"/>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Impact for the three months ended March 31, 2009</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73"/>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As Originally</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2"/>
        </w:trPr>
        <w:tc>
          <w:tcPr>
            <w:tcW w:w="580" w:type="dxa"/>
            <w:vAlign w:val="bottom"/>
          </w:tcPr>
          <w:p>
            <w:pPr>
              <w:spacing w:after="0"/>
              <w:rPr>
                <w:sz w:val="21"/>
                <w:szCs w:val="21"/>
                <w:color w:val="auto"/>
              </w:rPr>
            </w:pPr>
          </w:p>
        </w:tc>
        <w:tc>
          <w:tcPr>
            <w:tcW w:w="6880" w:type="dxa"/>
            <w:vAlign w:val="bottom"/>
            <w:tcBorders>
              <w:bottom w:val="single" w:sz="8" w:color="C0C0C0"/>
            </w:tcBorders>
          </w:tcPr>
          <w:p>
            <w:pPr>
              <w:spacing w:after="0"/>
              <w:rPr>
                <w:sz w:val="21"/>
                <w:szCs w:val="21"/>
                <w:color w:val="auto"/>
              </w:rPr>
            </w:pPr>
          </w:p>
        </w:tc>
        <w:tc>
          <w:tcPr>
            <w:tcW w:w="11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8"/>
              </w:rPr>
              <w:t>Reported</w:t>
            </w:r>
          </w:p>
        </w:tc>
        <w:tc>
          <w:tcPr>
            <w:tcW w:w="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As Revised</w:t>
            </w:r>
          </w:p>
        </w:tc>
      </w:tr>
      <w:tr>
        <w:trPr>
          <w:trHeight w:val="243"/>
        </w:trPr>
        <w:tc>
          <w:tcPr>
            <w:tcW w:w="580" w:type="dxa"/>
            <w:vAlign w:val="bottom"/>
          </w:tcPr>
          <w:p>
            <w:pPr>
              <w:spacing w:after="0"/>
              <w:rPr>
                <w:sz w:val="21"/>
                <w:szCs w:val="21"/>
                <w:color w:val="auto"/>
              </w:rPr>
            </w:pPr>
          </w:p>
        </w:tc>
        <w:tc>
          <w:tcPr>
            <w:tcW w:w="688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center"/>
              <w:ind w:left="412"/>
              <w:spacing w:after="0"/>
              <w:rPr>
                <w:sz w:val="20"/>
                <w:szCs w:val="20"/>
                <w:color w:val="auto"/>
              </w:rPr>
            </w:pPr>
            <w:r>
              <w:rPr>
                <w:rFonts w:ascii="Arial" w:cs="Arial" w:eastAsia="Arial" w:hAnsi="Arial"/>
                <w:sz w:val="18"/>
                <w:szCs w:val="18"/>
                <w:color w:val="auto"/>
                <w:w w:val="89"/>
              </w:rPr>
              <w:t>(10.2)</w:t>
            </w:r>
          </w:p>
        </w:tc>
        <w:tc>
          <w:tcPr>
            <w:tcW w:w="500" w:type="dxa"/>
            <w:vAlign w:val="bottom"/>
            <w:gridSpan w:val="3"/>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w:t>
            </w:r>
          </w:p>
        </w:tc>
      </w:tr>
      <w:tr>
        <w:trPr>
          <w:trHeight w:val="235"/>
        </w:trPr>
        <w:tc>
          <w:tcPr>
            <w:tcW w:w="7460" w:type="dxa"/>
            <w:vAlign w:val="bottom"/>
            <w:gridSpan w:val="2"/>
          </w:tcPr>
          <w:p>
            <w:pPr>
              <w:ind w:left="58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left="412"/>
              <w:spacing w:after="0"/>
              <w:rPr>
                <w:sz w:val="20"/>
                <w:szCs w:val="20"/>
                <w:color w:val="auto"/>
              </w:rPr>
            </w:pPr>
            <w:r>
              <w:rPr>
                <w:rFonts w:ascii="Arial" w:cs="Arial" w:eastAsia="Arial" w:hAnsi="Arial"/>
                <w:sz w:val="18"/>
                <w:szCs w:val="18"/>
                <w:color w:val="auto"/>
                <w:w w:val="89"/>
              </w:rPr>
              <w:t>(39.5)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44"/>
        </w:trPr>
        <w:tc>
          <w:tcPr>
            <w:tcW w:w="580" w:type="dxa"/>
            <w:vAlign w:val="bottom"/>
          </w:tcPr>
          <w:p>
            <w:pPr>
              <w:spacing w:after="0"/>
              <w:rPr>
                <w:sz w:val="21"/>
                <w:szCs w:val="21"/>
                <w:color w:val="auto"/>
              </w:rPr>
            </w:pPr>
          </w:p>
        </w:tc>
        <w:tc>
          <w:tcPr>
            <w:tcW w:w="688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right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w:t>
            </w:r>
          </w:p>
        </w:tc>
        <w:tc>
          <w:tcPr>
            <w:tcW w:w="40" w:type="dxa"/>
            <w:vAlign w:val="bottom"/>
            <w:shd w:val="clear" w:color="auto" w:fill="C0C0C0"/>
          </w:tcPr>
          <w:p>
            <w:pPr>
              <w:spacing w:after="0"/>
              <w:rPr>
                <w:sz w:val="21"/>
                <w:szCs w:val="21"/>
                <w:color w:val="auto"/>
              </w:rPr>
            </w:pPr>
          </w:p>
        </w:tc>
        <w:tc>
          <w:tcPr>
            <w:tcW w:w="220" w:type="dxa"/>
            <w:vAlign w:val="bottom"/>
            <w:tcBorders>
              <w:right w:val="single" w:sz="8" w:color="C0C0C0"/>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6.2</w:t>
            </w:r>
          </w:p>
        </w:tc>
      </w:tr>
      <w:tr>
        <w:trPr>
          <w:trHeight w:val="242"/>
        </w:trPr>
        <w:tc>
          <w:tcPr>
            <w:tcW w:w="580" w:type="dxa"/>
            <w:vAlign w:val="bottom"/>
          </w:tcPr>
          <w:p>
            <w:pPr>
              <w:spacing w:after="0"/>
              <w:rPr>
                <w:sz w:val="21"/>
                <w:szCs w:val="21"/>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rPr>
              <w:t>Net decrease in cash and cash equivalents</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412"/>
              <w:spacing w:after="0"/>
              <w:rPr>
                <w:sz w:val="20"/>
                <w:szCs w:val="20"/>
                <w:color w:val="auto"/>
              </w:rPr>
            </w:pPr>
            <w:r>
              <w:rPr>
                <w:rFonts w:ascii="Arial" w:cs="Arial" w:eastAsia="Arial" w:hAnsi="Arial"/>
                <w:sz w:val="18"/>
                <w:szCs w:val="18"/>
                <w:color w:val="auto"/>
                <w:w w:val="89"/>
              </w:rPr>
              <w:t>(48.7)</w:t>
            </w:r>
          </w:p>
        </w:tc>
        <w:tc>
          <w:tcPr>
            <w:tcW w:w="50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8"/>
        </w:trPr>
        <w:tc>
          <w:tcPr>
            <w:tcW w:w="5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302" w:lineRule="exact"/>
        <w:rPr>
          <w:sz w:val="20"/>
          <w:szCs w:val="20"/>
          <w:color w:val="auto"/>
        </w:rPr>
      </w:pPr>
    </w:p>
    <w:p>
      <w:pPr>
        <w:ind w:firstLine="311"/>
        <w:spacing w:after="0" w:line="268" w:lineRule="auto"/>
        <w:rPr>
          <w:sz w:val="20"/>
          <w:szCs w:val="20"/>
          <w:color w:val="auto"/>
        </w:rPr>
      </w:pPr>
      <w:r>
        <w:rPr>
          <w:rFonts w:ascii="Arial" w:cs="Arial" w:eastAsia="Arial" w:hAnsi="Arial"/>
          <w:sz w:val="18"/>
          <w:szCs w:val="18"/>
          <w:color w:val="auto"/>
        </w:rPr>
        <w:t>These revised amounts are reflected in the Company’s financial statements included in this Quarterly Report on Form 10-Q for the period ended March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Legal Matters</w:t>
      </w:r>
    </w:p>
    <w:p>
      <w:pPr>
        <w:spacing w:after="0" w:line="285"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From time to time, the Company is a party to legal proceedings in the course of its business. The Company does not expect any such current legal proceedings to have a material adverse effect on the Company’s business or financial condition.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Future Impact of Recently Issued Accounting Standards</w:t>
      </w:r>
    </w:p>
    <w:p>
      <w:pPr>
        <w:spacing w:after="0" w:line="285"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In March 2009, the FASB amended its authoritative guidance on the milestone method of revenue recognition. The milestone method of revenue recognition has now been codified as an acceptable revenue recognition model when a milestone is deemed to be substantive. This guidance may be applied retrospectively to all arrangements or prospectively for milestones achieved after the adoption of the guidance. The Company will be required to adopt this amended guidance for the fiscal year beginning January 1, 2011, although earlier adoption is permitted. Management does not anticipate that the adoption of this guidance will have a material impact on the Company’s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5"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anticipated sales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shareholders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5" w:lineRule="exact"/>
        <w:rPr>
          <w:sz w:val="20"/>
          <w:szCs w:val="20"/>
          <w:color w:val="auto"/>
        </w:rPr>
      </w:pPr>
    </w:p>
    <w:p>
      <w:pPr>
        <w:jc w:val="both"/>
        <w:ind w:firstLine="297"/>
        <w:spacing w:after="0" w:line="232"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267"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color w:val="auto"/>
        </w:rPr>
        <w:t>We have eight product candidates in clinical development, including three product candidates that are in late-stage (Phase 3) clinical development. Our late stage programs are rilonacept, which is being developed for the prevention and treatment of gout-related flares; VEGF Trap-Eye, which is being developed in eye diseases using intraocular delivery in collaboration with Bayer HealthCare LLC; and aflibercept (VEGF Trap), which is being developed in oncology in collaboration with the sanofi-aventis Group. Our earlier stage clinical programs are REGN475, an antibody to Nerve Growth Factor (NGF), which is being developed for the treatment of pain; REGN88, an antibody to the interleukin-6 receptor (IL-6R), which is being developed in rheumatoid arthritis; REGN421, an antibody to Delta-like ligand-4 (Dll4), which is being developed in oncology; REGN727, an antibody to PCSK9, which is being developed for low density lipoprotein (LDL) cholesterol reduction; and REGN668, an antibody to the interleukin-4 receptor (IL-4R), which is being developed for certain allergic and immune conditions. All five of our earlier stage clinical programs are fully human antibodies that are being developed in collaboration with sanofi-aventis.</w:t>
      </w:r>
    </w:p>
    <w:p>
      <w:pPr>
        <w:spacing w:after="0" w:line="2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combine that foundation with our clinical development and manufacturing capabilities. Our long-term objective is to build a successful, integrated biopharmaceutical company that provides patients and medical professionals with new and better options for preventing and treating human diseases. However, developing and commercializing new medicines entails significant risk and expense.</w:t>
      </w:r>
    </w:p>
    <w:p>
      <w:pPr>
        <w:spacing w:after="0" w:line="251" w:lineRule="exact"/>
        <w:rPr>
          <w:sz w:val="20"/>
          <w:szCs w:val="20"/>
          <w:color w:val="auto"/>
        </w:rPr>
      </w:pPr>
    </w:p>
    <w:p>
      <w:pPr>
        <w:jc w:val="both"/>
        <w:ind w:firstLine="297"/>
        <w:spacing w:after="0" w:line="249"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to understand the role of these proteins in normal physiology as well as in models of disease. Our human monoclonal antibody technology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and cell line expression technologies (</w:t>
      </w:r>
      <w:r>
        <w:rPr>
          <w:rFonts w:ascii="Arial" w:cs="Arial" w:eastAsia="Arial" w:hAnsi="Arial"/>
          <w:sz w:val="16"/>
          <w:szCs w:val="16"/>
          <w:i w:val="1"/>
          <w:iCs w:val="1"/>
          <w:color w:val="auto"/>
        </w:rPr>
        <w:t>VelociMab</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may then be utilized to design and produce new product candidates directed against the disease target. Our five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Under the terms of our antibody collaboration with sanofi-aventis, which was expanded during 2009, we plan to advance an average of four to five new antibody product candidates into clinical development each year, for an anticipated total of 30-40 candidates over the next eight years. We continue to invest in the development of enabling technologies to assist in our efforts to identify, develop, manufacture, and commercialize new product candidates.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Commercial Product: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(rilonacept) – Cryopyrin-Associated Periodic Syndromes (CAPS)</w:t>
      </w:r>
    </w:p>
    <w:p>
      <w:pPr>
        <w:spacing w:after="0" w:line="210" w:lineRule="exact"/>
        <w:rPr>
          <w:sz w:val="20"/>
          <w:szCs w:val="20"/>
          <w:color w:val="auto"/>
        </w:rPr>
      </w:pPr>
    </w:p>
    <w:p>
      <w:pPr>
        <w:jc w:val="both"/>
        <w:ind w:firstLine="270"/>
        <w:spacing w:after="0" w:line="208" w:lineRule="auto"/>
        <w:rPr>
          <w:sz w:val="20"/>
          <w:szCs w:val="20"/>
          <w:color w:val="auto"/>
        </w:rPr>
      </w:pPr>
      <w:r>
        <w:rPr>
          <w:rFonts w:ascii="Arial" w:cs="Arial" w:eastAsia="Arial" w:hAnsi="Arial"/>
          <w:sz w:val="17"/>
          <w:szCs w:val="17"/>
          <w:color w:val="auto"/>
        </w:rPr>
        <w:t>We recognized $9.9 million of net product sales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in the first quarter of 2010, which included $5.1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made during the quarter and $4.8 million of previously deferred net product sales, as described below under “Results of Operations.” In the same quarter of 2009, we recognized $3.9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is available for prescription in the United States for the treatment of Cryopyrin-Associated Periodic Syndromes (CAPS), including Familial Cold Auto-inflammatory Syndrome (FCAS) and Muckle-Wells Syndrome (MWS) in adults and children 12 and older.</w:t>
      </w:r>
    </w:p>
    <w:p>
      <w:pPr>
        <w:spacing w:after="0" w:line="264" w:lineRule="exact"/>
        <w:rPr>
          <w:sz w:val="20"/>
          <w:szCs w:val="20"/>
          <w:color w:val="auto"/>
        </w:rPr>
      </w:pPr>
    </w:p>
    <w:p>
      <w:pPr>
        <w:jc w:val="both"/>
        <w:ind w:firstLine="338"/>
        <w:spacing w:after="0" w:line="233"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is a protein-based product designed to bind the interleukin-1 (called IL-1) cytokine and prevent its interaction with cell surface receptors. CAPS is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67" w:lineRule="exact"/>
        <w:rPr>
          <w:sz w:val="20"/>
          <w:szCs w:val="20"/>
          <w:color w:val="auto"/>
        </w:rPr>
      </w:pPr>
    </w:p>
    <w:p>
      <w:pPr>
        <w:jc w:val="both"/>
        <w:ind w:firstLine="378"/>
        <w:spacing w:after="0" w:line="227" w:lineRule="auto"/>
        <w:rPr>
          <w:sz w:val="20"/>
          <w:szCs w:val="20"/>
          <w:color w:val="auto"/>
        </w:rPr>
      </w:pPr>
      <w:r>
        <w:rPr>
          <w:rFonts w:ascii="Arial" w:cs="Arial" w:eastAsia="Arial" w:hAnsi="Arial"/>
          <w:sz w:val="18"/>
          <w:szCs w:val="18"/>
          <w:color w:val="auto"/>
        </w:rPr>
        <w:t>In October 2009, rilonacept was approved under exceptional circumstances by the European Medicines Agency for the treatment of CAPS with severe symptoms in adults and children 12 and older. Rilonacept is not currently marketed in the European Union. We own worldwide rights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Rilonacept – Inflammatory Diseases</w:t>
      </w:r>
    </w:p>
    <w:p>
      <w:pPr>
        <w:spacing w:after="0" w:line="27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We are evaluating rilonacept in gout, a disease in which, as in CAPS, IL-1 may play an important role in pain and inflammation. Gout is characterized by high blood levels of uric acid, a bodily waste product normally excreted by the kidneys. The elevated uric acid can lead to formation of urate crystals in the joints of the toes, ankles, knees, wrists, fingers, and elbows. Chronic treatment with uric acid-lowering medicines, such as allopurinol, is prescribed to eliminate the urate crystals and prevent reformation. During the first months of allopurinol therapy, while uric acid blood levels are being reduced, the break up of the urate crystals can result in stimulation of inflammatory mediators, including IL-1, resulting in acute flares of joint pain and inflammation. These painful flares generally persist for at least five days.</w:t>
      </w:r>
    </w:p>
    <w:p>
      <w:pPr>
        <w:spacing w:after="0" w:line="2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first quarter of 2009, we initiated a Phase 3 clinical development program with rilonacept for the treatment of gout. The program includes four clinical trials. Two Phase 3 clinical trials (called PRE-SURGE 1 and PRE-SURGE 2) are evaluating rilonacept versus placebo for the prevention of gout flares in patients initiating urate-lowering drug therapy. A third Phase 3 trial in acute gout (SURGE) is evaluating treatment with rilonacept alone versus rilonacept in combination with a non-steroidal anti-inflammatory drug (NSAID) versus an NSAID alone. The fourth Phase 3 trial is a placebo-controlled safety study (RE-SURGE) of rilonacept in patients receiving urate-lowering therapy. SURGE and PRE-SURGE 1 are fully enrolled. We expect to report initial data from SURGE and PRE-SURGE 1 during the second quarter of 2010 and from PRE-SURGE 2 and RE-SURGE during the first half of 2011. We own worldwide rights to rilonacept.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Agreement with Novartis Pharma AG</w:t>
      </w:r>
    </w:p>
    <w:p>
      <w:pPr>
        <w:spacing w:after="0" w:line="28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Under a June 2009 agreement with Novartis Pharma AG (that replaced a previous collaboration and license agreement), we receive royalties on worldwide sales of Novartis’ canakinumab, a fully human anti-interleukin-IL1ß antibody. Canakinumab is approved to treat Cryopyrin-Associated Periodic Syndrome (CAPS) and is in development for gout, type 2 diabetes, and other inflammatory diseases.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Trap-Eye – Ophthalmologic Diseases</w:t>
      </w:r>
    </w:p>
    <w:p>
      <w:pPr>
        <w:spacing w:after="0" w:line="279"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VEGF Trap-Eye is a specially purified and formulated form of VEGF Trap for use in intraocular applications. We and Bayer HealthCare are testing VEGF Trap-Eye in a Phase 3 program in patients with the neovascular form of age-related macular degeneration (wet AMD). We and Bayer HealthCare are also conducting a Phase 2 study of VEGF Trap-Eye in patients with diabetic macular edema (DME). Wet AMD and diabetic retinopathy (which includes DME) are two of the leading causes of adult blindness in the developed world. In both conditions, severe visual loss is caused by a combination of retinal edema and neovascular proliferation. We and Bayer HealthCare are also conducting a Phase 3 program in central retinal vein occlusion (CRVO).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both"/>
        <w:ind w:firstLine="270"/>
        <w:spacing w:after="0"/>
        <w:rPr>
          <w:sz w:val="20"/>
          <w:szCs w:val="20"/>
          <w:color w:val="auto"/>
        </w:rPr>
      </w:pPr>
      <w:r>
        <w:rPr>
          <w:rFonts w:ascii="Arial" w:cs="Arial" w:eastAsia="Arial" w:hAnsi="Arial"/>
          <w:sz w:val="18"/>
          <w:szCs w:val="18"/>
          <w:color w:val="auto"/>
        </w:rPr>
        <w:t>The Phase 3 trials in wet AMD, known as VIEW 1 and VIEW 2 (</w:t>
      </w:r>
      <w:r>
        <w:rPr>
          <w:rFonts w:ascii="Arial" w:cs="Arial" w:eastAsia="Arial" w:hAnsi="Arial"/>
          <w:sz w:val="18"/>
          <w:szCs w:val="18"/>
          <w:u w:val="single" w:color="auto"/>
          <w:color w:val="auto"/>
        </w:rPr>
        <w:t>V</w:t>
      </w:r>
      <w:r>
        <w:rPr>
          <w:rFonts w:ascii="Arial" w:cs="Arial" w:eastAsia="Arial" w:hAnsi="Arial"/>
          <w:sz w:val="18"/>
          <w:szCs w:val="18"/>
          <w:color w:val="auto"/>
        </w:rPr>
        <w:t xml:space="preserve">EGF Trap: </w:t>
      </w:r>
      <w:r>
        <w:rPr>
          <w:rFonts w:ascii="Arial" w:cs="Arial" w:eastAsia="Arial" w:hAnsi="Arial"/>
          <w:sz w:val="18"/>
          <w:szCs w:val="18"/>
          <w:u w:val="single" w:color="auto"/>
          <w:color w:val="auto"/>
        </w:rPr>
        <w:t>I</w:t>
      </w:r>
      <w:r>
        <w:rPr>
          <w:rFonts w:ascii="Arial" w:cs="Arial" w:eastAsia="Arial" w:hAnsi="Arial"/>
          <w:sz w:val="18"/>
          <w:szCs w:val="18"/>
          <w:color w:val="auto"/>
        </w:rPr>
        <w:t xml:space="preserve">nvestigation of </w:t>
      </w:r>
      <w:r>
        <w:rPr>
          <w:rFonts w:ascii="Arial" w:cs="Arial" w:eastAsia="Arial" w:hAnsi="Arial"/>
          <w:sz w:val="18"/>
          <w:szCs w:val="18"/>
          <w:u w:val="single" w:color="auto"/>
          <w:color w:val="auto"/>
        </w:rPr>
        <w:t>E</w:t>
      </w:r>
      <w:r>
        <w:rPr>
          <w:rFonts w:ascii="Arial" w:cs="Arial" w:eastAsia="Arial" w:hAnsi="Arial"/>
          <w:sz w:val="18"/>
          <w:szCs w:val="18"/>
          <w:color w:val="auto"/>
        </w:rPr>
        <w:t xml:space="preserve">fficacy and Safety in </w:t>
      </w:r>
      <w:r>
        <w:rPr>
          <w:rFonts w:ascii="Arial" w:cs="Arial" w:eastAsia="Arial" w:hAnsi="Arial"/>
          <w:sz w:val="18"/>
          <w:szCs w:val="18"/>
          <w:u w:val="single" w:color="auto"/>
          <w:color w:val="auto"/>
        </w:rPr>
        <w:t>W</w:t>
      </w:r>
      <w:r>
        <w:rPr>
          <w:rFonts w:ascii="Arial" w:cs="Arial" w:eastAsia="Arial" w:hAnsi="Arial"/>
          <w:sz w:val="18"/>
          <w:szCs w:val="18"/>
          <w:color w:val="auto"/>
        </w:rPr>
        <w:t>et age-related macular degeneration), are comparing VEGF Trap-Eye and Lucentis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(ranibizumab injection), owned by Genentech, Inc., an anti-angiogenic agent approved for use in wet AMD. VIEW 1 is being conducted in North America and VIEW 2 is being conducted in Europe, Asia Pacific, Japan, and Latin America. The VIEW 1 and VIEW 2 trials are both evaluating VEGF Trap-Eye doses of 0.5 milligrams (mg) and 2.0 mg at dosing intervals of four weeks and 2.0 mg at a dosing interval of eight weeks (after three monthly doses) compared with Lucentis (Genentech) dosed according to its U.S. label, which specifies doses of 0.5 mg administered every four weeks over the first year. As-needed dosing (PRN) with both agents will be evaluated in the second year of the studies. VIEW 1 and VIEW 2 were fully enrolled in 2009, and initial data are expected in late 2010.</w:t>
      </w:r>
    </w:p>
    <w:p>
      <w:pPr>
        <w:spacing w:after="0" w:line="265"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color w:val="auto"/>
        </w:rPr>
        <w:t>The Phase 2 DME study, known as the DA VINCI study, is a double-masked, randomized, controlled trial that is evaluating four different VEGF Trap-Eye dosing regimens versus laser treatment. In February 2010, we and Bayer HealthCare announced that treatment with VEGF Trap-Eye demonstrated a statistically significant improvement in visual acuity compared to focal laser therapy, the primary endpoint of the study. Visual acuity was measured by the mean number of letters gained over the initial 24 weeks of the study. Patients in each of the four dosing groups receiving VEGF Trap-Eye achieved statistically significantly greater mean improvements in visual acuity (8.5 to 11.4 letters of vision gained) compared to patients receiving focal laser therapy (2.5 letters gained) at week 24 (p&lt; 0.01 for each VEGF Trap-Eye group versus focal laser). VEGF Trap-Eye was generally well-tolerated, and no ocular or non-ocular drug-related serious adverse events were reported in the study. The adverse events reported were those typically associated with intravitreal injections or the underlying disease. Following the initial 24 weeks of treatment, patients continue to be treated for another 24 weeks on the same dosing regimens. Initial one-year results will be available later in 2010.</w:t>
      </w:r>
    </w:p>
    <w:p>
      <w:pPr>
        <w:spacing w:after="0" w:line="228" w:lineRule="exact"/>
        <w:rPr>
          <w:sz w:val="20"/>
          <w:szCs w:val="20"/>
          <w:color w:val="auto"/>
        </w:rPr>
      </w:pPr>
    </w:p>
    <w:p>
      <w:pPr>
        <w:jc w:val="both"/>
        <w:ind w:firstLine="311"/>
        <w:spacing w:after="0" w:line="251" w:lineRule="auto"/>
        <w:rPr>
          <w:sz w:val="20"/>
          <w:szCs w:val="20"/>
          <w:color w:val="auto"/>
        </w:rPr>
      </w:pPr>
      <w:r>
        <w:rPr>
          <w:rFonts w:ascii="Arial" w:cs="Arial" w:eastAsia="Arial" w:hAnsi="Arial"/>
          <w:sz w:val="18"/>
          <w:szCs w:val="18"/>
          <w:color w:val="auto"/>
        </w:rPr>
        <w:t>VEGF Trap-Eye is also in Phase 3 development for the treatment of central retinal vein occlusion (CRVO), another cause of blindness. The COPERNICUS (</w:t>
      </w:r>
      <w:r>
        <w:rPr>
          <w:rFonts w:ascii="Arial" w:cs="Arial" w:eastAsia="Arial" w:hAnsi="Arial"/>
          <w:sz w:val="18"/>
          <w:szCs w:val="18"/>
          <w:u w:val="single" w:color="auto"/>
          <w:color w:val="auto"/>
        </w:rPr>
        <w:t>CO</w:t>
      </w:r>
      <w:r>
        <w:rPr>
          <w:rFonts w:ascii="Arial" w:cs="Arial" w:eastAsia="Arial" w:hAnsi="Arial"/>
          <w:sz w:val="18"/>
          <w:szCs w:val="18"/>
          <w:color w:val="auto"/>
        </w:rPr>
        <w:t xml:space="preserve">ntrolled </w:t>
      </w:r>
      <w:r>
        <w:rPr>
          <w:rFonts w:ascii="Arial" w:cs="Arial" w:eastAsia="Arial" w:hAnsi="Arial"/>
          <w:sz w:val="18"/>
          <w:szCs w:val="18"/>
          <w:u w:val="single" w:color="auto"/>
          <w:color w:val="auto"/>
        </w:rPr>
        <w:t>P</w:t>
      </w:r>
      <w:r>
        <w:rPr>
          <w:rFonts w:ascii="Arial" w:cs="Arial" w:eastAsia="Arial" w:hAnsi="Arial"/>
          <w:sz w:val="18"/>
          <w:szCs w:val="18"/>
          <w:color w:val="auto"/>
        </w:rPr>
        <w:t xml:space="preserve">hase 3 </w:t>
      </w:r>
      <w:r>
        <w:rPr>
          <w:rFonts w:ascii="Arial" w:cs="Arial" w:eastAsia="Arial" w:hAnsi="Arial"/>
          <w:sz w:val="18"/>
          <w:szCs w:val="18"/>
          <w:u w:val="single" w:color="auto"/>
          <w:color w:val="auto"/>
        </w:rPr>
        <w:t>E</w:t>
      </w:r>
      <w:r>
        <w:rPr>
          <w:rFonts w:ascii="Arial" w:cs="Arial" w:eastAsia="Arial" w:hAnsi="Arial"/>
          <w:sz w:val="18"/>
          <w:szCs w:val="18"/>
          <w:color w:val="auto"/>
        </w:rPr>
        <w:t xml:space="preserve">valuation of </w:t>
      </w:r>
      <w:r>
        <w:rPr>
          <w:rFonts w:ascii="Arial" w:cs="Arial" w:eastAsia="Arial" w:hAnsi="Arial"/>
          <w:sz w:val="18"/>
          <w:szCs w:val="18"/>
          <w:u w:val="single" w:color="auto"/>
          <w:color w:val="auto"/>
        </w:rPr>
        <w:t>R</w:t>
      </w:r>
      <w:r>
        <w:rPr>
          <w:rFonts w:ascii="Arial" w:cs="Arial" w:eastAsia="Arial" w:hAnsi="Arial"/>
          <w:sz w:val="18"/>
          <w:szCs w:val="18"/>
          <w:color w:val="auto"/>
        </w:rPr>
        <w:t>epeated i</w:t>
      </w:r>
      <w:r>
        <w:rPr>
          <w:rFonts w:ascii="Arial" w:cs="Arial" w:eastAsia="Arial" w:hAnsi="Arial"/>
          <w:sz w:val="18"/>
          <w:szCs w:val="18"/>
          <w:u w:val="single" w:color="auto"/>
          <w:color w:val="auto"/>
        </w:rPr>
        <w:t>N</w:t>
      </w:r>
      <w:r>
        <w:rPr>
          <w:rFonts w:ascii="Arial" w:cs="Arial" w:eastAsia="Arial" w:hAnsi="Arial"/>
          <w:sz w:val="18"/>
          <w:szCs w:val="18"/>
          <w:color w:val="auto"/>
        </w:rPr>
        <w:t xml:space="preserve">travitreal administration of VEGF Trap-Eye </w:t>
      </w:r>
      <w:r>
        <w:rPr>
          <w:rFonts w:ascii="Arial" w:cs="Arial" w:eastAsia="Arial" w:hAnsi="Arial"/>
          <w:sz w:val="18"/>
          <w:szCs w:val="18"/>
          <w:u w:val="single" w:color="auto"/>
          <w:color w:val="auto"/>
        </w:rPr>
        <w:t>I</w:t>
      </w:r>
      <w:r>
        <w:rPr>
          <w:rFonts w:ascii="Arial" w:cs="Arial" w:eastAsia="Arial" w:hAnsi="Arial"/>
          <w:sz w:val="18"/>
          <w:szCs w:val="18"/>
          <w:color w:val="auto"/>
        </w:rPr>
        <w:t xml:space="preserve">n </w:t>
      </w:r>
      <w:r>
        <w:rPr>
          <w:rFonts w:ascii="Arial" w:cs="Arial" w:eastAsia="Arial" w:hAnsi="Arial"/>
          <w:sz w:val="18"/>
          <w:szCs w:val="18"/>
          <w:u w:val="single" w:color="auto"/>
          <w:color w:val="auto"/>
        </w:rPr>
        <w:t>C</w:t>
      </w:r>
      <w:r>
        <w:rPr>
          <w:rFonts w:ascii="Arial" w:cs="Arial" w:eastAsia="Arial" w:hAnsi="Arial"/>
          <w:sz w:val="18"/>
          <w:szCs w:val="18"/>
          <w:color w:val="auto"/>
        </w:rPr>
        <w:t xml:space="preserve">entral retinal vein occlusion: </w:t>
      </w:r>
      <w:r>
        <w:rPr>
          <w:rFonts w:ascii="Arial" w:cs="Arial" w:eastAsia="Arial" w:hAnsi="Arial"/>
          <w:sz w:val="18"/>
          <w:szCs w:val="18"/>
          <w:u w:val="single" w:color="auto"/>
          <w:color w:val="auto"/>
        </w:rPr>
        <w:t>U</w:t>
      </w:r>
      <w:r>
        <w:rPr>
          <w:rFonts w:ascii="Arial" w:cs="Arial" w:eastAsia="Arial" w:hAnsi="Arial"/>
          <w:sz w:val="18"/>
          <w:szCs w:val="18"/>
          <w:color w:val="auto"/>
        </w:rPr>
        <w:t xml:space="preserve">tility and </w:t>
      </w:r>
      <w:r>
        <w:rPr>
          <w:rFonts w:ascii="Arial" w:cs="Arial" w:eastAsia="Arial" w:hAnsi="Arial"/>
          <w:sz w:val="18"/>
          <w:szCs w:val="18"/>
          <w:u w:val="single" w:color="auto"/>
          <w:color w:val="auto"/>
        </w:rPr>
        <w:t>S</w:t>
      </w:r>
      <w:r>
        <w:rPr>
          <w:rFonts w:ascii="Arial" w:cs="Arial" w:eastAsia="Arial" w:hAnsi="Arial"/>
          <w:sz w:val="18"/>
          <w:szCs w:val="18"/>
          <w:color w:val="auto"/>
        </w:rPr>
        <w:t>afety) study is being led by Regeneron and the GALILEO (</w:t>
      </w:r>
      <w:r>
        <w:rPr>
          <w:rFonts w:ascii="Arial" w:cs="Arial" w:eastAsia="Arial" w:hAnsi="Arial"/>
          <w:sz w:val="18"/>
          <w:szCs w:val="18"/>
          <w:u w:val="single" w:color="auto"/>
          <w:color w:val="auto"/>
        </w:rPr>
        <w:t>G</w:t>
      </w:r>
      <w:r>
        <w:rPr>
          <w:rFonts w:ascii="Arial" w:cs="Arial" w:eastAsia="Arial" w:hAnsi="Arial"/>
          <w:sz w:val="18"/>
          <w:szCs w:val="18"/>
          <w:color w:val="auto"/>
        </w:rPr>
        <w:t xml:space="preserve">eneral </w:t>
      </w:r>
      <w:r>
        <w:rPr>
          <w:rFonts w:ascii="Arial" w:cs="Arial" w:eastAsia="Arial" w:hAnsi="Arial"/>
          <w:sz w:val="18"/>
          <w:szCs w:val="18"/>
          <w:u w:val="single" w:color="auto"/>
          <w:color w:val="auto"/>
        </w:rPr>
        <w:t>A</w:t>
      </w:r>
      <w:r>
        <w:rPr>
          <w:rFonts w:ascii="Arial" w:cs="Arial" w:eastAsia="Arial" w:hAnsi="Arial"/>
          <w:sz w:val="18"/>
          <w:szCs w:val="18"/>
          <w:color w:val="auto"/>
        </w:rPr>
        <w:t xml:space="preserve">ssessment </w:t>
      </w:r>
      <w:r>
        <w:rPr>
          <w:rFonts w:ascii="Arial" w:cs="Arial" w:eastAsia="Arial" w:hAnsi="Arial"/>
          <w:sz w:val="18"/>
          <w:szCs w:val="18"/>
          <w:u w:val="single" w:color="auto"/>
          <w:color w:val="auto"/>
        </w:rPr>
        <w:t>L</w:t>
      </w:r>
      <w:r>
        <w:rPr>
          <w:rFonts w:ascii="Arial" w:cs="Arial" w:eastAsia="Arial" w:hAnsi="Arial"/>
          <w:sz w:val="18"/>
          <w:szCs w:val="18"/>
          <w:color w:val="auto"/>
        </w:rPr>
        <w:t xml:space="preserve">imiting </w:t>
      </w:r>
      <w:r>
        <w:rPr>
          <w:rFonts w:ascii="Arial" w:cs="Arial" w:eastAsia="Arial" w:hAnsi="Arial"/>
          <w:sz w:val="18"/>
          <w:szCs w:val="18"/>
          <w:u w:val="single" w:color="auto"/>
          <w:color w:val="auto"/>
        </w:rPr>
        <w:t>I</w:t>
      </w:r>
      <w:r>
        <w:rPr>
          <w:rFonts w:ascii="Arial" w:cs="Arial" w:eastAsia="Arial" w:hAnsi="Arial"/>
          <w:sz w:val="18"/>
          <w:szCs w:val="18"/>
          <w:color w:val="auto"/>
        </w:rPr>
        <w:t>nfi</w:t>
      </w:r>
      <w:r>
        <w:rPr>
          <w:rFonts w:ascii="Arial" w:cs="Arial" w:eastAsia="Arial" w:hAnsi="Arial"/>
          <w:sz w:val="18"/>
          <w:szCs w:val="18"/>
          <w:u w:val="single" w:color="auto"/>
          <w:color w:val="auto"/>
        </w:rPr>
        <w:t>L</w:t>
      </w:r>
      <w:r>
        <w:rPr>
          <w:rFonts w:ascii="Arial" w:cs="Arial" w:eastAsia="Arial" w:hAnsi="Arial"/>
          <w:sz w:val="18"/>
          <w:szCs w:val="18"/>
          <w:color w:val="auto"/>
        </w:rPr>
        <w:t xml:space="preserve">tration of </w:t>
      </w:r>
      <w:r>
        <w:rPr>
          <w:rFonts w:ascii="Arial" w:cs="Arial" w:eastAsia="Arial" w:hAnsi="Arial"/>
          <w:sz w:val="18"/>
          <w:szCs w:val="18"/>
          <w:u w:val="single" w:color="auto"/>
          <w:color w:val="auto"/>
        </w:rPr>
        <w:t>E</w:t>
      </w:r>
      <w:r>
        <w:rPr>
          <w:rFonts w:ascii="Arial" w:cs="Arial" w:eastAsia="Arial" w:hAnsi="Arial"/>
          <w:sz w:val="18"/>
          <w:szCs w:val="18"/>
          <w:color w:val="auto"/>
        </w:rPr>
        <w:t xml:space="preserve">xudates in central retinal vein </w:t>
      </w:r>
      <w:r>
        <w:rPr>
          <w:rFonts w:ascii="Arial" w:cs="Arial" w:eastAsia="Arial" w:hAnsi="Arial"/>
          <w:sz w:val="21"/>
          <w:szCs w:val="21"/>
          <w:u w:val="single" w:color="auto"/>
          <w:color w:val="auto"/>
        </w:rPr>
        <w:t>O</w:t>
      </w:r>
      <w:r>
        <w:rPr>
          <w:rFonts w:ascii="Arial" w:cs="Arial" w:eastAsia="Arial" w:hAnsi="Arial"/>
          <w:sz w:val="18"/>
          <w:szCs w:val="18"/>
          <w:color w:val="auto"/>
        </w:rPr>
        <w:t>cclusion with VEGF Trap-Eye) study is being led by Bayer HealthCare. Patients in both studies will receive six monthly intravitreal injections of either VEGF Trap-Eye at a dose of 2 mg or sham control injections. The primary endpoint of both studies is improvement in visual acuity versus baseline after six months of treatment. At the end of the initial six months, patients will be dosed on a PRN basis for another six months. All patients will be eligible for rescue laser treatment. The COPERNICUS study was initiated during the third quarter of 2009 and is fully enrolled. The GALILEO study was initiated in October 2009 and is approximately half enrolled. Initial data are anticipated in early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285"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DME, and CRVO.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can earn up to $70 million in future development and regulatory milestone payments related to the development of VEGF Trap-Eye and marketing approvals in major market countries outside the United States. We can also earn up to $135 million in sales milestone payments if total annual sales of VEGF Trap-Eye outside the United States achieve certain specified levels starting at $200 million.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3. Aflibercept (VEGF Trap) – Oncology</w:t>
      </w:r>
    </w:p>
    <w:p>
      <w:pPr>
        <w:spacing w:after="0" w:line="279"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also known as Vascular Permeability Factor or VPF), VEGF-B, and the related Placental Growth Factor (called PlGF), and prevent their interaction with cell surface receptors. VEGF-A (and to a less validated degree, PlGF) is required for the growth of new blood vessels (a process known as angiogenesis) that are needed for tumors to grow and is a potent regulator of vascular permeability and leakage.</w:t>
      </w:r>
    </w:p>
    <w:p>
      <w:pPr>
        <w:spacing w:after="0" w:line="251"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Aflibercept is being developed globally in cancer indications in collaboration with sanofi-aventis. We and sanofi-aventis are conducting three randomized, double-blind Phase 3 trials, all of which are fully enrolled, that are evaluating combinations of standard chemotherapy regimens with either aflibercept or placebo for the treatment of cancer. One trial (called VELOUR)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line treatment for metastatic colorectal cancer in combination with FOLFIRI (folinic acid (leucovorin), 5-fluorouracil, and irinotecan). A second trial (VITAL)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line treatment for locally advanced or metastatic non-small cell lung cancer in combination with docetaxel. A third trial (VENICE) is evaluating aflibercept as a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line treatment for metastatic androgen independent prostate cancer in combination with docetaxel/prednisone. In addition, a Phase 2 study (called AFFIRM) of aflibercept in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line metastatic colorectal cancer in combination with FOLFOX (folinic acid (leucovorin), 5-fluorouracil, and oxaliplatin) is also fully enrolled.</w:t>
      </w:r>
    </w:p>
    <w:p>
      <w:pPr>
        <w:spacing w:after="0" w:line="264"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Each of the Phase 3 studies is monitored by an Independent Data Monitoring Committee (IDMC), a body of independent clinical and statistical experts. The IDMCs meet periodically to evaluate data from the studies and may recommend changes in study design or study discontinuation. Both interim and final analyses will be conducted when a prespecified number of events have occurred in each trial. Based on projected event rates, (i) an interim analysis of VELOUR is expected to be conducted by an independent statistician and reviewed by an IDMC in the second half of 2010, (ii) final results are anticipated in the first half of 2011 from the VITAL study and in the second half of 2011 from the VELOUR study, and (iii) an interim analysis of VENICE is expected to be reviewed by an IDMC in mid-2011, with final results anticipated in 2012. Initial data from the AFFIRM study are anticipated in the second half of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pacing w:after="0" w:line="285"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We and sanofi-aventis U.S. (successor to Aventis Pharmaceuticals, Inc.) globally collaborate on the development and commercialization of aflibercept. Under the terms of our September 2003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 million in milestone payments upon receipt of specified marketing approvals, including up to $360 million in milestone payments related to the receipt of marketing approvals for up to eight aflibercept oncology and other indications in the United States or the European Union and up to $40 million related to the receipt of marketing approvals for up to five oncology indications in Japan.</w:t>
      </w:r>
    </w:p>
    <w:p>
      <w:pPr>
        <w:spacing w:after="0" w:line="228"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REGN475 (Anti-NGF Antibody) for pain</w:t>
      </w:r>
    </w:p>
    <w:p>
      <w:pPr>
        <w:spacing w:after="0" w:line="279"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Nerve growth factor (NGF) is a member of the neurotrophin family of secreted proteins. NGF antagonists have been shown to prevent increased sensitivity to pain and abnormal pain response in animal models of neuropathic and chronic inflammatory pain. Mutations in the genes that code for the NGF receptors were identified in people suffering from a loss of deep pain perception. For these and other reasons, we believe blocking NGF could be a promising therapeutic approach to a variety of pain indications.</w:t>
      </w:r>
    </w:p>
    <w:p>
      <w:pPr>
        <w:spacing w:after="0" w:line="248" w:lineRule="exact"/>
        <w:rPr>
          <w:sz w:val="20"/>
          <w:szCs w:val="20"/>
          <w:color w:val="auto"/>
        </w:rPr>
      </w:pPr>
    </w:p>
    <w:p>
      <w:pPr>
        <w:jc w:val="both"/>
        <w:ind w:firstLine="338"/>
        <w:spacing w:after="0" w:line="246" w:lineRule="auto"/>
        <w:rPr>
          <w:sz w:val="20"/>
          <w:szCs w:val="20"/>
          <w:color w:val="auto"/>
        </w:rPr>
      </w:pPr>
      <w:r>
        <w:rPr>
          <w:rFonts w:ascii="Arial" w:cs="Arial" w:eastAsia="Arial" w:hAnsi="Arial"/>
          <w:sz w:val="16"/>
          <w:szCs w:val="16"/>
          <w:color w:val="auto"/>
        </w:rPr>
        <w:t xml:space="preserve">REGN475 is a fully human monoclonal antibody to NGF generated using our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Preclinical experiments indicate that REGN475 specifically binds to and blocks NGF activity and does not bind to or block cell signaling for closely related neurotrophins such as NT-3, NT-4/5, or BDNF.</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8" w:name="page19"/>
    <w:bookmarkEnd w:id="18"/>
    <w:p>
      <w:pPr>
        <w:jc w:val="both"/>
        <w:ind w:firstLine="392"/>
        <w:spacing w:after="0" w:line="257" w:lineRule="auto"/>
        <w:rPr>
          <w:sz w:val="20"/>
          <w:szCs w:val="20"/>
          <w:color w:val="auto"/>
        </w:rPr>
      </w:pPr>
      <w:r>
        <w:rPr>
          <w:rFonts w:ascii="Arial" w:cs="Arial" w:eastAsia="Arial" w:hAnsi="Arial"/>
          <w:sz w:val="18"/>
          <w:szCs w:val="18"/>
          <w:color w:val="auto"/>
        </w:rPr>
        <w:t xml:space="preserve">In the third quarter of 2009, we began a Phase 2 double-blind, placebo-controlled, dose-ranging, proof-of-concept study of REGN475 in persons with osteoarthritis of the knee. Preliminary data from that study are expected in the second quarter of 2010. Additionally, four Phase 2 proof-of-concept studies in other pain indications were initiated in late 2009 and early 2010. One of these studies, in patients with thermal injuries, is being discontinued because of difficulty enrolling patients. </w:t>
      </w:r>
      <w:r>
        <w:rPr>
          <w:rFonts w:ascii="Arial" w:cs="Arial" w:eastAsia="Arial" w:hAnsi="Arial"/>
          <w:sz w:val="17"/>
          <w:szCs w:val="17"/>
          <w:color w:val="auto"/>
        </w:rPr>
        <w:t>REGN475 is being developed in collaboration with sanofi-aventis.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REGN88 (Anti-IL-6R Antibody) for inflammatory diseases</w:t>
      </w:r>
    </w:p>
    <w:p>
      <w:pPr>
        <w:spacing w:after="0" w:line="279"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Interleukin-6 (IL-6) is a key cytokine involved in the pathogenesis of rheumatoid arthritis, causing inflammation and joint destruction. A therapeutic antibody to the IL-6 receptor (IL-6R), tocilizumab, developed by Roche, has been approved for the treatment of rheumatoid arthritis.</w:t>
      </w:r>
    </w:p>
    <w:p>
      <w:pPr>
        <w:spacing w:after="0" w:line="237" w:lineRule="exact"/>
        <w:rPr>
          <w:sz w:val="20"/>
          <w:szCs w:val="20"/>
          <w:color w:val="auto"/>
        </w:rPr>
      </w:pPr>
    </w:p>
    <w:p>
      <w:pPr>
        <w:jc w:val="both"/>
        <w:ind w:firstLine="392"/>
        <w:spacing w:after="0" w:line="241" w:lineRule="auto"/>
        <w:rPr>
          <w:sz w:val="20"/>
          <w:szCs w:val="20"/>
          <w:color w:val="auto"/>
        </w:rPr>
      </w:pPr>
      <w:r>
        <w:rPr>
          <w:rFonts w:ascii="Arial" w:cs="Arial" w:eastAsia="Arial" w:hAnsi="Arial"/>
          <w:sz w:val="17"/>
          <w:szCs w:val="17"/>
          <w:color w:val="auto"/>
        </w:rPr>
        <w:t xml:space="preserve">REGN88 is a fully human monoclonal antibody to IL-6R generated using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that is in a Phase 2/3 double-blind, placebo-controlled, dose-ranging study in patients with active rheumatoid arthritis and a Phase 2 double-blind, placebo-controlled, dose-ranging study in ankylosing spondylitis, a form of arthritis that primarily affects the spine. REGN88 is being developed in collaboration with sanofi-aventis.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REGN421 (Anti-Dll4 Antibody) for advanced malignancies</w:t>
      </w:r>
    </w:p>
    <w:p>
      <w:pPr>
        <w:spacing w:after="0" w:line="279" w:lineRule="exact"/>
        <w:rPr>
          <w:sz w:val="20"/>
          <w:szCs w:val="20"/>
          <w:color w:val="auto"/>
        </w:rPr>
      </w:pPr>
    </w:p>
    <w:p>
      <w:pPr>
        <w:jc w:val="both"/>
        <w:ind w:firstLine="349"/>
        <w:spacing w:after="0" w:line="253" w:lineRule="auto"/>
        <w:rPr>
          <w:sz w:val="20"/>
          <w:szCs w:val="20"/>
          <w:color w:val="auto"/>
        </w:rPr>
      </w:pPr>
      <w:r>
        <w:rPr>
          <w:rFonts w:ascii="Arial" w:cs="Arial" w:eastAsia="Arial" w:hAnsi="Arial"/>
          <w:sz w:val="18"/>
          <w:szCs w:val="18"/>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252" w:lineRule="exact"/>
        <w:rPr>
          <w:sz w:val="20"/>
          <w:szCs w:val="20"/>
          <w:color w:val="auto"/>
        </w:rPr>
      </w:pPr>
    </w:p>
    <w:p>
      <w:pPr>
        <w:jc w:val="both"/>
        <w:ind w:right="20" w:firstLine="284"/>
        <w:spacing w:after="0" w:line="219" w:lineRule="auto"/>
        <w:rPr>
          <w:sz w:val="20"/>
          <w:szCs w:val="20"/>
          <w:color w:val="auto"/>
        </w:rPr>
      </w:pPr>
      <w:r>
        <w:rPr>
          <w:rFonts w:ascii="Arial" w:cs="Arial" w:eastAsia="Arial" w:hAnsi="Arial"/>
          <w:sz w:val="18"/>
          <w:szCs w:val="18"/>
          <w:color w:val="auto"/>
        </w:rPr>
        <w:t xml:space="preserve">REGN421 is a fully human monoclonal antibody to Dll4 generated using our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technology. REGN421 is being developed in collaboration with sanofi-aventis and is in Phase 1 clinical development.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REGN727 (Anti-PCSK9 Antibody) for LDL cholesterol reduction</w:t>
      </w:r>
    </w:p>
    <w:p>
      <w:pPr>
        <w:spacing w:after="0" w:line="279" w:lineRule="exact"/>
        <w:rPr>
          <w:sz w:val="20"/>
          <w:szCs w:val="20"/>
          <w:color w:val="auto"/>
        </w:rPr>
      </w:pPr>
    </w:p>
    <w:p>
      <w:pPr>
        <w:jc w:val="both"/>
        <w:ind w:firstLine="311"/>
        <w:spacing w:after="0" w:line="254" w:lineRule="auto"/>
        <w:rPr>
          <w:sz w:val="20"/>
          <w:szCs w:val="20"/>
          <w:color w:val="auto"/>
        </w:rPr>
      </w:pPr>
      <w:r>
        <w:rPr>
          <w:rFonts w:ascii="Arial" w:cs="Arial" w:eastAsia="Arial" w:hAnsi="Arial"/>
          <w:sz w:val="17"/>
          <w:szCs w:val="17"/>
          <w:color w:val="auto"/>
        </w:rPr>
        <w:t xml:space="preserve">Elevated low density lipoprotein (LDL) cholesterol levels is a validated risk factor leading to cardiovascular disease. Statins are a class of drugs that lower LDL by upregulating the expression of the LDL receptor (LDLR), which removes LDL from circulation. PCSK9 (proprotein convertase substilisin/kexin type 9) is a protein that binds to LDLR, which prevents LDLR from binding to and removing LDL from circulation. People who have a mutation that reduces the activity of PCSK9 have lower levels of LDL, as well as a reduced risk of adverse cardiovascular events. We used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to derive a fully human monoclonal antibody called REGN727 that is designed to bind to PCSK9 and prevent it from inhibiting LDLR. REGN727 is being developed in collaboration with sanofi-aventis and is in Phase 1 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REGN668 (Anti-IL-4R Antibody) for allergic and immune conditions</w:t>
      </w:r>
    </w:p>
    <w:p>
      <w:pPr>
        <w:spacing w:after="0" w:line="279" w:lineRule="exact"/>
        <w:rPr>
          <w:sz w:val="20"/>
          <w:szCs w:val="20"/>
          <w:color w:val="auto"/>
        </w:rPr>
      </w:pPr>
    </w:p>
    <w:p>
      <w:pPr>
        <w:jc w:val="both"/>
        <w:ind w:firstLine="311"/>
        <w:spacing w:after="0" w:line="232" w:lineRule="auto"/>
        <w:rPr>
          <w:sz w:val="20"/>
          <w:szCs w:val="20"/>
          <w:color w:val="auto"/>
        </w:rPr>
      </w:pPr>
      <w:r>
        <w:rPr>
          <w:rFonts w:ascii="Arial" w:cs="Arial" w:eastAsia="Arial" w:hAnsi="Arial"/>
          <w:sz w:val="18"/>
          <w:szCs w:val="18"/>
          <w:color w:val="auto"/>
        </w:rPr>
        <w:t xml:space="preserve">Interleukin-4 receptor (IL-4R)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 REGN668 is a fully human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antibody that is designed to bind to IL-4R. REGN668 is being developed in collaboration with sanofi-aventis and is in Phase 1 clinical development.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Research and Development Technologies:</w:t>
      </w:r>
    </w:p>
    <w:p>
      <w:pPr>
        <w:spacing w:after="0" w:line="285"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26" w:lineRule="exact"/>
        <w:rPr>
          <w:sz w:val="20"/>
          <w:szCs w:val="20"/>
          <w:color w:val="auto"/>
        </w:rPr>
      </w:pPr>
    </w:p>
    <w:p>
      <w:pPr>
        <w:jc w:val="both"/>
        <w:ind w:firstLine="363"/>
        <w:spacing w:after="0" w:line="248" w:lineRule="auto"/>
        <w:rPr>
          <w:sz w:val="20"/>
          <w:szCs w:val="20"/>
          <w:color w:val="auto"/>
        </w:rPr>
      </w:pPr>
      <w:r>
        <w:rPr>
          <w:rFonts w:ascii="Arial" w:cs="Arial" w:eastAsia="Arial" w:hAnsi="Arial"/>
          <w:sz w:val="16"/>
          <w:szCs w:val="16"/>
          <w:color w:val="auto"/>
        </w:rPr>
        <w:t>Our scientists have developed two different technologies to design protein therapeutics to block the action of specific cell surface or secreted proteins. The first technology, termed the “Trap” technology, was used to generate our first approved product,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as well as aflibercept and VEGF Trap-Eye,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6"/>
          <w:szCs w:val="16"/>
          <w:i w:val="1"/>
          <w:iCs w:val="1"/>
          <w:color w:val="auto"/>
        </w:rPr>
        <w:t>VelociSuite</w:t>
      </w:r>
      <w:r>
        <w:rPr>
          <w:rFonts w:ascii="Arial" w:cs="Arial" w:eastAsia="Arial" w:hAnsi="Arial"/>
          <w:sz w:val="22"/>
          <w:szCs w:val="22"/>
          <w:i w:val="1"/>
          <w:iCs w:val="1"/>
          <w:color w:val="auto"/>
          <w:vertAlign w:val="superscript"/>
        </w:rPr>
        <w:t>TM</w:t>
      </w:r>
      <w:r>
        <w:rPr>
          <w:rFonts w:ascii="Arial" w:cs="Arial" w:eastAsia="Arial" w:hAnsi="Arial"/>
          <w:sz w:val="16"/>
          <w:szCs w:val="16"/>
          <w:color w:val="auto"/>
        </w:rPr>
        <w:t xml:space="preserve"> is our second technology platform and it is used for discovering, developing, and producing fully human monoclonal antibodies that can address both secreted and cell-surface targets.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r>
        <w:rPr>
          <w:rFonts w:ascii="Arial" w:cs="Arial" w:eastAsia="Arial" w:hAnsi="Arial"/>
          <w:sz w:val="24"/>
          <w:szCs w:val="24"/>
          <w:b w:val="1"/>
          <w:bCs w:val="1"/>
          <w:i w:val="1"/>
          <w:iCs w:val="1"/>
          <w:color w:val="auto"/>
          <w:vertAlign w:val="superscript"/>
        </w:rPr>
        <w:t>TM</w:t>
      </w:r>
    </w:p>
    <w:p>
      <w:pPr>
        <w:spacing w:after="0" w:line="210"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5"/>
          <w:szCs w:val="15"/>
          <w:i w:val="1"/>
          <w:iCs w:val="1"/>
          <w:color w:val="auto"/>
        </w:rPr>
        <w:t>VelociSuite</w:t>
      </w:r>
      <w:r>
        <w:rPr>
          <w:rFonts w:ascii="Arial" w:cs="Arial" w:eastAsia="Arial" w:hAnsi="Arial"/>
          <w:sz w:val="20"/>
          <w:szCs w:val="20"/>
          <w:i w:val="1"/>
          <w:iCs w:val="1"/>
          <w:color w:val="auto"/>
          <w:vertAlign w:val="superscript"/>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consists of</w:t>
      </w:r>
      <w:r>
        <w:rPr>
          <w:rFonts w:ascii="Arial" w:cs="Arial" w:eastAsia="Arial" w:hAnsi="Arial"/>
          <w:sz w:val="15"/>
          <w:szCs w:val="15"/>
          <w:i w:val="1"/>
          <w:iCs w:val="1"/>
          <w:color w:val="auto"/>
        </w:rPr>
        <w:t xml:space="preserve"> VelocImmune</w:t>
      </w:r>
      <w:r>
        <w:rPr>
          <w:rFonts w:ascii="Arial" w:cs="Arial" w:eastAsia="Arial" w:hAnsi="Arial"/>
          <w:sz w:val="20"/>
          <w:szCs w:val="20"/>
          <w:color w:val="auto"/>
          <w:vertAlign w:val="superscript"/>
        </w:rPr>
        <w:t>®</w:t>
      </w:r>
      <w:r>
        <w:rPr>
          <w:rFonts w:ascii="Arial" w:cs="Arial" w:eastAsia="Arial" w:hAnsi="Arial"/>
          <w:sz w:val="15"/>
          <w:szCs w:val="15"/>
          <w:color w:val="auto"/>
        </w:rPr>
        <w:t>,</w:t>
      </w:r>
      <w:r>
        <w:rPr>
          <w:rFonts w:ascii="Arial" w:cs="Arial" w:eastAsia="Arial" w:hAnsi="Arial"/>
          <w:sz w:val="15"/>
          <w:szCs w:val="15"/>
          <w:i w:val="1"/>
          <w:iCs w:val="1"/>
          <w:color w:val="auto"/>
        </w:rPr>
        <w:t xml:space="preserve"> VelociGene</w:t>
      </w:r>
      <w:r>
        <w:rPr>
          <w:rFonts w:ascii="Arial" w:cs="Arial" w:eastAsia="Arial" w:hAnsi="Arial"/>
          <w:sz w:val="20"/>
          <w:szCs w:val="20"/>
          <w:color w:val="auto"/>
          <w:vertAlign w:val="superscript"/>
        </w:rPr>
        <w:t>®</w:t>
      </w:r>
      <w:r>
        <w:rPr>
          <w:rFonts w:ascii="Arial" w:cs="Arial" w:eastAsia="Arial" w:hAnsi="Arial"/>
          <w:sz w:val="15"/>
          <w:szCs w:val="15"/>
          <w:color w:val="auto"/>
        </w:rPr>
        <w:t>,</w:t>
      </w:r>
      <w:r>
        <w:rPr>
          <w:rFonts w:ascii="Arial" w:cs="Arial" w:eastAsia="Arial" w:hAnsi="Arial"/>
          <w:sz w:val="15"/>
          <w:szCs w:val="15"/>
          <w:i w:val="1"/>
          <w:iCs w:val="1"/>
          <w:color w:val="auto"/>
        </w:rPr>
        <w:t xml:space="preserve"> VelociMouse</w:t>
      </w:r>
      <w:r>
        <w:rPr>
          <w:rFonts w:ascii="Arial" w:cs="Arial" w:eastAsia="Arial" w:hAnsi="Arial"/>
          <w:sz w:val="20"/>
          <w:szCs w:val="20"/>
          <w:color w:val="auto"/>
          <w:vertAlign w:val="superscript"/>
        </w:rPr>
        <w:t>®</w:t>
      </w:r>
      <w:r>
        <w:rPr>
          <w:rFonts w:ascii="Arial" w:cs="Arial" w:eastAsia="Arial" w:hAnsi="Arial"/>
          <w:sz w:val="15"/>
          <w:szCs w:val="15"/>
          <w:color w:val="auto"/>
        </w:rPr>
        <w:t>, and</w:t>
      </w:r>
      <w:r>
        <w:rPr>
          <w:rFonts w:ascii="Arial" w:cs="Arial" w:eastAsia="Arial" w:hAnsi="Arial"/>
          <w:sz w:val="15"/>
          <w:szCs w:val="15"/>
          <w:i w:val="1"/>
          <w:iCs w:val="1"/>
          <w:color w:val="auto"/>
        </w:rPr>
        <w:t xml:space="preserve"> VelociMab</w:t>
      </w:r>
      <w:r>
        <w:rPr>
          <w:rFonts w:ascii="Arial" w:cs="Arial" w:eastAsia="Arial" w:hAnsi="Arial"/>
          <w:sz w:val="20"/>
          <w:szCs w:val="20"/>
          <w:i w:val="1"/>
          <w:iCs w:val="1"/>
          <w:color w:val="auto"/>
          <w:vertAlign w:val="superscript"/>
        </w:rPr>
        <w:t>®</w:t>
      </w:r>
      <w:r>
        <w:rPr>
          <w:rFonts w:ascii="Arial" w:cs="Arial" w:eastAsia="Arial" w:hAnsi="Arial"/>
          <w:sz w:val="15"/>
          <w:szCs w:val="15"/>
          <w:color w:val="auto"/>
        </w:rPr>
        <w:t>. The</w:t>
      </w:r>
      <w:r>
        <w:rPr>
          <w:rFonts w:ascii="Arial" w:cs="Arial" w:eastAsia="Arial" w:hAnsi="Arial"/>
          <w:sz w:val="15"/>
          <w:szCs w:val="15"/>
          <w:i w:val="1"/>
          <w:iCs w:val="1"/>
          <w:color w:val="auto"/>
        </w:rPr>
        <w:t xml:space="preserve"> VelocImmune</w:t>
      </w:r>
      <w:r>
        <w:rPr>
          <w:rFonts w:ascii="Arial" w:cs="Arial" w:eastAsia="Arial" w:hAnsi="Arial"/>
          <w:sz w:val="20"/>
          <w:szCs w:val="20"/>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mouse platform is utilized to produce fully human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monoclonal antibodies. </w:t>
      </w:r>
      <w:r>
        <w:rPr>
          <w:rFonts w:ascii="Arial" w:cs="Arial" w:eastAsia="Arial" w:hAnsi="Arial"/>
          <w:sz w:val="15"/>
          <w:szCs w:val="15"/>
          <w:i w:val="1"/>
          <w:iCs w:val="1"/>
          <w:color w:val="auto"/>
        </w:rPr>
        <w:t>VelocImmune</w:t>
      </w:r>
      <w:r>
        <w:rPr>
          <w:rFonts w:ascii="Arial" w:cs="Arial" w:eastAsia="Arial" w:hAnsi="Arial"/>
          <w:sz w:val="20"/>
          <w:szCs w:val="20"/>
          <w:color w:val="auto"/>
          <w:vertAlign w:val="superscript"/>
        </w:rPr>
        <w:t>®</w:t>
      </w:r>
      <w:r>
        <w:rPr>
          <w:rFonts w:ascii="Arial" w:cs="Arial" w:eastAsia="Arial" w:hAnsi="Arial"/>
          <w:sz w:val="15"/>
          <w:szCs w:val="15"/>
          <w:color w:val="auto"/>
        </w:rPr>
        <w:t xml:space="preserve"> was generated by exploiting our </w:t>
      </w:r>
      <w:r>
        <w:rPr>
          <w:rFonts w:ascii="Arial" w:cs="Arial" w:eastAsia="Arial" w:hAnsi="Arial"/>
          <w:sz w:val="15"/>
          <w:szCs w:val="15"/>
          <w:i w:val="1"/>
          <w:iCs w:val="1"/>
          <w:color w:val="auto"/>
        </w:rPr>
        <w:t>VelociGene</w:t>
      </w:r>
      <w:r>
        <w:rPr>
          <w:rFonts w:ascii="Arial" w:cs="Arial" w:eastAsia="Arial" w:hAnsi="Arial"/>
          <w:sz w:val="20"/>
          <w:szCs w:val="20"/>
          <w:color w:val="auto"/>
          <w:vertAlign w:val="superscript"/>
        </w:rPr>
        <w:t>®</w:t>
      </w:r>
      <w:r>
        <w:rPr>
          <w:rFonts w:ascii="Arial" w:cs="Arial" w:eastAsia="Arial" w:hAnsi="Arial"/>
          <w:sz w:val="15"/>
          <w:szCs w:val="15"/>
          <w:color w:val="auto"/>
        </w:rPr>
        <w:t xml:space="preserve"> technology (see below), in a process in which six megabases of mouse immune gene loci were replaced, or “humanized,” with corresponding human immune gene loci. </w:t>
      </w:r>
      <w:r>
        <w:rPr>
          <w:rFonts w:ascii="Arial" w:cs="Arial" w:eastAsia="Arial" w:hAnsi="Arial"/>
          <w:sz w:val="15"/>
          <w:szCs w:val="15"/>
          <w:i w:val="1"/>
          <w:iCs w:val="1"/>
          <w:color w:val="auto"/>
        </w:rPr>
        <w:t>VelocImmune</w:t>
      </w:r>
      <w:r>
        <w:rPr>
          <w:rFonts w:ascii="Arial" w:cs="Arial" w:eastAsia="Arial" w:hAnsi="Arial"/>
          <w:sz w:val="20"/>
          <w:szCs w:val="20"/>
          <w:color w:val="auto"/>
          <w:vertAlign w:val="superscript"/>
        </w:rPr>
        <w:t>®</w:t>
      </w:r>
      <w:r>
        <w:rPr>
          <w:rFonts w:ascii="Arial" w:cs="Arial" w:eastAsia="Arial" w:hAnsi="Arial"/>
          <w:sz w:val="15"/>
          <w:szCs w:val="15"/>
          <w:color w:val="auto"/>
        </w:rPr>
        <w:t xml:space="preserve"> mice can be used to generate efficiently fully human monoclonal antibodies to targets of therapeutic interest. </w:t>
      </w:r>
      <w:r>
        <w:rPr>
          <w:rFonts w:ascii="Arial" w:cs="Arial" w:eastAsia="Arial" w:hAnsi="Arial"/>
          <w:sz w:val="15"/>
          <w:szCs w:val="15"/>
          <w:i w:val="1"/>
          <w:iCs w:val="1"/>
          <w:color w:val="auto"/>
        </w:rPr>
        <w:t>VelocImmune</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and our entire </w:t>
      </w:r>
      <w:r>
        <w:rPr>
          <w:rFonts w:ascii="Arial" w:cs="Arial" w:eastAsia="Arial" w:hAnsi="Arial"/>
          <w:sz w:val="15"/>
          <w:szCs w:val="15"/>
          <w:i w:val="1"/>
          <w:iCs w:val="1"/>
          <w:color w:val="auto"/>
        </w:rPr>
        <w:t>VelociSuite</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5"/>
          <w:szCs w:val="15"/>
          <w:i w:val="1"/>
          <w:iCs w:val="1"/>
          <w:color w:val="auto"/>
        </w:rPr>
        <w:t>VelocImmune</w:t>
      </w:r>
      <w:r>
        <w:rPr>
          <w:rFonts w:ascii="Arial" w:cs="Arial" w:eastAsia="Arial" w:hAnsi="Arial"/>
          <w:sz w:val="20"/>
          <w:szCs w:val="20"/>
          <w:color w:val="auto"/>
          <w:vertAlign w:val="superscript"/>
        </w:rPr>
        <w:t>®</w:t>
      </w:r>
      <w:r>
        <w:rPr>
          <w:rFonts w:ascii="Arial" w:cs="Arial" w:eastAsia="Arial" w:hAnsi="Arial"/>
          <w:sz w:val="15"/>
          <w:szCs w:val="15"/>
          <w:color w:val="auto"/>
        </w:rPr>
        <w:t xml:space="preserve"> technology to produce our next generation of drug candidates for preclinical and clinical development.</w:t>
      </w:r>
    </w:p>
    <w:p>
      <w:pPr>
        <w:spacing w:after="0" w:line="156" w:lineRule="exact"/>
        <w:rPr>
          <w:sz w:val="20"/>
          <w:szCs w:val="20"/>
          <w:color w:val="auto"/>
        </w:rPr>
      </w:pPr>
    </w:p>
    <w:p>
      <w:pPr>
        <w:jc w:val="both"/>
        <w:ind w:firstLine="311"/>
        <w:spacing w:after="0" w:line="231"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allows scientists to rapidly identify the physical and biological effects of deleting or over-expressing the target gene, as well as to characterize and</w:t>
      </w:r>
      <w:r>
        <w:rPr>
          <w:rFonts w:ascii="Arial" w:cs="Arial" w:eastAsia="Arial" w:hAnsi="Arial"/>
          <w:sz w:val="17"/>
          <w:szCs w:val="17"/>
          <w:i w:val="1"/>
          <w:iCs w:val="1"/>
          <w:color w:val="auto"/>
        </w:rPr>
        <w:t xml:space="preserve"> </w:t>
      </w:r>
      <w:r>
        <w:rPr>
          <w:rFonts w:ascii="Arial" w:cs="Arial" w:eastAsia="Arial" w:hAnsi="Arial"/>
          <w:sz w:val="17"/>
          <w:szCs w:val="17"/>
          <w:color w:val="auto"/>
        </w:rPr>
        <w:t>test potential therapeutic molecules.</w:t>
      </w:r>
    </w:p>
    <w:p>
      <w:pPr>
        <w:spacing w:after="0" w:line="266" w:lineRule="exact"/>
        <w:rPr>
          <w:sz w:val="20"/>
          <w:szCs w:val="20"/>
          <w:color w:val="auto"/>
        </w:rPr>
      </w:pPr>
    </w:p>
    <w:p>
      <w:pPr>
        <w:jc w:val="both"/>
        <w:ind w:firstLine="351"/>
        <w:spacing w:after="0" w:line="210"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the VelociMice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the rapid screening of antibodies and rapid generation of expression cell lines for our Traps and our</w:t>
      </w:r>
      <w:r>
        <w:rPr>
          <w:rFonts w:ascii="Arial" w:cs="Arial" w:eastAsia="Arial" w:hAnsi="Arial"/>
          <w:sz w:val="18"/>
          <w:szCs w:val="18"/>
          <w:i w:val="1"/>
          <w:iCs w:val="1"/>
          <w:color w:val="auto"/>
        </w:rPr>
        <w:t xml:space="preserve"> VelocImmune</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human monoclonal</w:t>
      </w:r>
      <w:r>
        <w:rPr>
          <w:rFonts w:ascii="Arial" w:cs="Arial" w:eastAsia="Arial" w:hAnsi="Arial"/>
          <w:sz w:val="18"/>
          <w:szCs w:val="18"/>
          <w:i w:val="1"/>
          <w:iCs w:val="1"/>
          <w:color w:val="auto"/>
        </w:rPr>
        <w:t xml:space="preserve"> </w:t>
      </w:r>
      <w:r>
        <w:rPr>
          <w:rFonts w:ascii="Arial" w:cs="Arial" w:eastAsia="Arial" w:hAnsi="Arial"/>
          <w:sz w:val="18"/>
          <w:szCs w:val="18"/>
          <w:color w:val="auto"/>
        </w:rPr>
        <w:t>antibodies.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and License Agreements</w:t>
      </w:r>
    </w:p>
    <w:p>
      <w:pPr>
        <w:spacing w:after="0" w:line="279" w:lineRule="exact"/>
        <w:rPr>
          <w:sz w:val="20"/>
          <w:szCs w:val="20"/>
          <w:color w:val="auto"/>
        </w:rPr>
      </w:pPr>
    </w:p>
    <w:p>
      <w:pPr>
        <w:jc w:val="both"/>
        <w:ind w:firstLine="297"/>
        <w:spacing w:after="0" w:line="296" w:lineRule="auto"/>
        <w:rPr>
          <w:sz w:val="20"/>
          <w:szCs w:val="20"/>
          <w:color w:val="auto"/>
        </w:rPr>
      </w:pPr>
      <w:r>
        <w:rPr>
          <w:rFonts w:ascii="Arial" w:cs="Arial" w:eastAsia="Arial" w:hAnsi="Arial"/>
          <w:sz w:val="16"/>
          <w:szCs w:val="16"/>
          <w:b w:val="1"/>
          <w:bCs w:val="1"/>
          <w:color w:val="auto"/>
        </w:rPr>
        <w:t xml:space="preserve">sanofi-aventis. </w:t>
      </w:r>
      <w:r>
        <w:rPr>
          <w:rFonts w:ascii="Arial" w:cs="Arial" w:eastAsia="Arial" w:hAnsi="Arial"/>
          <w:sz w:val="16"/>
          <w:szCs w:val="16"/>
          <w:color w:val="auto"/>
        </w:rPr>
        <w:t>In November 2007, we and sanofi-aventis entered into a global, strategic collaboration to discover, develop, and commercialize fully human</w:t>
      </w:r>
      <w:r>
        <w:rPr>
          <w:rFonts w:ascii="Arial" w:cs="Arial" w:eastAsia="Arial" w:hAnsi="Arial"/>
          <w:sz w:val="16"/>
          <w:szCs w:val="16"/>
          <w:b w:val="1"/>
          <w:bCs w:val="1"/>
          <w:color w:val="auto"/>
        </w:rPr>
        <w:t xml:space="preserve"> </w:t>
      </w:r>
      <w:r>
        <w:rPr>
          <w:rFonts w:ascii="Arial" w:cs="Arial" w:eastAsia="Arial" w:hAnsi="Arial"/>
          <w:sz w:val="16"/>
          <w:szCs w:val="16"/>
          <w:color w:val="auto"/>
        </w:rPr>
        <w:t>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$175 million of research from the collaboration’s inception through December 31, 2009.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both"/>
        <w:ind w:firstLine="324"/>
        <w:spacing w:after="0" w:line="288" w:lineRule="auto"/>
        <w:rPr>
          <w:sz w:val="20"/>
          <w:szCs w:val="20"/>
          <w:color w:val="auto"/>
        </w:rPr>
      </w:pPr>
      <w:r>
        <w:rPr>
          <w:rFonts w:ascii="Arial" w:cs="Arial" w:eastAsia="Arial" w:hAnsi="Arial"/>
          <w:sz w:val="16"/>
          <w:szCs w:val="16"/>
          <w:color w:val="auto"/>
        </w:rPr>
        <w:t>In November 2009, we and sanofi-aventis amended these agreements to expand and extend our antibody collaboration. Sanofi-aventis will now fund up to $160 million per year of our antibody discovery activities over the period from 2010-2017, subject to a one-time option for sanofi-aventis to adjust the maximum reimbursement amount down to $120 million per year commencing in 2014 if over the prior two years certain specified criteria are not satisfied. In addition, sanofi-aventis will fund up to $30 million of agreed-upon costs we incur to expand our manufacturing capacity at our Rensselaer, New York facilities. As under the original 2007 agreement, sanofi-aventis also has an option to extend the discovery program for up to an additional three years for further antibody development and preclinical activities. We will lead the design and conduct of research activities, including target identification and validation, antibody development, research and preclinical activities through filing of an Investigational New Drug Application, toxicology studies, and manufacture of preclinical and clinical supplies. The goal of the expanded collaboration is to advance an average of four to five new antibody product candidates into clinical development each year, for an anticipated total of 30-40 candidates over the next eight years.</w:t>
      </w:r>
    </w:p>
    <w:p>
      <w:pPr>
        <w:spacing w:after="0" w:line="22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generally funding drug candidate development costs up front, except that following receipt of the first positive Phase 3 trial results for a co-developed drug candidate, subsequent Phase 3 trial-related costs for that drug candidate will be shared 80% by sanofi-aventis and 20% by us. We are generally responsible for reimbursing sanofi-aventis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sanofi-aventis for these development costs.</w:t>
      </w:r>
    </w:p>
    <w:p>
      <w:pPr>
        <w:spacing w:after="0" w:line="226"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21" w:lineRule="exact"/>
        <w:rPr>
          <w:sz w:val="20"/>
          <w:szCs w:val="20"/>
          <w:color w:val="auto"/>
        </w:rPr>
      </w:pPr>
    </w:p>
    <w:p>
      <w:pPr>
        <w:jc w:val="both"/>
        <w:ind w:firstLine="392"/>
        <w:spacing w:after="0" w:line="233" w:lineRule="auto"/>
        <w:rPr>
          <w:sz w:val="20"/>
          <w:szCs w:val="20"/>
          <w:color w:val="auto"/>
        </w:rPr>
      </w:pPr>
      <w:r>
        <w:rPr>
          <w:rFonts w:ascii="Arial" w:cs="Arial" w:eastAsia="Arial" w:hAnsi="Arial"/>
          <w:sz w:val="18"/>
          <w:szCs w:val="18"/>
          <w:color w:val="auto"/>
        </w:rPr>
        <w:t xml:space="preserve">In August 2008, we entered into an agreement with sanofi-aventis to use our </w:t>
      </w:r>
      <w:r>
        <w:rPr>
          <w:rFonts w:ascii="Arial" w:cs="Arial" w:eastAsia="Arial" w:hAnsi="Arial"/>
          <w:sz w:val="18"/>
          <w:szCs w:val="18"/>
          <w:i w:val="1"/>
          <w:iCs w:val="1"/>
          <w:color w:val="auto"/>
        </w:rPr>
        <w:t>VelociGene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platform to supply sanofi-aventis with genetically modified mammalian models of gene function and disease. Sanofi-aventis will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pacing w:after="0" w:line="261"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b w:val="1"/>
          <w:bCs w:val="1"/>
          <w:color w:val="auto"/>
        </w:rPr>
        <w:t xml:space="preserve">AstraZeneca UK Limited. </w:t>
      </w:r>
      <w:r>
        <w:rPr>
          <w:rFonts w:ascii="Arial" w:cs="Arial" w:eastAsia="Arial" w:hAnsi="Arial"/>
          <w:sz w:val="17"/>
          <w:szCs w:val="17"/>
          <w:color w:val="auto"/>
        </w:rPr>
        <w:t>In February 2007, we entered into a non-exclusive license agreement with AstraZeneca UK Limited that allows AstraZeneca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utilize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in its internal research programs to discover human monoclonal antibodies. Under the terms of the agreement, AstraZeneca made $20.0 million annual, non-refundable payments to us in the first quarter of 2007, 2008, 2009, and 2010. AstraZeneca is required to make up to two additional annual payments of $20.0 million, subject to its ability to terminate the agreement. We are entitled to receive a mid-single-digit royalty on any future sales of antibody products discovered by AstraZeneca using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w:t>
      </w:r>
    </w:p>
    <w:p>
      <w:pPr>
        <w:spacing w:after="0" w:line="151" w:lineRule="exact"/>
        <w:rPr>
          <w:sz w:val="20"/>
          <w:szCs w:val="20"/>
          <w:color w:val="auto"/>
        </w:rPr>
      </w:pPr>
    </w:p>
    <w:p>
      <w:pPr>
        <w:jc w:val="both"/>
        <w:ind w:firstLine="378"/>
        <w:spacing w:after="0" w:line="275" w:lineRule="auto"/>
        <w:rPr>
          <w:sz w:val="20"/>
          <w:szCs w:val="20"/>
          <w:color w:val="auto"/>
        </w:rPr>
      </w:pPr>
      <w:r>
        <w:rPr>
          <w:rFonts w:ascii="Arial" w:cs="Arial" w:eastAsia="Arial" w:hAnsi="Arial"/>
          <w:sz w:val="16"/>
          <w:szCs w:val="16"/>
          <w:b w:val="1"/>
          <w:bCs w:val="1"/>
          <w:color w:val="auto"/>
        </w:rPr>
        <w:t xml:space="preserve">Astellas Pharma Inc. </w:t>
      </w:r>
      <w:r>
        <w:rPr>
          <w:rFonts w:ascii="Arial" w:cs="Arial" w:eastAsia="Arial" w:hAnsi="Arial"/>
          <w:sz w:val="16"/>
          <w:szCs w:val="16"/>
          <w:color w:val="auto"/>
        </w:rPr>
        <w:t>In March 2007, we entered into a non-exclusive license agreement with Astellas Pharma Inc. that allows Astellas to utilize 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Under the terms of the agreement, Astellas made $20.0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annual, non-refundable payments to us in the second quarter of 2007, 2008, and 2009. Astellas is required to make up to three additional annual payments of $20.0 million, subject to its ability to terminate the agreement after making the next annual payment in the second quarter of 2010.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285"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Under the NIH grant, as amended, we have received $17.0 million through March 31, 2010 and are entitled to receive an additional $8.3 million through the remaining term of the grant.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5" w:lineRule="exact"/>
        <w:rPr>
          <w:sz w:val="20"/>
          <w:szCs w:val="20"/>
          <w:color w:val="auto"/>
        </w:rPr>
      </w:pPr>
    </w:p>
    <w:p>
      <w:pPr>
        <w:jc w:val="both"/>
        <w:ind w:firstLine="311"/>
        <w:spacing w:after="0" w:line="225" w:lineRule="auto"/>
        <w:rPr>
          <w:sz w:val="20"/>
          <w:szCs w:val="20"/>
          <w:color w:val="auto"/>
        </w:rPr>
      </w:pPr>
      <w:r>
        <w:rPr>
          <w:rFonts w:ascii="Arial" w:cs="Arial" w:eastAsia="Arial" w:hAnsi="Arial"/>
          <w:sz w:val="18"/>
          <w:szCs w:val="18"/>
          <w:color w:val="auto"/>
        </w:rPr>
        <w:t>Developing and commercializing new medicines entails significant risk and expense. Since inception we have not generated any significant sales or profits from the commercialization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or any of our other product candidates. Before significant revenues from the commercialization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or our other product candidates can be realized, we (or our collaborators) must overcome a number of hurdles which include successfully completing research and development and obtaining regulatory approval from the U.S. Food and Drug Administration </w:t>
      </w:r>
      <w:r>
        <w:rPr>
          <w:rFonts w:ascii="Arial" w:cs="Arial" w:eastAsia="Arial" w:hAnsi="Arial"/>
          <w:sz w:val="21"/>
          <w:szCs w:val="21"/>
          <w:color w:val="auto"/>
        </w:rPr>
        <w:t>(</w:t>
      </w:r>
      <w:r>
        <w:rPr>
          <w:rFonts w:ascii="Arial" w:cs="Arial" w:eastAsia="Arial" w:hAnsi="Arial"/>
          <w:sz w:val="18"/>
          <w:szCs w:val="18"/>
          <w:color w:val="auto"/>
        </w:rPr>
        <w:t>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68"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7"/>
          <w:szCs w:val="17"/>
          <w:color w:val="auto"/>
        </w:rPr>
        <w:t>From inception on January 8, 1988 through March 31, 2010, we had a cumulative loss of $971.6 million. In the absence of significant revenues from the commercialization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or our other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rilonacept; advance new product candidates into clinical development from our existing research programs utilizing our technology for discovering fully human monoclonal antibodies; continue our research and development programs; and commercialize additional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24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to date in 2010 and plans over the next 12 months are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Clinical Program</w:t>
            </w:r>
          </w:p>
        </w:tc>
        <w:tc>
          <w:tcPr>
            <w:tcW w:w="4840" w:type="dxa"/>
            <w:vAlign w:val="bottom"/>
            <w:gridSpan w:val="3"/>
          </w:tcPr>
          <w:p>
            <w:pPr>
              <w:ind w:left="800"/>
              <w:spacing w:after="0"/>
              <w:rPr>
                <w:sz w:val="20"/>
                <w:szCs w:val="20"/>
                <w:color w:val="auto"/>
              </w:rPr>
            </w:pPr>
            <w:r>
              <w:rPr>
                <w:rFonts w:ascii="Arial" w:cs="Arial" w:eastAsia="Arial" w:hAnsi="Arial"/>
                <w:sz w:val="18"/>
                <w:szCs w:val="18"/>
                <w:b w:val="1"/>
                <w:bCs w:val="1"/>
                <w:color w:val="auto"/>
              </w:rPr>
              <w:t>2010 Events to Date</w:t>
            </w:r>
          </w:p>
        </w:tc>
      </w:tr>
      <w:tr>
        <w:trPr>
          <w:trHeight w:val="20"/>
        </w:trPr>
        <w:tc>
          <w:tcPr>
            <w:tcW w:w="1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42"/>
        </w:trPr>
        <w:tc>
          <w:tcPr>
            <w:tcW w:w="1300" w:type="dxa"/>
            <w:vAlign w:val="bottom"/>
          </w:tcPr>
          <w:p>
            <w:pPr>
              <w:spacing w:after="0"/>
              <w:rPr>
                <w:sz w:val="20"/>
                <w:szCs w:val="20"/>
                <w:color w:val="auto"/>
              </w:rPr>
            </w:pPr>
            <w:r>
              <w:rPr>
                <w:rFonts w:ascii="Arial" w:cs="Arial" w:eastAsia="Arial" w:hAnsi="Arial"/>
                <w:sz w:val="18"/>
                <w:szCs w:val="18"/>
                <w:color w:val="auto"/>
              </w:rPr>
              <w:t>Rilonacept</w:t>
            </w: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40" w:type="dxa"/>
            <w:vAlign w:val="bottom"/>
            <w:gridSpan w:val="2"/>
          </w:tcPr>
          <w:p>
            <w:pPr>
              <w:ind w:left="760"/>
              <w:spacing w:after="0"/>
              <w:rPr>
                <w:sz w:val="20"/>
                <w:szCs w:val="20"/>
                <w:color w:val="auto"/>
              </w:rPr>
            </w:pPr>
            <w:r>
              <w:rPr>
                <w:rFonts w:ascii="Arial" w:cs="Arial" w:eastAsia="Arial" w:hAnsi="Arial"/>
                <w:sz w:val="18"/>
                <w:szCs w:val="18"/>
                <w:color w:val="auto"/>
                <w:w w:val="96"/>
              </w:rPr>
              <w:t>Completed patient enrollment in the first of</w:t>
            </w:r>
          </w:p>
        </w:tc>
      </w:tr>
      <w:tr>
        <w:trPr>
          <w:trHeight w:val="216"/>
        </w:trPr>
        <w:tc>
          <w:tcPr>
            <w:tcW w:w="2160" w:type="dxa"/>
            <w:vAlign w:val="bottom"/>
            <w:gridSpan w:val="2"/>
          </w:tcPr>
          <w:p>
            <w:pPr>
              <w:ind w:left="320"/>
              <w:spacing w:after="0"/>
              <w:rPr>
                <w:sz w:val="20"/>
                <w:szCs w:val="20"/>
                <w:color w:val="auto"/>
              </w:rPr>
            </w:pPr>
            <w:r>
              <w:rPr>
                <w:rFonts w:ascii="Arial" w:cs="Arial" w:eastAsia="Arial" w:hAnsi="Arial"/>
                <w:sz w:val="18"/>
                <w:szCs w:val="18"/>
                <w:color w:val="auto"/>
              </w:rPr>
              <w:t>(also known as</w:t>
            </w:r>
          </w:p>
        </w:tc>
        <w:tc>
          <w:tcPr>
            <w:tcW w:w="800" w:type="dxa"/>
            <w:vAlign w:val="bottom"/>
          </w:tcPr>
          <w:p>
            <w:pPr>
              <w:spacing w:after="0"/>
              <w:rPr>
                <w:sz w:val="18"/>
                <w:szCs w:val="18"/>
                <w:color w:val="auto"/>
              </w:rPr>
            </w:pPr>
          </w:p>
        </w:tc>
        <w:tc>
          <w:tcPr>
            <w:tcW w:w="4040" w:type="dxa"/>
            <w:vAlign w:val="bottom"/>
            <w:gridSpan w:val="2"/>
          </w:tcPr>
          <w:p>
            <w:pPr>
              <w:ind w:left="760"/>
              <w:spacing w:after="0"/>
              <w:rPr>
                <w:sz w:val="20"/>
                <w:szCs w:val="20"/>
                <w:color w:val="auto"/>
              </w:rPr>
            </w:pPr>
            <w:r>
              <w:rPr>
                <w:rFonts w:ascii="Arial" w:cs="Arial" w:eastAsia="Arial" w:hAnsi="Arial"/>
                <w:sz w:val="18"/>
                <w:szCs w:val="18"/>
                <w:color w:val="auto"/>
                <w:w w:val="88"/>
              </w:rPr>
              <w:t>two Phase 3 trials (PRE-SURGE 1) evaluating</w:t>
            </w:r>
          </w:p>
        </w:tc>
      </w:tr>
      <w:tr>
        <w:trPr>
          <w:trHeight w:val="216"/>
        </w:trPr>
        <w:tc>
          <w:tcPr>
            <w:tcW w:w="2160" w:type="dxa"/>
            <w:vAlign w:val="bottom"/>
            <w:gridSpan w:val="2"/>
          </w:tcPr>
          <w:p>
            <w:pPr>
              <w:ind w:left="320"/>
              <w:spacing w:after="0"/>
              <w:rPr>
                <w:sz w:val="20"/>
                <w:szCs w:val="20"/>
                <w:color w:val="auto"/>
              </w:rPr>
            </w:pPr>
            <w:r>
              <w:rPr>
                <w:rFonts w:ascii="Arial" w:cs="Arial" w:eastAsia="Arial" w:hAnsi="Arial"/>
                <w:sz w:val="18"/>
                <w:szCs w:val="18"/>
                <w:color w:val="auto"/>
              </w:rPr>
              <w:t>IL-1 Trap)</w:t>
            </w:r>
          </w:p>
        </w:tc>
        <w:tc>
          <w:tcPr>
            <w:tcW w:w="800" w:type="dxa"/>
            <w:vAlign w:val="bottom"/>
          </w:tcPr>
          <w:p>
            <w:pPr>
              <w:spacing w:after="0"/>
              <w:rPr>
                <w:sz w:val="18"/>
                <w:szCs w:val="18"/>
                <w:color w:val="auto"/>
              </w:rPr>
            </w:pPr>
          </w:p>
        </w:tc>
        <w:tc>
          <w:tcPr>
            <w:tcW w:w="4040" w:type="dxa"/>
            <w:vAlign w:val="bottom"/>
            <w:gridSpan w:val="2"/>
          </w:tcPr>
          <w:p>
            <w:pPr>
              <w:ind w:left="760"/>
              <w:spacing w:after="0"/>
              <w:rPr>
                <w:sz w:val="20"/>
                <w:szCs w:val="20"/>
                <w:color w:val="auto"/>
              </w:rPr>
            </w:pPr>
            <w:r>
              <w:rPr>
                <w:rFonts w:ascii="Arial" w:cs="Arial" w:eastAsia="Arial" w:hAnsi="Arial"/>
                <w:sz w:val="18"/>
                <w:szCs w:val="18"/>
                <w:color w:val="auto"/>
              </w:rPr>
              <w:t>rilonacept in the prevention of gout flares</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40" w:type="dxa"/>
            <w:vAlign w:val="bottom"/>
            <w:gridSpan w:val="2"/>
          </w:tcPr>
          <w:p>
            <w:pPr>
              <w:ind w:left="760"/>
              <w:spacing w:after="0"/>
              <w:rPr>
                <w:sz w:val="20"/>
                <w:szCs w:val="20"/>
                <w:color w:val="auto"/>
              </w:rPr>
            </w:pPr>
            <w:r>
              <w:rPr>
                <w:rFonts w:ascii="Arial" w:cs="Arial" w:eastAsia="Arial" w:hAnsi="Arial"/>
                <w:sz w:val="18"/>
                <w:szCs w:val="18"/>
                <w:color w:val="auto"/>
                <w:w w:val="89"/>
              </w:rPr>
              <w:t>associated with the initiation of urate-lowering</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40" w:type="dxa"/>
            <w:vAlign w:val="bottom"/>
            <w:gridSpan w:val="2"/>
          </w:tcPr>
          <w:p>
            <w:pPr>
              <w:ind w:left="760"/>
              <w:spacing w:after="0"/>
              <w:rPr>
                <w:sz w:val="20"/>
                <w:szCs w:val="20"/>
                <w:color w:val="auto"/>
              </w:rPr>
            </w:pPr>
            <w:r>
              <w:rPr>
                <w:rFonts w:ascii="Arial" w:cs="Arial" w:eastAsia="Arial" w:hAnsi="Arial"/>
                <w:sz w:val="18"/>
                <w:szCs w:val="18"/>
                <w:color w:val="auto"/>
              </w:rPr>
              <w:t>drug therapy</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40" w:type="dxa"/>
            <w:vAlign w:val="bottom"/>
            <w:gridSpan w:val="2"/>
          </w:tcPr>
          <w:p>
            <w:pPr>
              <w:ind w:left="760"/>
              <w:spacing w:after="0"/>
              <w:rPr>
                <w:sz w:val="20"/>
                <w:szCs w:val="20"/>
                <w:color w:val="auto"/>
              </w:rPr>
            </w:pPr>
            <w:r>
              <w:rPr>
                <w:rFonts w:ascii="Arial" w:cs="Arial" w:eastAsia="Arial" w:hAnsi="Arial"/>
                <w:sz w:val="18"/>
                <w:szCs w:val="18"/>
                <w:color w:val="auto"/>
                <w:w w:val="95"/>
              </w:rPr>
              <w:t>Completed patient enrollment in a Phase 3</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40" w:type="dxa"/>
            <w:vAlign w:val="bottom"/>
            <w:gridSpan w:val="2"/>
          </w:tcPr>
          <w:p>
            <w:pPr>
              <w:ind w:left="760"/>
              <w:spacing w:after="0"/>
              <w:rPr>
                <w:sz w:val="20"/>
                <w:szCs w:val="20"/>
                <w:color w:val="auto"/>
              </w:rPr>
            </w:pPr>
            <w:r>
              <w:rPr>
                <w:rFonts w:ascii="Arial" w:cs="Arial" w:eastAsia="Arial" w:hAnsi="Arial"/>
                <w:sz w:val="18"/>
                <w:szCs w:val="18"/>
                <w:color w:val="auto"/>
                <w:w w:val="94"/>
              </w:rPr>
              <w:t>study (SURGE) evaluating rilonacept in the</w:t>
            </w:r>
          </w:p>
        </w:tc>
      </w:tr>
      <w:tr>
        <w:trPr>
          <w:trHeight w:val="222"/>
        </w:trPr>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40" w:type="dxa"/>
            <w:vAlign w:val="bottom"/>
            <w:gridSpan w:val="2"/>
          </w:tcPr>
          <w:p>
            <w:pPr>
              <w:ind w:left="760"/>
              <w:spacing w:after="0"/>
              <w:rPr>
                <w:sz w:val="20"/>
                <w:szCs w:val="20"/>
                <w:color w:val="auto"/>
              </w:rPr>
            </w:pPr>
            <w:r>
              <w:rPr>
                <w:rFonts w:ascii="Arial" w:cs="Arial" w:eastAsia="Arial" w:hAnsi="Arial"/>
                <w:sz w:val="18"/>
                <w:szCs w:val="18"/>
                <w:color w:val="auto"/>
              </w:rPr>
              <w:t>treatment of acute gout flares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7246620" cy="22040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204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2010-11 Plans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(next 12 months)</w:t>
      </w:r>
    </w:p>
    <w:p>
      <w:pPr>
        <w:spacing w:after="0" w:line="2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Report data from SURGE and PRE-SURGE 1</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second quarter of 2010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Complete patient enrollment of the remaining</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Phase 3 studies in gout</w:t>
      </w:r>
    </w:p>
    <w:p>
      <w:pPr>
        <w:spacing w:after="0" w:line="1073" w:lineRule="exact"/>
        <w:rPr>
          <w:sz w:val="20"/>
          <w:szCs w:val="20"/>
          <w:color w:val="auto"/>
        </w:rPr>
      </w:pPr>
    </w:p>
    <w:p>
      <w:pPr>
        <w:sectPr>
          <w:pgSz w:w="11900" w:h="16838" w:orient="portrait"/>
          <w:cols w:equalWidth="0" w:num="2">
            <w:col w:w="7000" w:space="360"/>
            <w:col w:w="4060"/>
          </w:cols>
          <w:pgMar w:left="240" w:top="382"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VEGF Trap-Eye                           </w:t>
      </w:r>
      <w:r>
        <w:rPr>
          <w:sz w:val="1"/>
          <w:szCs w:val="1"/>
          <w:color w:val="auto"/>
        </w:rPr>
        <w:drawing>
          <wp:inline distT="0" distB="0" distL="0" distR="0">
            <wp:extent cx="59690" cy="5969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auto"/>
        </w:rPr>
        <w:t xml:space="preserve">  Reported positive 24-week primary endpoint</w:t>
      </w:r>
    </w:p>
    <w:p>
      <w:pPr>
        <w:spacing w:after="0" w:line="15" w:lineRule="exact"/>
        <w:rPr>
          <w:sz w:val="20"/>
          <w:szCs w:val="20"/>
          <w:color w:val="auto"/>
        </w:rPr>
      </w:pPr>
    </w:p>
    <w:p>
      <w:pPr>
        <w:ind w:left="320"/>
        <w:spacing w:after="0"/>
        <w:tabs>
          <w:tab w:leader="none" w:pos="3700" w:val="left"/>
        </w:tabs>
        <w:rPr>
          <w:sz w:val="20"/>
          <w:szCs w:val="20"/>
          <w:color w:val="auto"/>
        </w:rPr>
      </w:pPr>
      <w:r>
        <w:rPr>
          <w:rFonts w:ascii="Arial" w:cs="Arial" w:eastAsia="Arial" w:hAnsi="Arial"/>
          <w:sz w:val="18"/>
          <w:szCs w:val="18"/>
          <w:color w:val="auto"/>
        </w:rPr>
        <w:t>(intravitreal</w:t>
      </w:r>
      <w:r>
        <w:rPr>
          <w:sz w:val="20"/>
          <w:szCs w:val="20"/>
          <w:color w:val="auto"/>
        </w:rPr>
        <w:tab/>
      </w:r>
      <w:r>
        <w:rPr>
          <w:rFonts w:ascii="Arial" w:cs="Arial" w:eastAsia="Arial" w:hAnsi="Arial"/>
          <w:sz w:val="18"/>
          <w:szCs w:val="18"/>
          <w:color w:val="auto"/>
        </w:rPr>
        <w:t>results from the Phase 2 DME trial</w:t>
      </w:r>
    </w:p>
    <w:p>
      <w:pPr>
        <w:spacing w:after="0" w:line="9" w:lineRule="exact"/>
        <w:rPr>
          <w:sz w:val="20"/>
          <w:szCs w:val="20"/>
          <w:color w:val="auto"/>
        </w:rPr>
      </w:pPr>
    </w:p>
    <w:p>
      <w:pPr>
        <w:ind w:left="320"/>
        <w:spacing w:after="0"/>
        <w:tabs>
          <w:tab w:leader="none" w:pos="3479" w:val="left"/>
        </w:tabs>
        <w:rPr>
          <w:sz w:val="20"/>
          <w:szCs w:val="20"/>
          <w:color w:val="auto"/>
        </w:rPr>
      </w:pPr>
      <w:r>
        <w:rPr>
          <w:rFonts w:ascii="Arial" w:cs="Arial" w:eastAsia="Arial" w:hAnsi="Arial"/>
          <w:sz w:val="16"/>
          <w:szCs w:val="16"/>
          <w:color w:val="auto"/>
        </w:rPr>
        <w:t>injection)</w:t>
      </w:r>
      <w:r>
        <w:rPr>
          <w:sz w:val="20"/>
          <w:szCs w:val="20"/>
          <w:color w:val="auto"/>
        </w:rPr>
        <w:tab/>
      </w:r>
      <w:r>
        <w:rPr>
          <w:sz w:val="1"/>
          <w:szCs w:val="1"/>
          <w:color w:val="auto"/>
        </w:rPr>
        <w:drawing>
          <wp:inline distT="0" distB="0" distL="0" distR="0">
            <wp:extent cx="59690" cy="5969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6"/>
          <w:szCs w:val="16"/>
          <w:color w:val="auto"/>
        </w:rPr>
        <w:t xml:space="preserve">  Completed patient enrollment in the first of</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two Phase 3 CRVO trials (COPERNICUS)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246620" cy="831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Report data from VIEW 1 and VIEW 2 trials in the fourth quarter of 2010</w:t>
      </w:r>
    </w:p>
    <w:p>
      <w:pPr>
        <w:ind w:right="240"/>
        <w:spacing w:after="0" w:line="281" w:lineRule="auto"/>
        <w:rPr>
          <w:sz w:val="20"/>
          <w:szCs w:val="20"/>
          <w:color w:val="auto"/>
        </w:rPr>
      </w:pPr>
      <w:r>
        <w:rPr>
          <w:rFonts w:ascii="Arial" w:cs="Arial" w:eastAsia="Arial" w:hAnsi="Arial"/>
          <w:sz w:val="16"/>
          <w:szCs w:val="16"/>
          <w:color w:val="auto"/>
        </w:rPr>
        <w:t>Complete patient enrollment in the second Phase 3 CRVO trial (GALILEO) and report initial data from both trials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Report one-year results from the Phase 2 DME trial</w:t>
      </w:r>
    </w:p>
    <w:p>
      <w:pPr>
        <w:spacing w:after="0" w:line="200" w:lineRule="exact"/>
        <w:rPr>
          <w:sz w:val="20"/>
          <w:szCs w:val="20"/>
          <w:color w:val="auto"/>
        </w:rPr>
      </w:pPr>
    </w:p>
    <w:p>
      <w:pPr>
        <w:sectPr>
          <w:pgSz w:w="11900" w:h="16838" w:orient="portrait"/>
          <w:cols w:equalWidth="0" w:num="2">
            <w:col w:w="7400" w:space="720"/>
            <w:col w:w="3300"/>
          </w:cols>
          <w:pgMar w:left="240" w:top="382" w:right="239" w:bottom="1440" w:gutter="0" w:footer="0" w:header="0"/>
          <w:type w:val="continuous"/>
        </w:sectPr>
      </w:pPr>
    </w:p>
    <w:p>
      <w:pPr>
        <w:spacing w:after="0" w:line="5" w:lineRule="exact"/>
        <w:rPr>
          <w:sz w:val="20"/>
          <w:szCs w:val="20"/>
          <w:color w:val="auto"/>
        </w:rPr>
      </w:pPr>
    </w:p>
    <w:p>
      <w:pPr>
        <w:spacing w:after="0"/>
        <w:tabs>
          <w:tab w:leader="none" w:pos="3479" w:val="left"/>
        </w:tabs>
        <w:rPr>
          <w:sz w:val="20"/>
          <w:szCs w:val="20"/>
          <w:color w:val="auto"/>
        </w:rPr>
      </w:pPr>
      <w:r>
        <w:rPr>
          <w:rFonts w:ascii="Arial" w:cs="Arial" w:eastAsia="Arial" w:hAnsi="Arial"/>
          <w:sz w:val="16"/>
          <w:szCs w:val="16"/>
          <w:color w:val="auto"/>
        </w:rPr>
        <w:t>Aflibercept</w:t>
      </w:r>
      <w:r>
        <w:rPr>
          <w:sz w:val="20"/>
          <w:szCs w:val="20"/>
          <w:color w:val="auto"/>
        </w:rPr>
        <w:tab/>
      </w:r>
      <w:r>
        <w:rPr>
          <w:sz w:val="1"/>
          <w:szCs w:val="1"/>
          <w:color w:val="auto"/>
        </w:rPr>
        <w:drawing>
          <wp:inline distT="0" distB="0" distL="0" distR="0">
            <wp:extent cx="59690" cy="5969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6"/>
          <w:szCs w:val="16"/>
          <w:color w:val="auto"/>
        </w:rPr>
        <w:t xml:space="preserve">  Completed patient enrollment in the Phase 3</w:t>
      </w:r>
    </w:p>
    <w:p>
      <w:pPr>
        <w:spacing w:after="0" w:line="38" w:lineRule="exact"/>
        <w:rPr>
          <w:sz w:val="20"/>
          <w:szCs w:val="20"/>
          <w:color w:val="auto"/>
        </w:rPr>
      </w:pPr>
    </w:p>
    <w:p>
      <w:pPr>
        <w:ind w:left="320"/>
        <w:spacing w:after="0"/>
        <w:tabs>
          <w:tab w:leader="none" w:pos="3700" w:val="left"/>
        </w:tabs>
        <w:rPr>
          <w:sz w:val="20"/>
          <w:szCs w:val="20"/>
          <w:color w:val="auto"/>
        </w:rPr>
      </w:pPr>
      <w:r>
        <w:rPr>
          <w:rFonts w:ascii="Arial" w:cs="Arial" w:eastAsia="Arial" w:hAnsi="Arial"/>
          <w:sz w:val="18"/>
          <w:szCs w:val="18"/>
          <w:color w:val="auto"/>
        </w:rPr>
        <w:t>(VEGF Trap –</w:t>
      </w:r>
      <w:r>
        <w:rPr>
          <w:sz w:val="20"/>
          <w:szCs w:val="20"/>
          <w:color w:val="auto"/>
        </w:rPr>
        <w:tab/>
      </w:r>
      <w:r>
        <w:rPr>
          <w:rFonts w:ascii="Arial" w:cs="Arial" w:eastAsia="Arial" w:hAnsi="Arial"/>
          <w:sz w:val="15"/>
          <w:szCs w:val="15"/>
          <w:color w:val="auto"/>
        </w:rPr>
        <w:t>studies in non-small cell lung cancer, prostate</w:t>
      </w:r>
    </w:p>
    <w:p>
      <w:pPr>
        <w:spacing w:after="0" w:line="9" w:lineRule="exact"/>
        <w:rPr>
          <w:sz w:val="20"/>
          <w:szCs w:val="20"/>
          <w:color w:val="auto"/>
        </w:rPr>
      </w:pPr>
    </w:p>
    <w:p>
      <w:pPr>
        <w:ind w:left="320"/>
        <w:spacing w:after="0"/>
        <w:tabs>
          <w:tab w:leader="none" w:pos="3700" w:val="left"/>
        </w:tabs>
        <w:rPr>
          <w:sz w:val="20"/>
          <w:szCs w:val="20"/>
          <w:color w:val="auto"/>
        </w:rPr>
      </w:pPr>
      <w:r>
        <w:rPr>
          <w:rFonts w:ascii="Arial" w:cs="Arial" w:eastAsia="Arial" w:hAnsi="Arial"/>
          <w:sz w:val="18"/>
          <w:szCs w:val="18"/>
          <w:color w:val="auto"/>
        </w:rPr>
        <w:t>Oncology)</w:t>
      </w:r>
      <w:r>
        <w:rPr>
          <w:sz w:val="20"/>
          <w:szCs w:val="20"/>
          <w:color w:val="auto"/>
        </w:rPr>
        <w:tab/>
      </w:r>
      <w:r>
        <w:rPr>
          <w:rFonts w:ascii="Arial" w:cs="Arial" w:eastAsia="Arial" w:hAnsi="Arial"/>
          <w:sz w:val="18"/>
          <w:szCs w:val="18"/>
          <w:color w:val="auto"/>
        </w:rPr>
        <w:t>cancer, and colorectal cancer</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5"/>
          <w:szCs w:val="15"/>
          <w:color w:val="auto"/>
        </w:rPr>
        <w:t>Completed patient enrollment in a Phase 2 1st</w:t>
      </w:r>
    </w:p>
    <w:p>
      <w:pPr>
        <w:spacing w:after="0" w:line="44"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line study in metastatic colorectal cancer in</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combination with chemotherapy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9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92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98" w:lineRule="auto"/>
        <w:rPr>
          <w:sz w:val="20"/>
          <w:szCs w:val="20"/>
          <w:color w:val="auto"/>
        </w:rPr>
      </w:pPr>
      <w:r>
        <w:rPr>
          <w:rFonts w:ascii="Arial" w:cs="Arial" w:eastAsia="Arial" w:hAnsi="Arial"/>
          <w:sz w:val="16"/>
          <w:szCs w:val="16"/>
          <w:color w:val="auto"/>
        </w:rPr>
        <w:t>During the second half of 2010, an Independent Data Monitoring Committee is expected to conduct an interim analysis of the Phase 3 study in colorectal cancer</w:t>
      </w:r>
    </w:p>
    <w:p>
      <w:pPr>
        <w:spacing w:after="0" w:line="579" w:lineRule="exact"/>
        <w:rPr>
          <w:sz w:val="20"/>
          <w:szCs w:val="20"/>
          <w:color w:val="auto"/>
        </w:rPr>
      </w:pPr>
    </w:p>
    <w:p>
      <w:pPr>
        <w:sectPr>
          <w:pgSz w:w="11900" w:h="16838" w:orient="portrait"/>
          <w:cols w:equalWidth="0" w:num="2">
            <w:col w:w="7400" w:space="720"/>
            <w:col w:w="3300"/>
          </w:cols>
          <w:pgMar w:left="240" w:top="382" w:right="239" w:bottom="1440" w:gutter="0" w:footer="0" w:header="0"/>
          <w:type w:val="continuous"/>
        </w:sectPr>
      </w:pPr>
    </w:p>
    <w:p>
      <w:pPr>
        <w:spacing w:after="0" w:line="32" w:lineRule="exact"/>
        <w:rPr>
          <w:sz w:val="20"/>
          <w:szCs w:val="20"/>
          <w:color w:val="auto"/>
        </w:rPr>
      </w:pPr>
    </w:p>
    <w:p>
      <w:pPr>
        <w:spacing w:after="0"/>
        <w:tabs>
          <w:tab w:leader="none" w:pos="3479" w:val="left"/>
        </w:tabs>
        <w:rPr>
          <w:sz w:val="20"/>
          <w:szCs w:val="20"/>
          <w:color w:val="auto"/>
        </w:rPr>
      </w:pPr>
      <w:r>
        <w:rPr>
          <w:rFonts w:ascii="Arial" w:cs="Arial" w:eastAsia="Arial" w:hAnsi="Arial"/>
          <w:sz w:val="15"/>
          <w:szCs w:val="15"/>
          <w:color w:val="auto"/>
        </w:rPr>
        <w:t>Monoclonal</w:t>
      </w:r>
      <w:r>
        <w:rPr>
          <w:sz w:val="20"/>
          <w:szCs w:val="20"/>
          <w:color w:val="auto"/>
        </w:rPr>
        <w:tab/>
      </w:r>
      <w:r>
        <w:rPr>
          <w:sz w:val="1"/>
          <w:szCs w:val="1"/>
          <w:color w:val="auto"/>
        </w:rPr>
        <w:drawing>
          <wp:inline distT="0" distB="0" distL="0" distR="0">
            <wp:extent cx="59690" cy="5969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5"/>
          <w:szCs w:val="15"/>
          <w:color w:val="auto"/>
        </w:rPr>
        <w:t xml:space="preserve">  REGN88: Initiated a Phase 2/3 dose-ranging</w:t>
      </w:r>
    </w:p>
    <w:p>
      <w:pPr>
        <w:spacing w:after="0" w:line="50" w:lineRule="exact"/>
        <w:rPr>
          <w:sz w:val="20"/>
          <w:szCs w:val="20"/>
          <w:color w:val="auto"/>
        </w:rPr>
      </w:pPr>
    </w:p>
    <w:p>
      <w:pPr>
        <w:ind w:left="300"/>
        <w:spacing w:after="0"/>
        <w:tabs>
          <w:tab w:leader="none" w:pos="3700" w:val="left"/>
        </w:tabs>
        <w:rPr>
          <w:sz w:val="20"/>
          <w:szCs w:val="20"/>
          <w:color w:val="auto"/>
        </w:rPr>
      </w:pPr>
      <w:r>
        <w:rPr>
          <w:rFonts w:ascii="Arial" w:cs="Arial" w:eastAsia="Arial" w:hAnsi="Arial"/>
          <w:sz w:val="16"/>
          <w:szCs w:val="16"/>
          <w:color w:val="auto"/>
        </w:rPr>
        <w:t>Antibodies</w:t>
      </w:r>
      <w:r>
        <w:rPr>
          <w:sz w:val="20"/>
          <w:szCs w:val="20"/>
          <w:color w:val="auto"/>
        </w:rPr>
        <w:tab/>
      </w:r>
      <w:r>
        <w:rPr>
          <w:rFonts w:ascii="Arial" w:cs="Arial" w:eastAsia="Arial" w:hAnsi="Arial"/>
          <w:sz w:val="16"/>
          <w:szCs w:val="16"/>
          <w:color w:val="auto"/>
        </w:rPr>
        <w:t>study in rheumatoid arthritis and a Phase 2</w:t>
      </w:r>
    </w:p>
    <w:p>
      <w:pPr>
        <w:spacing w:after="0" w:line="32"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dose-ranging study in ankylosing spondylitis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REGN475: Report data from the study in osteoarthritis of the knee during the second quarter of 2010 and from another study in a pain indication during the second half of 2010 REGN727: Report proof-of-concept data from the Phase 1 program and initiate a Phase 2 program for LDL cholesterol reduction REGN668: Initiate a Phase 2 program in the treatment of a chronic allergic condition REGN88: Report data from a Phase 1 trial in rheumatoid arthritis</w:t>
      </w:r>
    </w:p>
    <w:p>
      <w:pPr>
        <w:spacing w:after="0" w:line="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Advance additional antibody candidates into clinical development</w:t>
      </w:r>
    </w:p>
    <w:p>
      <w:pPr>
        <w:sectPr>
          <w:pgSz w:w="11900" w:h="16838" w:orient="portrait"/>
          <w:cols w:equalWidth="0" w:num="2">
            <w:col w:w="7400" w:space="720"/>
            <w:col w:w="3300"/>
          </w:cols>
          <w:pgMar w:left="240" w:top="382"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79"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Regeneron reported a net loss of $30.5 million, or $0.38 per share (basic and diluted), for the first quarter of 2010, compared to a net loss of $15.4 million, or $0.19 per share (basic and diluted) for the first quarter of 2009. The increase in our net loss was principally due to higher research and development expenses, as detailed below, partly offset by higher contract research and development revenue primarily in connection with our antibody collaboration with sanofi-aventis.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86"/>
        </w:trPr>
        <w:tc>
          <w:tcPr>
            <w:tcW w:w="7480" w:type="dxa"/>
            <w:vAlign w:val="bottom"/>
            <w:gridSpan w:val="2"/>
          </w:tcPr>
          <w:p>
            <w:pPr>
              <w:ind w:left="280"/>
              <w:spacing w:after="0"/>
              <w:rPr>
                <w:sz w:val="20"/>
                <w:szCs w:val="20"/>
                <w:color w:val="auto"/>
              </w:rPr>
            </w:pPr>
            <w:r>
              <w:rPr>
                <w:rFonts w:ascii="Arial" w:cs="Arial" w:eastAsia="Arial" w:hAnsi="Arial"/>
                <w:sz w:val="18"/>
                <w:szCs w:val="18"/>
                <w:color w:val="auto"/>
              </w:rPr>
              <w:t>Revenues for the three months ended March 31, 2010 and 2009 consist of the following:</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82"/>
        </w:trPr>
        <w:tc>
          <w:tcPr>
            <w:tcW w:w="7480" w:type="dxa"/>
            <w:vAlign w:val="bottom"/>
            <w:gridSpan w:val="2"/>
          </w:tcPr>
          <w:p>
            <w:pPr>
              <w:ind w:left="1720"/>
              <w:spacing w:after="0"/>
              <w:rPr>
                <w:sz w:val="20"/>
                <w:szCs w:val="20"/>
                <w:color w:val="auto"/>
              </w:rPr>
            </w:pPr>
            <w:r>
              <w:rPr>
                <w:rFonts w:ascii="Arial" w:cs="Arial" w:eastAsia="Arial" w:hAnsi="Arial"/>
                <w:sz w:val="18"/>
                <w:szCs w:val="18"/>
                <w:b w:val="1"/>
                <w:bCs w:val="1"/>
                <w:i w:val="1"/>
                <w:iCs w:val="1"/>
                <w:color w:val="auto"/>
              </w:rPr>
              <w:t>(In millions)</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2009</w:t>
            </w:r>
          </w:p>
        </w:tc>
      </w:tr>
      <w:tr>
        <w:trPr>
          <w:trHeight w:val="230"/>
        </w:trPr>
        <w:tc>
          <w:tcPr>
            <w:tcW w:w="1720" w:type="dxa"/>
            <w:vAlign w:val="bottom"/>
          </w:tcPr>
          <w:p>
            <w:pPr>
              <w:spacing w:after="0"/>
              <w:rPr>
                <w:sz w:val="19"/>
                <w:szCs w:val="19"/>
                <w:color w:val="auto"/>
              </w:rPr>
            </w:pPr>
          </w:p>
        </w:tc>
        <w:tc>
          <w:tcPr>
            <w:tcW w:w="57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Collaboration revenue</w:t>
            </w:r>
          </w:p>
        </w:tc>
        <w:tc>
          <w:tcPr>
            <w:tcW w:w="100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400" w:type="dxa"/>
            <w:vAlign w:val="bottom"/>
            <w:tcBorders>
              <w:top w:val="single" w:sz="8" w:color="auto"/>
            </w:tcBorders>
            <w:shd w:val="clear" w:color="auto" w:fill="C0C0C0"/>
          </w:tcPr>
          <w:p>
            <w:pPr>
              <w:spacing w:after="0"/>
              <w:rPr>
                <w:sz w:val="19"/>
                <w:szCs w:val="19"/>
                <w:color w:val="auto"/>
              </w:rPr>
            </w:pPr>
          </w:p>
        </w:tc>
        <w:tc>
          <w:tcPr>
            <w:tcW w:w="320" w:type="dxa"/>
            <w:vAlign w:val="bottom"/>
            <w:tcBorders>
              <w:top w:val="single" w:sz="8" w:color="C0C0C0"/>
            </w:tcBorders>
            <w:shd w:val="clear" w:color="auto" w:fill="C0C0C0"/>
          </w:tcPr>
          <w:p>
            <w:pPr>
              <w:spacing w:after="0"/>
              <w:rPr>
                <w:sz w:val="19"/>
                <w:szCs w:val="19"/>
                <w:color w:val="auto"/>
              </w:rPr>
            </w:pPr>
          </w:p>
        </w:tc>
        <w:tc>
          <w:tcPr>
            <w:tcW w:w="400" w:type="dxa"/>
            <w:vAlign w:val="bottom"/>
            <w:tcBorders>
              <w:top w:val="single" w:sz="8" w:color="auto"/>
            </w:tcBorders>
            <w:shd w:val="clear" w:color="auto" w:fill="C0C0C0"/>
          </w:tcPr>
          <w:p>
            <w:pPr>
              <w:spacing w:after="0"/>
              <w:rPr>
                <w:sz w:val="19"/>
                <w:szCs w:val="19"/>
                <w:color w:val="auto"/>
              </w:rPr>
            </w:pPr>
          </w:p>
        </w:tc>
      </w:tr>
      <w:tr>
        <w:trPr>
          <w:trHeight w:val="235"/>
        </w:trPr>
        <w:tc>
          <w:tcPr>
            <w:tcW w:w="1720" w:type="dxa"/>
            <w:vAlign w:val="bottom"/>
          </w:tcPr>
          <w:p>
            <w:pPr>
              <w:spacing w:after="0"/>
              <w:rPr>
                <w:sz w:val="20"/>
                <w:szCs w:val="20"/>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Sanofi-aventis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68.7</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$49.6</w:t>
            </w:r>
          </w:p>
        </w:tc>
      </w:tr>
      <w:tr>
        <w:trPr>
          <w:trHeight w:val="251"/>
        </w:trPr>
        <w:tc>
          <w:tcPr>
            <w:tcW w:w="1720" w:type="dxa"/>
            <w:vAlign w:val="bottom"/>
          </w:tcPr>
          <w:p>
            <w:pPr>
              <w:spacing w:after="0"/>
              <w:rPr>
                <w:sz w:val="21"/>
                <w:szCs w:val="21"/>
                <w:color w:val="auto"/>
              </w:rPr>
            </w:pPr>
          </w:p>
        </w:tc>
        <w:tc>
          <w:tcPr>
            <w:tcW w:w="57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Bayer HealthCare</w:t>
            </w:r>
          </w:p>
        </w:tc>
        <w:tc>
          <w:tcPr>
            <w:tcW w:w="10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13.1</w:t>
            </w:r>
          </w:p>
        </w:tc>
        <w:tc>
          <w:tcPr>
            <w:tcW w:w="320" w:type="dxa"/>
            <w:vAlign w:val="bottom"/>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1720" w:type="dxa"/>
            <w:vAlign w:val="bottom"/>
          </w:tcPr>
          <w:p>
            <w:pPr>
              <w:spacing w:after="0"/>
              <w:rPr>
                <w:sz w:val="19"/>
                <w:szCs w:val="19"/>
                <w:color w:val="auto"/>
              </w:rPr>
            </w:pPr>
          </w:p>
        </w:tc>
        <w:tc>
          <w:tcPr>
            <w:tcW w:w="5760" w:type="dxa"/>
            <w:vAlign w:val="bottom"/>
          </w:tcPr>
          <w:p>
            <w:pPr>
              <w:ind w:left="620"/>
              <w:spacing w:after="0"/>
              <w:rPr>
                <w:sz w:val="20"/>
                <w:szCs w:val="20"/>
                <w:color w:val="auto"/>
              </w:rPr>
            </w:pPr>
            <w:r>
              <w:rPr>
                <w:rFonts w:ascii="Arial" w:cs="Arial" w:eastAsia="Arial" w:hAnsi="Arial"/>
                <w:sz w:val="18"/>
                <w:szCs w:val="18"/>
                <w:color w:val="auto"/>
              </w:rPr>
              <w:t>Total collaboration revenue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81.8</w:t>
            </w:r>
          </w:p>
        </w:tc>
        <w:tc>
          <w:tcPr>
            <w:tcW w:w="40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51"/>
        </w:trPr>
        <w:tc>
          <w:tcPr>
            <w:tcW w:w="1720" w:type="dxa"/>
            <w:vAlign w:val="bottom"/>
          </w:tcPr>
          <w:p>
            <w:pPr>
              <w:spacing w:after="0"/>
              <w:rPr>
                <w:sz w:val="21"/>
                <w:szCs w:val="21"/>
                <w:color w:val="auto"/>
              </w:rPr>
            </w:pPr>
          </w:p>
        </w:tc>
        <w:tc>
          <w:tcPr>
            <w:tcW w:w="5760" w:type="dxa"/>
            <w:vAlign w:val="bottom"/>
            <w:shd w:val="clear" w:color="auto" w:fill="C0C0C0"/>
          </w:tcPr>
          <w:p>
            <w:pPr>
              <w:spacing w:after="0"/>
              <w:rPr>
                <w:sz w:val="20"/>
                <w:szCs w:val="20"/>
                <w:color w:val="auto"/>
              </w:rPr>
            </w:pPr>
            <w:r>
              <w:rPr>
                <w:rFonts w:ascii="Arial" w:cs="Arial" w:eastAsia="Arial" w:hAnsi="Arial"/>
                <w:sz w:val="18"/>
                <w:szCs w:val="18"/>
                <w:color w:val="auto"/>
              </w:rPr>
              <w:t>Technology licensing revenue</w:t>
            </w:r>
          </w:p>
        </w:tc>
        <w:tc>
          <w:tcPr>
            <w:tcW w:w="10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235"/>
        </w:trPr>
        <w:tc>
          <w:tcPr>
            <w:tcW w:w="7480" w:type="dxa"/>
            <w:vAlign w:val="bottom"/>
            <w:gridSpan w:val="2"/>
          </w:tcPr>
          <w:p>
            <w:pPr>
              <w:ind w:left="1720"/>
              <w:spacing w:after="0"/>
              <w:rPr>
                <w:sz w:val="20"/>
                <w:szCs w:val="20"/>
                <w:color w:val="auto"/>
              </w:rPr>
            </w:pPr>
            <w:r>
              <w:rPr>
                <w:rFonts w:ascii="Arial" w:cs="Arial" w:eastAsia="Arial" w:hAnsi="Arial"/>
                <w:sz w:val="18"/>
                <w:szCs w:val="18"/>
                <w:color w:val="auto"/>
              </w:rPr>
              <w:t>Net product sales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4"/>
        </w:trPr>
        <w:tc>
          <w:tcPr>
            <w:tcW w:w="1720" w:type="dxa"/>
            <w:vAlign w:val="bottom"/>
          </w:tcPr>
          <w:p>
            <w:pPr>
              <w:spacing w:after="0"/>
              <w:rPr>
                <w:sz w:val="21"/>
                <w:szCs w:val="21"/>
                <w:color w:val="auto"/>
              </w:rPr>
            </w:pPr>
          </w:p>
        </w:tc>
        <w:tc>
          <w:tcPr>
            <w:tcW w:w="576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and other revenue</w:t>
            </w:r>
          </w:p>
        </w:tc>
        <w:tc>
          <w:tcPr>
            <w:tcW w:w="100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w:t>
            </w:r>
          </w:p>
        </w:tc>
      </w:tr>
      <w:tr>
        <w:trPr>
          <w:trHeight w:val="242"/>
        </w:trPr>
        <w:tc>
          <w:tcPr>
            <w:tcW w:w="1720" w:type="dxa"/>
            <w:vAlign w:val="bottom"/>
          </w:tcPr>
          <w:p>
            <w:pPr>
              <w:spacing w:after="0"/>
              <w:rPr>
                <w:sz w:val="21"/>
                <w:szCs w:val="21"/>
                <w:color w:val="auto"/>
              </w:rPr>
            </w:pPr>
          </w:p>
        </w:tc>
        <w:tc>
          <w:tcPr>
            <w:tcW w:w="5760" w:type="dxa"/>
            <w:vAlign w:val="bottom"/>
          </w:tcPr>
          <w:p>
            <w:pPr>
              <w:ind w:left="620"/>
              <w:spacing w:after="0"/>
              <w:rPr>
                <w:sz w:val="20"/>
                <w:szCs w:val="20"/>
                <w:color w:val="auto"/>
              </w:rPr>
            </w:pPr>
            <w:r>
              <w:rPr>
                <w:rFonts w:ascii="Arial" w:cs="Arial" w:eastAsia="Arial" w:hAnsi="Arial"/>
                <w:sz w:val="18"/>
                <w:szCs w:val="18"/>
                <w:color w:val="auto"/>
              </w:rPr>
              <w:t>Total revenue</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103.5</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$75.0</w:t>
            </w:r>
          </w:p>
        </w:tc>
      </w:tr>
      <w:tr>
        <w:trPr>
          <w:trHeight w:val="28"/>
        </w:trPr>
        <w:tc>
          <w:tcPr>
            <w:tcW w:w="17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Sanofi-aventis Collaboration Revenue</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collaboration revenue we earn from sanofi-aventis, as detailed below, consists primarily of reimbursement for research and development expenses and recognition of revenue related to non-refundable up-front payments of $105.0 million related to the aflibercept collaboration and $85.0 million related to the antibody collaboration.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Sanofi-aventis Collaboration Revenue</w:t>
            </w:r>
          </w:p>
        </w:tc>
        <w:tc>
          <w:tcPr>
            <w:tcW w:w="320" w:type="dxa"/>
            <w:vAlign w:val="bottom"/>
          </w:tcPr>
          <w:p>
            <w:pPr>
              <w:spacing w:after="0"/>
              <w:rPr>
                <w:sz w:val="20"/>
                <w:szCs w:val="20"/>
                <w:color w:val="auto"/>
              </w:rPr>
            </w:pPr>
          </w:p>
        </w:tc>
        <w:tc>
          <w:tcPr>
            <w:tcW w:w="162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Three months ended</w:t>
            </w:r>
          </w:p>
        </w:tc>
        <w:tc>
          <w:tcPr>
            <w:tcW w:w="0" w:type="dxa"/>
            <w:vAlign w:val="bottom"/>
          </w:tcPr>
          <w:p>
            <w:pPr>
              <w:spacing w:after="0"/>
              <w:rPr>
                <w:sz w:val="1"/>
                <w:szCs w:val="1"/>
                <w:color w:val="auto"/>
              </w:rPr>
            </w:pPr>
          </w:p>
        </w:tc>
      </w:tr>
      <w:tr>
        <w:trPr>
          <w:trHeight w:val="237"/>
        </w:trPr>
        <w:tc>
          <w:tcPr>
            <w:tcW w:w="948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94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2010</w:t>
            </w:r>
          </w:p>
        </w:tc>
        <w:tc>
          <w:tcPr>
            <w:tcW w:w="3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2009</w:t>
            </w:r>
          </w:p>
        </w:tc>
        <w:tc>
          <w:tcPr>
            <w:tcW w:w="0" w:type="dxa"/>
            <w:vAlign w:val="bottom"/>
          </w:tcPr>
          <w:p>
            <w:pPr>
              <w:spacing w:after="0"/>
              <w:rPr>
                <w:sz w:val="1"/>
                <w:szCs w:val="1"/>
                <w:color w:val="auto"/>
              </w:rPr>
            </w:pPr>
          </w:p>
        </w:tc>
      </w:tr>
      <w:tr>
        <w:trPr>
          <w:trHeight w:val="230"/>
        </w:trPr>
        <w:tc>
          <w:tcPr>
            <w:tcW w:w="948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3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948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1"/>
        </w:trPr>
        <w:tc>
          <w:tcPr>
            <w:tcW w:w="9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620"/>
              <w:spacing w:after="0"/>
              <w:rPr>
                <w:sz w:val="20"/>
                <w:szCs w:val="20"/>
                <w:color w:val="auto"/>
              </w:rPr>
            </w:pPr>
            <w:r>
              <w:rPr>
                <w:rFonts w:ascii="Arial" w:cs="Arial" w:eastAsia="Arial" w:hAnsi="Arial"/>
                <w:sz w:val="18"/>
                <w:szCs w:val="18"/>
                <w:color w:val="auto"/>
              </w:rPr>
              <w:t>Total aflibercept</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94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Antibody:</w:t>
            </w:r>
          </w:p>
        </w:tc>
        <w:tc>
          <w:tcPr>
            <w:tcW w:w="32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520" w:type="dxa"/>
            <w:vAlign w:val="bottom"/>
            <w:tcBorders>
              <w:top w:val="single" w:sz="8" w:color="auto"/>
            </w:tcBorders>
            <w:shd w:val="clear" w:color="auto" w:fill="C0C0C0"/>
          </w:tcPr>
          <w:p>
            <w:pPr>
              <w:spacing w:after="0"/>
              <w:rPr>
                <w:sz w:val="19"/>
                <w:szCs w:val="19"/>
                <w:color w:val="auto"/>
              </w:rPr>
            </w:pPr>
          </w:p>
        </w:tc>
        <w:tc>
          <w:tcPr>
            <w:tcW w:w="34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54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948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5"/>
        </w:trPr>
        <w:tc>
          <w:tcPr>
            <w:tcW w:w="9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and other</w:t>
            </w:r>
          </w:p>
        </w:tc>
        <w:tc>
          <w:tcPr>
            <w:tcW w:w="3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94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payments</w:t>
            </w:r>
          </w:p>
        </w:tc>
        <w:tc>
          <w:tcPr>
            <w:tcW w:w="3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86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0C0C0"/>
          </w:tcPr>
          <w:p>
            <w:pPr>
              <w:spacing w:after="0"/>
              <w:rPr>
                <w:sz w:val="22"/>
                <w:szCs w:val="22"/>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9"/>
        </w:trPr>
        <w:tc>
          <w:tcPr>
            <w:tcW w:w="9480" w:type="dxa"/>
            <w:vAlign w:val="bottom"/>
          </w:tcPr>
          <w:p>
            <w:pPr>
              <w:ind w:left="320"/>
              <w:spacing w:after="0"/>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12"/>
                <w:szCs w:val="12"/>
                <w:i w:val="1"/>
                <w:iCs w:val="1"/>
                <w:color w:val="auto"/>
              </w:rPr>
              <w:t>®</w:t>
            </w:r>
            <w:r>
              <w:rPr>
                <w:rFonts w:ascii="Arial" w:cs="Arial" w:eastAsia="Arial" w:hAnsi="Arial"/>
                <w:sz w:val="18"/>
                <w:szCs w:val="18"/>
                <w:color w:val="auto"/>
              </w:rPr>
              <w:t xml:space="preserve"> agreement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
        </w:trPr>
        <w:tc>
          <w:tcPr>
            <w:tcW w:w="9480" w:type="dxa"/>
            <w:vAlign w:val="bottom"/>
            <w:vMerge w:val="restart"/>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3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480" w:type="dxa"/>
            <w:vAlign w:val="bottom"/>
            <w:vMerge w:val="continue"/>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80" w:type="dxa"/>
            <w:vAlign w:val="bottom"/>
          </w:tcPr>
          <w:p>
            <w:pPr>
              <w:spacing w:after="0"/>
              <w:rPr>
                <w:sz w:val="20"/>
                <w:szCs w:val="20"/>
                <w:color w:val="auto"/>
              </w:rPr>
            </w:pPr>
            <w:r>
              <w:rPr>
                <w:rFonts w:ascii="Arial" w:cs="Arial" w:eastAsia="Arial" w:hAnsi="Arial"/>
                <w:sz w:val="18"/>
                <w:szCs w:val="18"/>
                <w:color w:val="auto"/>
              </w:rPr>
              <w:t>Total sanofi-aventis collaboration revenue</w:t>
            </w:r>
          </w:p>
        </w:tc>
        <w:tc>
          <w:tcPr>
            <w:tcW w:w="3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8"/>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Sanofi-aventis’ reimbursement of our aflibercept expenses decreased in the first quarter of 2010 compared to same period in 2009, primarily due to lower costs related to internal research activities. As of March 31, 2010, $40.0 million of the original $105.0 million of up-front payments related to aflibercept was deferred and will be recognized as revenue in future periods.</w:t>
      </w:r>
    </w:p>
    <w:p>
      <w:pPr>
        <w:spacing w:after="0" w:line="248"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the first quarter of 2010, sanofi-aventis’ reimbursement of our antibody expenses consisted of $26.7 million under the discovery agreement and $32.6 million of development costs under the license agreement, compared to $22.7 million and $15.7 million, respectively, in the first quarter of 2009. The higher reimbursement amounts in the first quarter of 2010 compared to the same period in 2009 were due to an increase in our research activities conducted under the discovery agreement and increases in our development activities for antibody candidates under the license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jc w:val="both"/>
        <w:ind w:firstLine="284"/>
        <w:spacing w:after="0" w:line="290" w:lineRule="auto"/>
        <w:rPr>
          <w:sz w:val="20"/>
          <w:szCs w:val="20"/>
          <w:color w:val="auto"/>
        </w:rPr>
      </w:pPr>
      <w:r>
        <w:rPr>
          <w:rFonts w:ascii="Arial" w:cs="Arial" w:eastAsia="Arial" w:hAnsi="Arial"/>
          <w:sz w:val="16"/>
          <w:szCs w:val="16"/>
          <w:color w:val="auto"/>
        </w:rPr>
        <w:t>Recognition of deferred revenues related primarily to sanofi-aventis’ $85.0 million up-front payments decreased during the first quarter of 2010 compared to the same period in 2009 due to the November 2009 amendments to expand and extend the companies’ antibody collaboration. In connection with the November 2009 amendment of the discovery agreement, sanofi-aventis is funding up to $30 million of agreed-upon costs incurred by us to expand our manufacturing capacity at our Rensselaer, New York facilities, of which $5.1 million was received or receivable from sanofi-aventis as of March 31, 2010. Payments for such funding from sanofi-aventis are deferred and recognized as collaboration revenue prospectively over the related performance period in conjunction with the original $85.0 million up-front payment. As of March 31, 2010, $67.2 million of the original up-front payment and subsequent payments to fund expansion of our Rensselaer facilities was deferred and will be recognized as revenue in future periods.</w:t>
      </w:r>
    </w:p>
    <w:p>
      <w:pPr>
        <w:spacing w:after="0" w:line="223" w:lineRule="exact"/>
        <w:rPr>
          <w:sz w:val="20"/>
          <w:szCs w:val="20"/>
          <w:color w:val="auto"/>
        </w:rPr>
      </w:pPr>
    </w:p>
    <w:p>
      <w:pPr>
        <w:jc w:val="both"/>
        <w:ind w:firstLine="270"/>
        <w:spacing w:after="0" w:line="219" w:lineRule="auto"/>
        <w:rPr>
          <w:sz w:val="20"/>
          <w:szCs w:val="20"/>
          <w:color w:val="auto"/>
        </w:rPr>
      </w:pPr>
      <w:r>
        <w:rPr>
          <w:rFonts w:ascii="Arial" w:cs="Arial" w:eastAsia="Arial" w:hAnsi="Arial"/>
          <w:sz w:val="18"/>
          <w:szCs w:val="18"/>
          <w:color w:val="auto"/>
        </w:rPr>
        <w:t xml:space="preserve">In August 2008, we entered into a separate </w:t>
      </w:r>
      <w:r>
        <w:rPr>
          <w:rFonts w:ascii="Arial" w:cs="Arial" w:eastAsia="Arial" w:hAnsi="Arial"/>
          <w:sz w:val="18"/>
          <w:szCs w:val="18"/>
          <w:i w:val="1"/>
          <w:iCs w:val="1"/>
          <w:color w:val="auto"/>
        </w:rPr>
        <w:t>VelociGene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agreement with sanofi-aventis. For the three months ended March 31, 2010 and 2009, we recognized $0.4 million and $0.7 million, respectively, in revenue related to this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collaboration revenue we earn from Bayer HealthCare, as detailed below, consists of cost sharing of Regeneron VEGF Trap-Eye development expenses and recognition of revenue related to a non-refundable $75.0 million up-front payment and a $20.0 million milestone payment received in August 2007 (which, for the purpose of revenue recognition, was not considered substantive).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Bayer HealthCare Collaboration Revenue</w:t>
            </w:r>
          </w:p>
        </w:tc>
        <w:tc>
          <w:tcPr>
            <w:tcW w:w="320" w:type="dxa"/>
            <w:vAlign w:val="bottom"/>
          </w:tcPr>
          <w:p>
            <w:pPr>
              <w:spacing w:after="0"/>
              <w:rPr>
                <w:sz w:val="22"/>
                <w:szCs w:val="22"/>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Three months ended</w:t>
            </w:r>
          </w:p>
        </w:tc>
      </w:tr>
      <w:tr>
        <w:trPr>
          <w:trHeight w:val="237"/>
        </w:trPr>
        <w:tc>
          <w:tcPr>
            <w:tcW w:w="9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94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2010</w:t>
            </w:r>
          </w:p>
        </w:tc>
        <w:tc>
          <w:tcPr>
            <w:tcW w:w="3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2009</w:t>
            </w:r>
          </w:p>
        </w:tc>
      </w:tr>
      <w:tr>
        <w:trPr>
          <w:trHeight w:val="243"/>
        </w:trPr>
        <w:tc>
          <w:tcPr>
            <w:tcW w:w="97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w:t>
            </w:r>
          </w:p>
        </w:tc>
      </w:tr>
      <w:tr>
        <w:trPr>
          <w:trHeight w:val="228"/>
        </w:trPr>
        <w:tc>
          <w:tcPr>
            <w:tcW w:w="9740" w:type="dxa"/>
            <w:vAlign w:val="bottom"/>
            <w:gridSpan w:val="2"/>
          </w:tcPr>
          <w:p>
            <w:pPr>
              <w:spacing w:after="0"/>
              <w:rPr>
                <w:sz w:val="20"/>
                <w:szCs w:val="20"/>
                <w:color w:val="auto"/>
              </w:rPr>
            </w:pPr>
            <w:r>
              <w:rPr>
                <w:rFonts w:ascii="Arial" w:cs="Arial" w:eastAsia="Arial" w:hAnsi="Arial"/>
                <w:sz w:val="18"/>
                <w:szCs w:val="18"/>
                <w:color w:val="auto"/>
              </w:rPr>
              <w:t>Recognition of deferred revenue related to up-front and milestone</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51"/>
        </w:trPr>
        <w:tc>
          <w:tcPr>
            <w:tcW w:w="9740" w:type="dxa"/>
            <w:vAlign w:val="bottom"/>
            <w:gridSpan w:val="2"/>
          </w:tcPr>
          <w:p>
            <w:pPr>
              <w:ind w:left="320"/>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21"/>
                <w:szCs w:val="2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
        </w:trPr>
        <w:tc>
          <w:tcPr>
            <w:tcW w:w="942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42"/>
        </w:trPr>
        <w:tc>
          <w:tcPr>
            <w:tcW w:w="97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Total Bayer HealthCare collaboration revenue</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28"/>
        </w:trPr>
        <w:tc>
          <w:tcPr>
            <w:tcW w:w="942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r>
    </w:tbl>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periods when we recognize VEGF Trap-Eye development expenses that we incur under our collaboration with Bayer HealthCare, we also recognize, as contract research and development revenue, the portion of those VEGF Trap-Eye development expenses that is reimbursable by Bayer HealthCare. Cost-sharing of our VEGF Trap-Eye development expenses with Bayer HealthCare increased in the first quarter of 2010, compared to the same period in 2009, due to higher clinical development costs in connection with our VIEW 1 trial in wet AMD, Phase 2 trial in DME, and Phase 3 trial in CRVO. In 2010 and 2009, development expenses incurred by Regeneron and Bayer HealthCare under the VEGF Trap-Eye global development plan were shared equally. As of March 31, 2010, $54.4 million of the $75.0 million up-front licensing and $20.0 million milestone payments was deferred and will be recognized as revenue in future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76" w:lineRule="exact"/>
        <w:rPr>
          <w:sz w:val="20"/>
          <w:szCs w:val="20"/>
          <w:color w:val="auto"/>
        </w:rPr>
      </w:pPr>
    </w:p>
    <w:p>
      <w:pPr>
        <w:jc w:val="both"/>
        <w:ind w:firstLine="351"/>
        <w:spacing w:after="0" w:line="228"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8"/>
          <w:szCs w:val="18"/>
          <w:color w:val="auto"/>
        </w:rPr>
        <w:t xml:space="preserve"> license agreements with AstraZeneca and Astellas, each of the $20.0 million annual, non-refundable payments are deferred upon receipt and recognized as revenue ratably over approximately the ensuing year of each agreement. In the first quarter of both 2010 and 2009, we recognized $10.0 million of technology licensing revenue related to these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6" w:lineRule="exact"/>
        <w:rPr>
          <w:sz w:val="20"/>
          <w:szCs w:val="20"/>
          <w:color w:val="auto"/>
        </w:rPr>
      </w:pPr>
    </w:p>
    <w:p>
      <w:pPr>
        <w:jc w:val="both"/>
        <w:ind w:firstLine="297"/>
        <w:spacing w:after="0" w:line="233" w:lineRule="auto"/>
        <w:rPr>
          <w:sz w:val="20"/>
          <w:szCs w:val="20"/>
          <w:color w:val="auto"/>
        </w:rPr>
      </w:pPr>
      <w:r>
        <w:rPr>
          <w:rFonts w:ascii="Arial" w:cs="Arial" w:eastAsia="Arial" w:hAnsi="Arial"/>
          <w:sz w:val="16"/>
          <w:szCs w:val="16"/>
          <w:color w:val="auto"/>
        </w:rPr>
        <w:t>In February 2008, we received marketing approval from the FDA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the treatment of CAPS. We had limited historical return experience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beginning with initial sales in 2008 through the end of 2009; therefore,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were deferred until the right of return no longer existed and rebates could be reasonably estimated. Effective in the first quarter of 2010, we determined that we had accumulated sufficient historical data to reasonably estimate both product returns and rebates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As a result, for the three months ended March 31, 2010, we recognized as revenue $9.9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which included $5.1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made during the quarter and $4.8 million of previously deferred net product sales. For the three months ended March 31, 2009, we recognized as revenue $3.9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There was no deferred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revenue at March 31, 2010. At March 31, 2009, deferred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net product sales revenue was $4.2 million.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Contract Research and Other Revenue</w:t>
      </w:r>
    </w:p>
    <w:p>
      <w:pPr>
        <w:spacing w:after="0" w:line="279" w:lineRule="exact"/>
        <w:rPr>
          <w:sz w:val="20"/>
          <w:szCs w:val="20"/>
          <w:color w:val="auto"/>
        </w:rPr>
      </w:pPr>
    </w:p>
    <w:p>
      <w:pPr>
        <w:jc w:val="both"/>
        <w:ind w:right="20" w:firstLine="284"/>
        <w:spacing w:after="0" w:line="332" w:lineRule="auto"/>
        <w:rPr>
          <w:sz w:val="20"/>
          <w:szCs w:val="20"/>
          <w:color w:val="auto"/>
        </w:rPr>
      </w:pPr>
      <w:r>
        <w:rPr>
          <w:rFonts w:ascii="Arial" w:cs="Arial" w:eastAsia="Arial" w:hAnsi="Arial"/>
          <w:sz w:val="16"/>
          <w:szCs w:val="16"/>
          <w:color w:val="auto"/>
        </w:rPr>
        <w:t>Contract research and other revenue for the three months ended March 31, 2010 and 2009 included $1.1 million and $1.5 million, respectively, recognized in connection with our five-year grant from the NIH, which we were awarded in September 2006 as part of the NIH’s Knockout Mouse Project.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right="20" w:firstLine="365"/>
        <w:spacing w:after="0" w:line="259" w:lineRule="auto"/>
        <w:rPr>
          <w:sz w:val="20"/>
          <w:szCs w:val="20"/>
          <w:color w:val="auto"/>
        </w:rPr>
      </w:pPr>
      <w:r>
        <w:rPr>
          <w:rFonts w:ascii="Arial" w:cs="Arial" w:eastAsia="Arial" w:hAnsi="Arial"/>
          <w:sz w:val="18"/>
          <w:szCs w:val="18"/>
          <w:color w:val="auto"/>
        </w:rPr>
        <w:t>Total operating expenses increased to $132.2 million in the first quarter of 2010 from $92.1 million in the first quarter of 2009. Our average headcount increased to 1,087 in the first quarter of 2010 from 938 in the same period of 2009 principally as a result of our expanding research and development activities, which are primarily attributable to our antibody collaboration with sanofi-aventis.</w:t>
      </w:r>
    </w:p>
    <w:p>
      <w:pPr>
        <w:spacing w:after="0" w:line="248" w:lineRule="exact"/>
        <w:rPr>
          <w:sz w:val="20"/>
          <w:szCs w:val="20"/>
          <w:color w:val="auto"/>
        </w:rPr>
      </w:pPr>
    </w:p>
    <w:p>
      <w:pPr>
        <w:jc w:val="both"/>
        <w:ind w:right="20" w:firstLine="338"/>
        <w:spacing w:after="0" w:line="268" w:lineRule="auto"/>
        <w:rPr>
          <w:sz w:val="20"/>
          <w:szCs w:val="20"/>
          <w:color w:val="auto"/>
        </w:rPr>
      </w:pPr>
      <w:r>
        <w:rPr>
          <w:rFonts w:ascii="Arial" w:cs="Arial" w:eastAsia="Arial" w:hAnsi="Arial"/>
          <w:sz w:val="18"/>
          <w:szCs w:val="18"/>
          <w:color w:val="auto"/>
        </w:rPr>
        <w:t>Operating expenses in the first quarter of 2010 and 2009 include a total of $8.8 million and $7.7 million, respectively, of non-cash compensation expense related to employee stock option and restricted stock awards (Non-cash Compensation Expense), as detailed below:</w:t>
      </w:r>
    </w:p>
    <w:p>
      <w:pPr>
        <w:spacing w:after="0" w:line="221"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Expenses before</w:t>
            </w:r>
          </w:p>
        </w:tc>
        <w:tc>
          <w:tcPr>
            <w:tcW w:w="3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3"/>
          </w:tcPr>
          <w:p>
            <w:pPr>
              <w:ind w:left="320"/>
              <w:spacing w:after="0"/>
              <w:rPr>
                <w:sz w:val="20"/>
                <w:szCs w:val="20"/>
                <w:color w:val="auto"/>
              </w:rPr>
            </w:pPr>
            <w:r>
              <w:rPr>
                <w:rFonts w:ascii="Arial" w:cs="Arial" w:eastAsia="Arial" w:hAnsi="Arial"/>
                <w:sz w:val="18"/>
                <w:szCs w:val="18"/>
                <w:b w:val="1"/>
                <w:bCs w:val="1"/>
                <w:color w:val="auto"/>
                <w:w w:val="85"/>
              </w:rPr>
              <w:t>inclusion of Non-cash</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Non-cash</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2"/>
        </w:trPr>
        <w:tc>
          <w:tcPr>
            <w:tcW w:w="580" w:type="dxa"/>
            <w:vAlign w:val="bottom"/>
          </w:tcPr>
          <w:p>
            <w:pPr>
              <w:spacing w:after="0"/>
              <w:rPr>
                <w:sz w:val="21"/>
                <w:szCs w:val="21"/>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1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Compensation</w:t>
            </w:r>
          </w:p>
        </w:tc>
        <w:tc>
          <w:tcPr>
            <w:tcW w:w="1420" w:type="dxa"/>
            <w:vAlign w:val="bottom"/>
            <w:gridSpan w:val="3"/>
          </w:tcPr>
          <w:p>
            <w:pPr>
              <w:ind w:left="320"/>
              <w:spacing w:after="0"/>
              <w:rPr>
                <w:sz w:val="20"/>
                <w:szCs w:val="20"/>
                <w:color w:val="auto"/>
              </w:rPr>
            </w:pPr>
            <w:r>
              <w:rPr>
                <w:rFonts w:ascii="Arial" w:cs="Arial" w:eastAsia="Arial" w:hAnsi="Arial"/>
                <w:sz w:val="18"/>
                <w:szCs w:val="18"/>
                <w:b w:val="1"/>
                <w:bCs w:val="1"/>
                <w:color w:val="auto"/>
                <w:w w:val="86"/>
              </w:rPr>
              <w:t>Compensation</w:t>
            </w:r>
          </w:p>
        </w:tc>
        <w:tc>
          <w:tcPr>
            <w:tcW w:w="1220" w:type="dxa"/>
            <w:vAlign w:val="bottom"/>
            <w:gridSpan w:val="3"/>
          </w:tcPr>
          <w:p>
            <w:pPr>
              <w:ind w:left="320"/>
              <w:spacing w:after="0"/>
              <w:rPr>
                <w:sz w:val="20"/>
                <w:szCs w:val="20"/>
                <w:color w:val="auto"/>
              </w:rPr>
            </w:pPr>
            <w:r>
              <w:rPr>
                <w:rFonts w:ascii="Arial" w:cs="Arial" w:eastAsia="Arial" w:hAnsi="Arial"/>
                <w:sz w:val="18"/>
                <w:szCs w:val="18"/>
                <w:b w:val="1"/>
                <w:bCs w:val="1"/>
                <w:color w:val="auto"/>
                <w:w w:val="80"/>
              </w:rPr>
              <w:t>Expenses as</w:t>
            </w:r>
          </w:p>
        </w:tc>
        <w:tc>
          <w:tcPr>
            <w:tcW w:w="58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7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9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32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8"/>
              </w:rPr>
              <w:t>Reported</w:t>
            </w:r>
          </w:p>
        </w:tc>
        <w:tc>
          <w:tcPr>
            <w:tcW w:w="58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gridSpan w:val="3"/>
            <w:shd w:val="clear" w:color="auto" w:fill="C0C0C0"/>
          </w:tcPr>
          <w:p>
            <w:pPr>
              <w:ind w:left="2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112.5</w:t>
            </w:r>
          </w:p>
        </w:tc>
        <w:tc>
          <w:tcPr>
            <w:tcW w:w="4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0C0C0"/>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117.5</w:t>
            </w:r>
          </w:p>
        </w:tc>
        <w:tc>
          <w:tcPr>
            <w:tcW w:w="580" w:type="dxa"/>
            <w:vAlign w:val="bottom"/>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580" w:type="dxa"/>
            <w:vAlign w:val="bottom"/>
          </w:tcPr>
          <w:p>
            <w:pPr>
              <w:spacing w:after="0"/>
              <w:rPr>
                <w:sz w:val="20"/>
                <w:szCs w:val="20"/>
                <w:color w:val="auto"/>
              </w:rPr>
            </w:pPr>
          </w:p>
        </w:tc>
      </w:tr>
      <w:tr>
        <w:trPr>
          <w:trHeight w:val="244"/>
        </w:trPr>
        <w:tc>
          <w:tcPr>
            <w:tcW w:w="580" w:type="dxa"/>
            <w:vAlign w:val="bottom"/>
          </w:tcPr>
          <w:p>
            <w:pPr>
              <w:spacing w:after="0"/>
              <w:rPr>
                <w:sz w:val="21"/>
                <w:szCs w:val="21"/>
                <w:color w:val="auto"/>
              </w:rPr>
            </w:pPr>
          </w:p>
        </w:tc>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19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21"/>
                <w:szCs w:val="21"/>
                <w:color w:val="auto"/>
              </w:rPr>
            </w:pPr>
          </w:p>
        </w:tc>
      </w:tr>
      <w:tr>
        <w:trPr>
          <w:trHeight w:val="242"/>
        </w:trPr>
        <w:tc>
          <w:tcPr>
            <w:tcW w:w="580" w:type="dxa"/>
            <w:vAlign w:val="bottom"/>
          </w:tcPr>
          <w:p>
            <w:pPr>
              <w:spacing w:after="0"/>
              <w:rPr>
                <w:sz w:val="21"/>
                <w:szCs w:val="21"/>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400" w:type="dxa"/>
            <w:vAlign w:val="bottom"/>
            <w:gridSpan w:val="3"/>
          </w:tcPr>
          <w:p>
            <w:pPr>
              <w:ind w:left="2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123.4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132.2</w:t>
            </w:r>
          </w:p>
        </w:tc>
        <w:tc>
          <w:tcPr>
            <w:tcW w:w="580" w:type="dxa"/>
            <w:vAlign w:val="bottom"/>
          </w:tcPr>
          <w:p>
            <w:pPr>
              <w:spacing w:after="0"/>
              <w:rPr>
                <w:sz w:val="21"/>
                <w:szCs w:val="21"/>
                <w:color w:val="auto"/>
              </w:rPr>
            </w:pPr>
          </w:p>
        </w:tc>
      </w:tr>
      <w:tr>
        <w:trPr>
          <w:trHeight w:val="28"/>
        </w:trPr>
        <w:tc>
          <w:tcPr>
            <w:tcW w:w="5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580" w:type="dxa"/>
            <w:vAlign w:val="bottom"/>
          </w:tcPr>
          <w:p>
            <w:pPr>
              <w:spacing w:after="0"/>
              <w:rPr>
                <w:sz w:val="2"/>
                <w:szCs w:val="2"/>
                <w:color w:val="auto"/>
              </w:rPr>
            </w:pPr>
          </w:p>
        </w:tc>
      </w:tr>
      <w:tr>
        <w:trPr>
          <w:trHeight w:val="466"/>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8"/>
                <w:szCs w:val="18"/>
                <w:b w:val="1"/>
                <w:bCs w:val="1"/>
                <w:color w:val="auto"/>
                <w:w w:val="96"/>
              </w:rPr>
              <w:t>For the three months ended March 31, 2009</w:t>
            </w:r>
          </w:p>
        </w:tc>
        <w:tc>
          <w:tcPr>
            <w:tcW w:w="58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Expenses before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40" w:type="dxa"/>
            <w:vAlign w:val="bottom"/>
            <w:gridSpan w:val="3"/>
          </w:tcPr>
          <w:p>
            <w:pPr>
              <w:ind w:left="320"/>
              <w:spacing w:after="0"/>
              <w:rPr>
                <w:sz w:val="20"/>
                <w:szCs w:val="20"/>
                <w:color w:val="auto"/>
              </w:rPr>
            </w:pPr>
            <w:r>
              <w:rPr>
                <w:rFonts w:ascii="Arial" w:cs="Arial" w:eastAsia="Arial" w:hAnsi="Arial"/>
                <w:sz w:val="18"/>
                <w:szCs w:val="18"/>
                <w:b w:val="1"/>
                <w:bCs w:val="1"/>
                <w:color w:val="auto"/>
                <w:w w:val="85"/>
              </w:rPr>
              <w:t>inclusion of Non-cash</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Non-cash</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2"/>
        </w:trPr>
        <w:tc>
          <w:tcPr>
            <w:tcW w:w="580" w:type="dxa"/>
            <w:vAlign w:val="bottom"/>
          </w:tcPr>
          <w:p>
            <w:pPr>
              <w:spacing w:after="0"/>
              <w:rPr>
                <w:sz w:val="21"/>
                <w:szCs w:val="21"/>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1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Compensation</w:t>
            </w:r>
          </w:p>
        </w:tc>
        <w:tc>
          <w:tcPr>
            <w:tcW w:w="1420" w:type="dxa"/>
            <w:vAlign w:val="bottom"/>
            <w:gridSpan w:val="3"/>
          </w:tcPr>
          <w:p>
            <w:pPr>
              <w:ind w:left="320"/>
              <w:spacing w:after="0"/>
              <w:rPr>
                <w:sz w:val="20"/>
                <w:szCs w:val="20"/>
                <w:color w:val="auto"/>
              </w:rPr>
            </w:pPr>
            <w:r>
              <w:rPr>
                <w:rFonts w:ascii="Arial" w:cs="Arial" w:eastAsia="Arial" w:hAnsi="Arial"/>
                <w:sz w:val="18"/>
                <w:szCs w:val="18"/>
                <w:b w:val="1"/>
                <w:bCs w:val="1"/>
                <w:color w:val="auto"/>
                <w:w w:val="86"/>
              </w:rPr>
              <w:t>Compensation</w:t>
            </w:r>
          </w:p>
        </w:tc>
        <w:tc>
          <w:tcPr>
            <w:tcW w:w="1220" w:type="dxa"/>
            <w:vAlign w:val="bottom"/>
            <w:gridSpan w:val="3"/>
          </w:tcPr>
          <w:p>
            <w:pPr>
              <w:ind w:left="320"/>
              <w:spacing w:after="0"/>
              <w:rPr>
                <w:sz w:val="20"/>
                <w:szCs w:val="20"/>
                <w:color w:val="auto"/>
              </w:rPr>
            </w:pPr>
            <w:r>
              <w:rPr>
                <w:rFonts w:ascii="Arial" w:cs="Arial" w:eastAsia="Arial" w:hAnsi="Arial"/>
                <w:sz w:val="18"/>
                <w:szCs w:val="18"/>
                <w:b w:val="1"/>
                <w:bCs w:val="1"/>
                <w:color w:val="auto"/>
                <w:w w:val="80"/>
              </w:rPr>
              <w:t>Expenses as</w:t>
            </w:r>
          </w:p>
        </w:tc>
        <w:tc>
          <w:tcPr>
            <w:tcW w:w="58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7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9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32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8"/>
              </w:rPr>
              <w:t>Reported</w:t>
            </w:r>
          </w:p>
        </w:tc>
        <w:tc>
          <w:tcPr>
            <w:tcW w:w="58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gridSpan w:val="3"/>
            <w:shd w:val="clear" w:color="auto" w:fill="C0C0C0"/>
          </w:tcPr>
          <w:p>
            <w:pPr>
              <w:ind w:left="2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75.6</w:t>
            </w:r>
          </w:p>
        </w:tc>
        <w:tc>
          <w:tcPr>
            <w:tcW w:w="46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w:t>
            </w:r>
          </w:p>
        </w:tc>
        <w:tc>
          <w:tcPr>
            <w:tcW w:w="400" w:type="dxa"/>
            <w:vAlign w:val="bottom"/>
            <w:gridSpan w:val="2"/>
            <w:shd w:val="clear" w:color="auto" w:fill="C0C0C0"/>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80.3</w:t>
            </w:r>
          </w:p>
        </w:tc>
        <w:tc>
          <w:tcPr>
            <w:tcW w:w="580" w:type="dxa"/>
            <w:vAlign w:val="bottom"/>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20"/>
                <w:szCs w:val="20"/>
                <w:color w:val="auto"/>
              </w:rPr>
            </w:pPr>
          </w:p>
        </w:tc>
      </w:tr>
      <w:tr>
        <w:trPr>
          <w:trHeight w:val="244"/>
        </w:trPr>
        <w:tc>
          <w:tcPr>
            <w:tcW w:w="580" w:type="dxa"/>
            <w:vAlign w:val="bottom"/>
          </w:tcPr>
          <w:p>
            <w:pPr>
              <w:spacing w:after="0"/>
              <w:rPr>
                <w:sz w:val="21"/>
                <w:szCs w:val="21"/>
                <w:color w:val="auto"/>
              </w:rPr>
            </w:pPr>
          </w:p>
        </w:tc>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19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400" w:type="dxa"/>
            <w:vAlign w:val="bottom"/>
            <w:gridSpan w:val="3"/>
          </w:tcPr>
          <w:p>
            <w:pPr>
              <w:ind w:left="2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84.4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92.1</w:t>
            </w:r>
          </w:p>
        </w:tc>
        <w:tc>
          <w:tcPr>
            <w:tcW w:w="580" w:type="dxa"/>
            <w:vAlign w:val="bottom"/>
          </w:tcPr>
          <w:p>
            <w:pPr>
              <w:spacing w:after="0"/>
              <w:rPr>
                <w:sz w:val="21"/>
                <w:szCs w:val="21"/>
                <w:color w:val="auto"/>
              </w:rPr>
            </w:pPr>
          </w:p>
        </w:tc>
      </w:tr>
      <w:tr>
        <w:trPr>
          <w:trHeight w:val="444"/>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40" w:type="dxa"/>
            <w:vAlign w:val="bottom"/>
          </w:tcPr>
          <w:p>
            <w:pPr>
              <w:jc w:val="right"/>
              <w:ind w:right="392"/>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363"/>
        </w:trPr>
        <w:tc>
          <w:tcPr>
            <w:tcW w:w="580" w:type="dxa"/>
            <w:vAlign w:val="bottom"/>
            <w:tcBorders>
              <w:bottom w:val="single" w:sz="8" w:color="808080"/>
            </w:tcBorders>
          </w:tcPr>
          <w:p>
            <w:pPr>
              <w:spacing w:after="0"/>
              <w:rPr>
                <w:sz w:val="24"/>
                <w:szCs w:val="24"/>
                <w:color w:val="auto"/>
              </w:rPr>
            </w:pPr>
          </w:p>
        </w:tc>
        <w:tc>
          <w:tcPr>
            <w:tcW w:w="376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Research and development expenses increased to $117.5 million in the first quarter of 2010 from $80.3 million in the same period of 2009. The following table summarizes the major categories of our research and development expenses for the three months ended March 31, 2010 and 2009:</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6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5"/>
          </w:tcPr>
          <w:p>
            <w:pPr>
              <w:ind w:left="20"/>
              <w:spacing w:after="0"/>
              <w:rPr>
                <w:sz w:val="20"/>
                <w:szCs w:val="20"/>
                <w:color w:val="auto"/>
              </w:rPr>
            </w:pPr>
            <w:r>
              <w:rPr>
                <w:rFonts w:ascii="Arial" w:cs="Arial" w:eastAsia="Arial" w:hAnsi="Arial"/>
                <w:sz w:val="18"/>
                <w:szCs w:val="18"/>
                <w:b w:val="1"/>
                <w:bCs w:val="1"/>
                <w:color w:val="auto"/>
                <w:w w:val="86"/>
              </w:rPr>
              <w:t>For the three months ended</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6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0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b w:val="1"/>
                <w:bCs w:val="1"/>
                <w:color w:val="auto"/>
                <w:w w:val="89"/>
              </w:rPr>
              <w:t>2009</w:t>
            </w:r>
          </w:p>
        </w:tc>
        <w:tc>
          <w:tcPr>
            <w:tcW w:w="960" w:type="dxa"/>
            <w:vAlign w:val="bottom"/>
            <w:gridSpan w:val="3"/>
          </w:tcPr>
          <w:p>
            <w:pPr>
              <w:ind w:left="320"/>
              <w:spacing w:after="0"/>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1"/>
        </w:trPr>
        <w:tc>
          <w:tcPr>
            <w:tcW w:w="690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32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900" w:type="dxa"/>
            <w:vAlign w:val="bottom"/>
            <w:vMerge w:val="continue"/>
            <w:shd w:val="clear" w:color="auto" w:fill="C0C0C0"/>
          </w:tcPr>
          <w:p>
            <w:pPr>
              <w:spacing w:after="0"/>
              <w:rPr>
                <w:sz w:val="21"/>
                <w:szCs w:val="21"/>
                <w:color w:val="auto"/>
              </w:rPr>
            </w:pPr>
          </w:p>
        </w:tc>
        <w:tc>
          <w:tcPr>
            <w:tcW w:w="50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27.7</w:t>
            </w:r>
          </w:p>
        </w:tc>
        <w:tc>
          <w:tcPr>
            <w:tcW w:w="5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22.9</w:t>
            </w:r>
          </w:p>
        </w:tc>
        <w:tc>
          <w:tcPr>
            <w:tcW w:w="5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5"/>
        </w:trPr>
        <w:tc>
          <w:tcPr>
            <w:tcW w:w="69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1"/>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3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5"/>
        </w:trPr>
        <w:tc>
          <w:tcPr>
            <w:tcW w:w="6900" w:type="dxa"/>
            <w:vAlign w:val="bottom"/>
          </w:tcPr>
          <w:p>
            <w:pPr>
              <w:spacing w:after="0"/>
              <w:rPr>
                <w:sz w:val="20"/>
                <w:szCs w:val="20"/>
                <w:color w:val="auto"/>
              </w:rPr>
            </w:pPr>
            <w:r>
              <w:rPr>
                <w:rFonts w:ascii="Arial" w:cs="Arial" w:eastAsia="Arial" w:hAnsi="Arial"/>
                <w:sz w:val="18"/>
                <w:szCs w:val="18"/>
                <w:color w:val="auto"/>
              </w:rPr>
              <w:t>Research and other development costs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1"/>
        </w:trPr>
        <w:tc>
          <w:tcPr>
            <w:tcW w:w="6900" w:type="dxa"/>
            <w:vAlign w:val="bottom"/>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3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8"/>
        </w:trPr>
        <w:tc>
          <w:tcPr>
            <w:tcW w:w="6900" w:type="dxa"/>
            <w:vAlign w:val="bottom"/>
          </w:tcPr>
          <w:p>
            <w:pPr>
              <w:spacing w:after="0"/>
              <w:rPr>
                <w:sz w:val="20"/>
                <w:szCs w:val="20"/>
                <w:color w:val="auto"/>
              </w:rPr>
            </w:pPr>
            <w:r>
              <w:rPr>
                <w:rFonts w:ascii="Arial" w:cs="Arial" w:eastAsia="Arial" w:hAnsi="Arial"/>
                <w:sz w:val="18"/>
                <w:szCs w:val="18"/>
                <w:color w:val="auto"/>
              </w:rPr>
              <w:t>Cost-sharing of Bayer HealthCare VEGF Trap-</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90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Eye development expenses (3)</w:t>
            </w:r>
          </w:p>
        </w:tc>
        <w:tc>
          <w:tcPr>
            <w:tcW w:w="3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2"/>
        </w:trPr>
        <w:tc>
          <w:tcPr>
            <w:tcW w:w="69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research and development</w:t>
            </w:r>
          </w:p>
        </w:tc>
        <w:tc>
          <w:tcPr>
            <w:tcW w:w="50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117.5</w:t>
            </w:r>
          </w:p>
        </w:tc>
        <w:tc>
          <w:tcPr>
            <w:tcW w:w="5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80.3</w:t>
            </w:r>
          </w:p>
        </w:tc>
        <w:tc>
          <w:tcPr>
            <w:tcW w:w="5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8"/>
        </w:trPr>
        <w:tc>
          <w:tcPr>
            <w:tcW w:w="690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$4.3 million and $4.0 million of Non-cash Compensation Expense for the three months ended March 31, 2010 and 2009, respectively.</w:t>
      </w:r>
    </w:p>
    <w:p>
      <w:pPr>
        <w:spacing w:after="0" w:line="38" w:lineRule="exact"/>
        <w:rPr>
          <w:rFonts w:ascii="Arial" w:cs="Arial" w:eastAsia="Arial" w:hAnsi="Arial"/>
          <w:sz w:val="16"/>
          <w:szCs w:val="16"/>
          <w:color w:val="auto"/>
        </w:rPr>
      </w:pPr>
    </w:p>
    <w:p>
      <w:pPr>
        <w:jc w:val="both"/>
        <w:ind w:left="440" w:hanging="432"/>
        <w:spacing w:after="0" w:line="281"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$0.7 million of Non-cash Compensation Expense for both the three months ended March 31, 2010 and 2009.</w:t>
      </w:r>
    </w:p>
    <w:p>
      <w:pPr>
        <w:spacing w:after="0" w:line="2" w:lineRule="exact"/>
        <w:rPr>
          <w:rFonts w:ascii="Arial" w:cs="Arial" w:eastAsia="Arial" w:hAnsi="Arial"/>
          <w:sz w:val="16"/>
          <w:szCs w:val="16"/>
          <w:color w:val="auto"/>
        </w:rPr>
      </w:pPr>
    </w:p>
    <w:p>
      <w:pPr>
        <w:jc w:val="both"/>
        <w:ind w:left="440" w:hanging="432"/>
        <w:spacing w:after="0" w:line="253"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253" w:lineRule="exact"/>
        <w:rPr>
          <w:sz w:val="20"/>
          <w:szCs w:val="20"/>
          <w:color w:val="auto"/>
        </w:rPr>
      </w:pPr>
    </w:p>
    <w:p>
      <w:pPr>
        <w:jc w:val="both"/>
        <w:ind w:firstLine="349"/>
        <w:spacing w:after="0" w:line="252" w:lineRule="auto"/>
        <w:rPr>
          <w:sz w:val="20"/>
          <w:szCs w:val="20"/>
          <w:color w:val="auto"/>
        </w:rPr>
      </w:pPr>
      <w:r>
        <w:rPr>
          <w:rFonts w:ascii="Arial" w:cs="Arial" w:eastAsia="Arial" w:hAnsi="Arial"/>
          <w:sz w:val="18"/>
          <w:szCs w:val="18"/>
          <w:color w:val="auto"/>
        </w:rPr>
        <w:t>Payroll and benefits increased principally due to the increase in employee headcount, as described above. Clinical trial expenses increased due primarily to higher costs related to our clinical development programs for (i) VEGF Trap-Eye, including our VIEW 1 trial in wet AMD, DA VINCI trial in DME, and COPERNICUS trial in CRVO, (ii) rilonacept, related to our Phase 3 clinical development program in gout, and (iii) monoclonal antibody candidates, which are in earlier stage clinical development. Clinical manufacturing costs increased due to higher costs related to manufacturing clinical supplies of monoclonal antibodies and rilonacept. Research and other development costs increased primarily due to higher costs associated with VEGF Trap-Eye and our antibody programs. Occupancy and other operating costs increased principally in connection with our higher headcount, expanded research and development activities, and new and expanded leased laboratory and office facilities in Tarrytown, New York. Cost-sharing of Bayer HealthCare’s VEGF Trap-Eye development expenses increased primarily due to higher costs in connection with the VIEW 2 trial in wet AMD and the GALILEO trial in CRVO, both of which are being conducted by Bayer HealthCare.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7" w:name="page28"/>
    <w:bookmarkEnd w:id="27"/>
    <w:p>
      <w:pPr>
        <w:jc w:val="both"/>
        <w:ind w:firstLine="297"/>
        <w:spacing w:after="0" w:line="298" w:lineRule="auto"/>
        <w:rPr>
          <w:sz w:val="20"/>
          <w:szCs w:val="20"/>
          <w:color w:val="auto"/>
        </w:rPr>
      </w:pPr>
      <w:r>
        <w:rPr>
          <w:rFonts w:ascii="Arial" w:cs="Arial" w:eastAsia="Arial" w:hAnsi="Arial"/>
          <w:sz w:val="16"/>
          <w:szCs w:val="16"/>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7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For the three months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Project Costs</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w w:val="93"/>
              </w:rPr>
              <w:t>ended March 31,</w:t>
            </w:r>
          </w:p>
        </w:tc>
        <w:tc>
          <w:tcPr>
            <w:tcW w:w="320" w:type="dxa"/>
            <w:vAlign w:val="bottom"/>
          </w:tcPr>
          <w:p>
            <w:pPr>
              <w:spacing w:after="0"/>
              <w:rPr>
                <w:sz w:val="21"/>
                <w:szCs w:val="21"/>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3"/>
              </w:rPr>
              <w:t>Increase</w:t>
            </w:r>
          </w:p>
        </w:tc>
        <w:tc>
          <w:tcPr>
            <w:tcW w:w="0" w:type="dxa"/>
            <w:vAlign w:val="bottom"/>
          </w:tcPr>
          <w:p>
            <w:pPr>
              <w:spacing w:after="0"/>
              <w:rPr>
                <w:sz w:val="1"/>
                <w:szCs w:val="1"/>
                <w:color w:val="auto"/>
              </w:rPr>
            </w:pPr>
          </w:p>
        </w:tc>
      </w:tr>
      <w:tr>
        <w:trPr>
          <w:trHeight w:val="236"/>
        </w:trPr>
        <w:tc>
          <w:tcPr>
            <w:tcW w:w="718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2010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2009</w:t>
            </w:r>
          </w:p>
        </w:tc>
        <w:tc>
          <w:tcPr>
            <w:tcW w:w="1120" w:type="dxa"/>
            <w:vAlign w:val="bottom"/>
            <w:gridSpan w:val="3"/>
          </w:tcPr>
          <w:p>
            <w:pPr>
              <w:ind w:left="320"/>
              <w:spacing w:after="0"/>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1"/>
        </w:trPr>
        <w:tc>
          <w:tcPr>
            <w:tcW w:w="718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Rilonacept</w:t>
            </w:r>
          </w:p>
        </w:tc>
        <w:tc>
          <w:tcPr>
            <w:tcW w:w="3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180" w:type="dxa"/>
            <w:vAlign w:val="bottom"/>
            <w:vMerge w:val="continue"/>
            <w:shd w:val="clear" w:color="auto" w:fill="C0C0C0"/>
          </w:tcPr>
          <w:p>
            <w:pPr>
              <w:spacing w:after="0"/>
              <w:rPr>
                <w:sz w:val="21"/>
                <w:szCs w:val="21"/>
                <w:color w:val="auto"/>
              </w:rPr>
            </w:pP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20.1</w:t>
            </w:r>
          </w:p>
        </w:tc>
        <w:tc>
          <w:tcPr>
            <w:tcW w:w="4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w:t>
            </w:r>
          </w:p>
        </w:tc>
        <w:tc>
          <w:tcPr>
            <w:tcW w:w="56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rPr>
              <w:t>VEGF Trap-Eye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1"/>
        </w:trPr>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5"/>
        </w:trPr>
        <w:tc>
          <w:tcPr>
            <w:tcW w:w="7180" w:type="dxa"/>
            <w:vAlign w:val="bottom"/>
          </w:tcPr>
          <w:p>
            <w:pPr>
              <w:spacing w:after="0"/>
              <w:rPr>
                <w:sz w:val="20"/>
                <w:szCs w:val="20"/>
                <w:color w:val="auto"/>
              </w:rPr>
            </w:pPr>
            <w:r>
              <w:rPr>
                <w:rFonts w:ascii="Arial" w:cs="Arial" w:eastAsia="Arial" w:hAnsi="Arial"/>
                <w:sz w:val="18"/>
                <w:szCs w:val="18"/>
                <w:color w:val="auto"/>
              </w:rPr>
              <w:t>REGN88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1"/>
        </w:trPr>
        <w:tc>
          <w:tcPr>
            <w:tcW w:w="7180" w:type="dxa"/>
            <w:vAlign w:val="bottom"/>
            <w:shd w:val="clear" w:color="auto" w:fill="C0C0C0"/>
          </w:tcPr>
          <w:p>
            <w:pPr>
              <w:spacing w:after="0"/>
              <w:rPr>
                <w:sz w:val="20"/>
                <w:szCs w:val="20"/>
                <w:color w:val="auto"/>
              </w:rPr>
            </w:pPr>
            <w:r>
              <w:rPr>
                <w:rFonts w:ascii="Arial" w:cs="Arial" w:eastAsia="Arial" w:hAnsi="Arial"/>
                <w:sz w:val="18"/>
                <w:szCs w:val="18"/>
                <w:color w:val="auto"/>
              </w:rPr>
              <w:t>Other antibody candidates in clinical development</w:t>
            </w: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1"/>
        </w:trPr>
        <w:tc>
          <w:tcPr>
            <w:tcW w:w="7180" w:type="dxa"/>
            <w:vAlign w:val="bottom"/>
          </w:tcPr>
          <w:p>
            <w:pPr>
              <w:spacing w:after="0"/>
              <w:rPr>
                <w:sz w:val="20"/>
                <w:szCs w:val="20"/>
                <w:color w:val="auto"/>
              </w:rPr>
            </w:pPr>
            <w:r>
              <w:rPr>
                <w:rFonts w:ascii="Arial" w:cs="Arial" w:eastAsia="Arial" w:hAnsi="Arial"/>
                <w:sz w:val="18"/>
                <w:szCs w:val="18"/>
                <w:color w:val="auto"/>
              </w:rPr>
              <w:t>Other research programs &amp; unallocated costs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9"/>
        </w:trPr>
        <w:tc>
          <w:tcPr>
            <w:tcW w:w="7180" w:type="dxa"/>
            <w:vAlign w:val="bottom"/>
            <w:tcBorders>
              <w:bottom w:val="single" w:sz="8" w:color="C0C0C0"/>
            </w:tcBorders>
          </w:tcPr>
          <w:p>
            <w:pPr>
              <w:spacing w:after="0"/>
              <w:rPr>
                <w:sz w:val="2"/>
                <w:szCs w:val="2"/>
                <w:color w:val="auto"/>
              </w:rPr>
            </w:pPr>
          </w:p>
        </w:tc>
        <w:tc>
          <w:tcPr>
            <w:tcW w:w="320" w:type="dxa"/>
            <w:vAlign w:val="bottom"/>
            <w:tcBorders>
              <w:bottom w:val="single" w:sz="8" w:color="C0C0C0"/>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C0C0C0"/>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C0C0C0"/>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research and development expenses</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117.5</w:t>
            </w:r>
          </w:p>
        </w:tc>
        <w:tc>
          <w:tcPr>
            <w:tcW w:w="44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80.3</w:t>
            </w: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5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35"/>
        </w:trPr>
        <w:tc>
          <w:tcPr>
            <w:tcW w:w="7180" w:type="dxa"/>
            <w:vAlign w:val="bottom"/>
            <w:shd w:val="clear" w:color="auto" w:fill="C0C0C0"/>
          </w:tcPr>
          <w:p>
            <w:pPr>
              <w:spacing w:after="0"/>
              <w:rPr>
                <w:sz w:val="3"/>
                <w:szCs w:val="3"/>
                <w:color w:val="auto"/>
              </w:rPr>
            </w:pPr>
          </w:p>
        </w:tc>
        <w:tc>
          <w:tcPr>
            <w:tcW w:w="32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34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320" w:type="dxa"/>
            <w:vAlign w:val="bottom"/>
            <w:shd w:val="clear" w:color="auto" w:fill="C0C0C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rilonacept, aflibercept, and VEGF Trap-Eye in different disease indications.</w:t>
      </w:r>
    </w:p>
    <w:p>
      <w:pPr>
        <w:spacing w:after="0" w:line="229" w:lineRule="exact"/>
        <w:rPr>
          <w:sz w:val="20"/>
          <w:szCs w:val="20"/>
          <w:color w:val="auto"/>
        </w:rPr>
      </w:pPr>
    </w:p>
    <w:p>
      <w:pPr>
        <w:jc w:val="both"/>
        <w:ind w:firstLine="365"/>
        <w:spacing w:after="0" w:line="27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 In 2008, we received FDA approval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the treatment of CAPS, a group of rare, inherited auto-inflammatory diseases that affect a very small group of people. We currently do not expect to generate material product revenues and net cash inflows from the sale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the treatment of CAPS.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Selling, general, and administrative expenses increased to $14.0 million in the first quarter of 2010 from $11.4 million in the same period of 2009. In the first quarter of 2010, we incurred (i) higher compensation expense due primarily to higher Non-cash Compensation Expense and increases in headcount, (ii) higher recruitment costs, and (iii) higher facility-related costs due primarily to our new and expanded leased facilities in Tarrytown, New York and higher headcount.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Cost of Goods Sold</w:t>
      </w:r>
    </w:p>
    <w:p>
      <w:pPr>
        <w:spacing w:after="0" w:line="276" w:lineRule="exact"/>
        <w:rPr>
          <w:sz w:val="20"/>
          <w:szCs w:val="20"/>
          <w:color w:val="auto"/>
        </w:rPr>
      </w:pPr>
    </w:p>
    <w:p>
      <w:pPr>
        <w:jc w:val="both"/>
        <w:ind w:firstLine="380"/>
        <w:spacing w:after="0" w:line="202" w:lineRule="auto"/>
        <w:rPr>
          <w:sz w:val="20"/>
          <w:szCs w:val="20"/>
          <w:color w:val="auto"/>
        </w:rPr>
      </w:pPr>
      <w:r>
        <w:rPr>
          <w:rFonts w:ascii="Arial" w:cs="Arial" w:eastAsia="Arial" w:hAnsi="Arial"/>
          <w:sz w:val="18"/>
          <w:szCs w:val="18"/>
          <w:color w:val="auto"/>
        </w:rPr>
        <w:t>Cost of goods sold related to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sales, which consisted primarily of royalties and other period costs, totaled $0.7 million and $0.4 million for the quarters ended March 31, 2010 and 2009, respectively. To date,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shipments to our customers have consisted of supplies of inventory manufactured and expensed prior to FDA approval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 February 2008; therefore, the costs of these supplies were not included in costs of goods sold.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Investment income decreased to $0.4 million in the first quarter of 2010 from $1.8 million in the comparable quarter of 2009, primarily due to lower yields on, and lower balances of, cash and marketable securities and a $0.1 million other-than-temporary impairment charge. Interest expense of $2.1 million in the first quarter of 2010 was attributable to the imputed interest portion of payments to our landlord to lease newly constructed laboratory and office facilities in Tarrytown, New York. These payments commenced in the third quarter of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7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accordance with authoritative guidance issued by the Financial Accounting Standards Board (FASB), changes in our unrealized gain on marketable securities, which is included in Accumulated Other Comprehensive Income in the Stockholders’ Equity section of our condensed balance sheet, are recognized net of their tax effect. In the first quarter of 2010, we recognized an income tax benefit of $0.2 million in Accumulated Other Comprehensive Income in connection with a decrease in our unrealized gain on marketable securities for the three months ended March 31, 2010. As a result, we recognized $0.2 million of income tax expense in our condensed statement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285"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The application of FASB authoritative guidance, under certain conditions, can result in the capitalization on a lessee’s books of a lessor’s costs of constructing facilities to be leased to the lessee. In mid-2009, we became aware that certain of these conditions were applicable to our December 2006 lease, as amended, of new laboratory and office facilities in Tarrytown, New York. As a result, we are deemed, in substance, to be the owner of the landlord’s buildings, and the landlord’s costs of constructing these new facilities were required to be capitalized on our books as a non-cash transaction, offset by a corresponding lease obligation on our balance sheet. In addition, the land element of the lease should have been accounted for as an operating lease; therefore, adjustments to non-cash rent expense previously recognized in connection with these new facilities were also required. Lease payments on these facilities commenced in August 2009.</w:t>
      </w:r>
    </w:p>
    <w:p>
      <w:pPr>
        <w:spacing w:after="0" w:line="255"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As previously disclosed in our Annual Report on Form 10-K for the year ended December 31, 2009, we revised our previously issued financial statements to capitalize the landlord’s costs of constructing the new Tarrytown facilities which we are leasing and to adjust our previously recognized rent expense in connection with these facilities, as described above. These revisions primarily resulted in an increase to property, plant, and equipment and a corresponding increase in facility lease obligation (a long-term liability). We also revised our statements of operations and statements of cash flows to reflect rent expense in connection with only the land element of its lease, with a corresponding adjustment to other long-term liabilities. In addition, our statement of cash flows for the quarter ended March 31, 2009 was revised to reclassify, from an operating activity to a financing activity, a $5.2 million reimbursement received from our landlord for tenant improvement costs that we incurred. Under FASB authoritative guidance, such payments that we receive from our landlord are deemed to be a financing obligation.</w:t>
      </w:r>
    </w:p>
    <w:p>
      <w:pPr>
        <w:spacing w:after="0" w:line="253"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 above described revisions consisted entirely of non-cash adjustments. They had no impact on our business operations, existing capital resources, or our ability to fund our operating needs. The revisions also had no impact on our previously reported net increases or decreases in cash and cash equivalents. In addition, these revisions had no impact on our previously reported current assets, current liabilities, and operating revenues. We did not amend previously issued financial statements because, after considering both qualitative and quantitative factors, we determined that the judgment of a reasonable person relying on our previously issued financial statements would not have been changed or influenced by these revisions.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9" w:name="page30"/>
    <w:bookmarkEnd w:id="29"/>
    <w:p>
      <w:pPr>
        <w:jc w:val="both"/>
        <w:ind w:right="20" w:firstLine="270"/>
        <w:spacing w:after="0" w:line="268" w:lineRule="auto"/>
        <w:rPr>
          <w:sz w:val="20"/>
          <w:szCs w:val="20"/>
          <w:color w:val="auto"/>
        </w:rPr>
      </w:pPr>
      <w:r>
        <w:rPr>
          <w:rFonts w:ascii="Arial" w:cs="Arial" w:eastAsia="Arial" w:hAnsi="Arial"/>
          <w:sz w:val="18"/>
          <w:szCs w:val="18"/>
          <w:color w:val="auto"/>
        </w:rPr>
        <w:t>For comparative purposes, the impact of the above described revisions to the statement of operations, statement of stockholders’ equity, and statement of cash flows for the three months ended March 31, 2009 is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Impact for the three months ended March 31,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880" w:type="dxa"/>
            <w:vAlign w:val="bottom"/>
            <w:gridSpan w:val="4"/>
          </w:tcPr>
          <w:p>
            <w:pPr>
              <w:ind w:left="560"/>
              <w:spacing w:after="0"/>
              <w:rPr>
                <w:sz w:val="20"/>
                <w:szCs w:val="20"/>
                <w:color w:val="auto"/>
              </w:rPr>
            </w:pPr>
            <w:r>
              <w:rPr>
                <w:rFonts w:ascii="Arial" w:cs="Arial" w:eastAsia="Arial" w:hAnsi="Arial"/>
                <w:sz w:val="18"/>
                <w:szCs w:val="18"/>
                <w:b w:val="1"/>
                <w:bCs w:val="1"/>
                <w:color w:val="auto"/>
              </w:rPr>
              <w:t>As Originally</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528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8"/>
              </w:rPr>
              <w:t>Reported</w:t>
            </w:r>
          </w:p>
        </w:tc>
        <w:tc>
          <w:tcPr>
            <w:tcW w:w="32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As Revised</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gridSpan w:val="2"/>
            <w:shd w:val="clear" w:color="auto" w:fill="C0C0C0"/>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82.1</w:t>
            </w:r>
          </w:p>
        </w:tc>
        <w:tc>
          <w:tcPr>
            <w:tcW w:w="3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5"/>
        </w:trPr>
        <w:tc>
          <w:tcPr>
            <w:tcW w:w="7000" w:type="dxa"/>
            <w:vAlign w:val="bottom"/>
            <w:gridSpan w:val="2"/>
          </w:tcPr>
          <w:p>
            <w:pPr>
              <w:ind w:left="17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1"/>
                <w:szCs w:val="21"/>
                <w:color w:val="auto"/>
              </w:rPr>
            </w:pPr>
          </w:p>
        </w:tc>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Total expenses</w:t>
            </w:r>
          </w:p>
        </w:tc>
        <w:tc>
          <w:tcPr>
            <w:tcW w:w="5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94.2</w:t>
            </w:r>
          </w:p>
        </w:tc>
        <w:tc>
          <w:tcPr>
            <w:tcW w:w="3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5"/>
        </w:trPr>
        <w:tc>
          <w:tcPr>
            <w:tcW w:w="7000" w:type="dxa"/>
            <w:vAlign w:val="bottom"/>
            <w:gridSpan w:val="2"/>
          </w:tcPr>
          <w:p>
            <w:pPr>
              <w:ind w:left="1720"/>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1"/>
                <w:szCs w:val="21"/>
                <w:color w:val="auto"/>
              </w:rPr>
            </w:pPr>
          </w:p>
        </w:tc>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680" w:type="dxa"/>
            <w:vAlign w:val="bottom"/>
            <w:gridSpan w:val="2"/>
            <w:shd w:val="clear" w:color="auto" w:fill="C0C0C0"/>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451"/>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w w:val="95"/>
              </w:rPr>
              <w:t>Statement of Stockholders’ Equity Impact for the three months ended March 31, 2009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880" w:type="dxa"/>
            <w:vAlign w:val="bottom"/>
            <w:gridSpan w:val="4"/>
          </w:tcPr>
          <w:p>
            <w:pPr>
              <w:ind w:left="560"/>
              <w:spacing w:after="0"/>
              <w:rPr>
                <w:sz w:val="20"/>
                <w:szCs w:val="20"/>
                <w:color w:val="auto"/>
              </w:rPr>
            </w:pPr>
            <w:r>
              <w:rPr>
                <w:rFonts w:ascii="Arial" w:cs="Arial" w:eastAsia="Arial" w:hAnsi="Arial"/>
                <w:sz w:val="18"/>
                <w:szCs w:val="18"/>
                <w:b w:val="1"/>
                <w:bCs w:val="1"/>
                <w:color w:val="auto"/>
              </w:rPr>
              <w:t>As Originally</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Reported</w:t>
            </w: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82"/>
              </w:rPr>
              <w:t>As Revised</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52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5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(893.4)</w:t>
            </w:r>
          </w:p>
        </w:tc>
        <w:tc>
          <w:tcPr>
            <w:tcW w:w="32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(887.7)</w:t>
            </w:r>
          </w:p>
        </w:tc>
        <w:tc>
          <w:tcPr>
            <w:tcW w:w="0" w:type="dxa"/>
            <w:vAlign w:val="bottom"/>
          </w:tcPr>
          <w:p>
            <w:pPr>
              <w:spacing w:after="0"/>
              <w:rPr>
                <w:sz w:val="1"/>
                <w:szCs w:val="1"/>
                <w:color w:val="auto"/>
              </w:rPr>
            </w:pPr>
          </w:p>
        </w:tc>
      </w:tr>
      <w:tr>
        <w:trPr>
          <w:trHeight w:val="228"/>
        </w:trPr>
        <w:tc>
          <w:tcPr>
            <w:tcW w:w="7000" w:type="dxa"/>
            <w:vAlign w:val="bottom"/>
            <w:gridSpan w:val="2"/>
          </w:tcPr>
          <w:p>
            <w:pPr>
              <w:ind w:left="1720"/>
              <w:spacing w:after="0"/>
              <w:rPr>
                <w:sz w:val="20"/>
                <w:szCs w:val="20"/>
                <w:color w:val="auto"/>
              </w:rPr>
            </w:pPr>
            <w:r>
              <w:rPr>
                <w:rFonts w:ascii="Arial" w:cs="Arial" w:eastAsia="Arial" w:hAnsi="Arial"/>
                <w:sz w:val="18"/>
                <w:szCs w:val="18"/>
                <w:color w:val="auto"/>
              </w:rPr>
              <w:t>Total stockholders’ equity</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410.3</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466"/>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Impact for the three months ended March 31, 2009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880" w:type="dxa"/>
            <w:vAlign w:val="bottom"/>
            <w:gridSpan w:val="4"/>
          </w:tcPr>
          <w:p>
            <w:pPr>
              <w:ind w:left="560"/>
              <w:spacing w:after="0"/>
              <w:rPr>
                <w:sz w:val="20"/>
                <w:szCs w:val="20"/>
                <w:color w:val="auto"/>
              </w:rPr>
            </w:pPr>
            <w:r>
              <w:rPr>
                <w:rFonts w:ascii="Arial" w:cs="Arial" w:eastAsia="Arial" w:hAnsi="Arial"/>
                <w:sz w:val="18"/>
                <w:szCs w:val="18"/>
                <w:b w:val="1"/>
                <w:bCs w:val="1"/>
                <w:color w:val="auto"/>
              </w:rPr>
              <w:t>As Originally</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5280" w:type="dxa"/>
            <w:vAlign w:val="bottom"/>
            <w:tcBorders>
              <w:bottom w:val="single" w:sz="8" w:color="C0C0C0"/>
            </w:tcBorders>
          </w:tcPr>
          <w:p>
            <w:pPr>
              <w:spacing w:after="0"/>
              <w:rPr>
                <w:sz w:val="21"/>
                <w:szCs w:val="21"/>
                <w:color w:val="auto"/>
              </w:rPr>
            </w:pPr>
          </w:p>
        </w:tc>
        <w:tc>
          <w:tcPr>
            <w:tcW w:w="5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8"/>
              </w:rPr>
              <w:t>Reported</w:t>
            </w:r>
          </w:p>
        </w:tc>
        <w:tc>
          <w:tcPr>
            <w:tcW w:w="32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As Revised</w:t>
            </w: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gridSpan w:val="2"/>
            <w:shd w:val="clear" w:color="auto" w:fill="C0C0C0"/>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5"/>
        </w:trPr>
        <w:tc>
          <w:tcPr>
            <w:tcW w:w="7000" w:type="dxa"/>
            <w:vAlign w:val="bottom"/>
            <w:gridSpan w:val="2"/>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5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8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80" w:type="dxa"/>
            <w:vAlign w:val="bottom"/>
            <w:vMerge w:val="restart"/>
          </w:tcPr>
          <w:p>
            <w:pPr>
              <w:ind w:left="360"/>
              <w:spacing w:after="0"/>
              <w:rPr>
                <w:sz w:val="20"/>
                <w:szCs w:val="20"/>
                <w:color w:val="auto"/>
              </w:rPr>
            </w:pPr>
            <w:r>
              <w:rPr>
                <w:rFonts w:ascii="Arial" w:cs="Arial" w:eastAsia="Arial" w:hAnsi="Arial"/>
                <w:sz w:val="18"/>
                <w:szCs w:val="18"/>
                <w:color w:val="auto"/>
              </w:rPr>
              <w:t>Net decrease in cash and cash equivalents</w:t>
            </w: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tcPr>
          <w:p>
            <w:pPr>
              <w:spacing w:after="0"/>
              <w:rPr>
                <w:sz w:val="19"/>
                <w:szCs w:val="19"/>
                <w:color w:val="auto"/>
              </w:rPr>
            </w:pPr>
          </w:p>
        </w:tc>
        <w:tc>
          <w:tcPr>
            <w:tcW w:w="5280" w:type="dxa"/>
            <w:vAlign w:val="bottom"/>
            <w:vMerge w:val="continue"/>
          </w:tcPr>
          <w:p>
            <w:pPr>
              <w:spacing w:after="0"/>
              <w:rPr>
                <w:sz w:val="19"/>
                <w:szCs w:val="19"/>
                <w:color w:val="auto"/>
              </w:rPr>
            </w:pP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35"/>
        </w:trPr>
        <w:tc>
          <w:tcPr>
            <w:tcW w:w="17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5" w:lineRule="exact"/>
        <w:rPr>
          <w:sz w:val="20"/>
          <w:szCs w:val="20"/>
          <w:color w:val="auto"/>
        </w:rPr>
      </w:pPr>
    </w:p>
    <w:p>
      <w:pPr>
        <w:jc w:val="both"/>
        <w:ind w:firstLine="338"/>
        <w:spacing w:after="0" w:line="281"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a private placement of convertible debt (which was repurchased or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our technology licensing agreements,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product revenue, and investment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2010 and 2009</w:t>
      </w:r>
    </w:p>
    <w:p>
      <w:pPr>
        <w:spacing w:after="0" w:line="279"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At March 31, 2010, we had $413.5 million in cash, cash equivalents, restricted cash, and marketable securities compared with $390.0 million at December 31, 2009. In February 2010, we received $47.5 million from our landlord in connection with tenant improvement costs for the new laboratory and office facilities that we lease in Tarrytown, New York, and a $20.0 million annual technology licensing payment from AstraZeneca.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Operations:</w:t>
      </w:r>
    </w:p>
    <w:p>
      <w:pPr>
        <w:spacing w:after="0" w:line="279"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Net cash used in operations was $10.0 million in the first quarter of 2010 and $15.4 million in the first quarter of 2009. Our net losses of $30.5 million in the first quarter of 2010 and $15.4 million in the first quarter of 2009 included $8.8 million and $7.7 million, respectively, of Non-cash Compensation Expense, and $4.2 million and $2.7 million, respectively, of depreciation and amortization.</w:t>
      </w:r>
    </w:p>
    <w:p>
      <w:pPr>
        <w:spacing w:after="0" w:line="248"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At March 31, 2010, accounts receivable increased by $6.3 million, compared to end-of-year 2009, primarily due to a higher receivable balance related to our antibody collaboration with sanofi-aventis. At March 31, 2010, accounts payable, accrued expenses, and other liabilities increased by $12.3 million, compared to end-of-year 2009, primarily in connection with our expanded levels of activities and expenditures, including higher liabilities for clinical-related expenses and payroll and related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0" w:name="page31"/>
    <w:bookmarkEnd w:id="30"/>
    <w:p>
      <w:pPr>
        <w:jc w:val="both"/>
        <w:ind w:firstLine="270"/>
        <w:spacing w:after="0" w:line="294" w:lineRule="auto"/>
        <w:rPr>
          <w:sz w:val="20"/>
          <w:szCs w:val="20"/>
          <w:color w:val="auto"/>
        </w:rPr>
      </w:pPr>
      <w:r>
        <w:rPr>
          <w:rFonts w:ascii="Arial" w:cs="Arial" w:eastAsia="Arial" w:hAnsi="Arial"/>
          <w:sz w:val="16"/>
          <w:szCs w:val="16"/>
          <w:color w:val="auto"/>
        </w:rPr>
        <w:t>At March 31, 2009, accounts receivable increased by $13.0 million, compared to end-of-year 2008, primarily due to a higher receivable balance related to our antibody collaboration with sanofi-aventis. Also, prepaid expenses and other assets increased by $8.6 million at March 31, 2009, compared to end-of-year 2008, due primarily to higher prepaid clinical trial costs. At March 31, 2009, accounts payable, accrued expenses, and other liabilities increased by $8.0 million, compared to end-of-year 2008, primarily due to higher liabilities for clinical-related expenses and payroll and related costs, which were partially offset by a lower cost-sharing payment due to Bayer HealthCare in connection with the companies’ VEGF Trap-Eye collaboration.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Net cash used in investing activities was $136.0 million in the first quarter of 2010 and $39.5 million in the first quarter of 2009. In the first quarter of 2010 and 2009, purchases of marketable securities exceeded sales or maturities by $113.2 million and 17.6 million, respectively. Capital expenditures in the first quarter of 2010 and 2009 included costs in connection with expanding our manufacturing capacity at our Rensselaer, New York facilities and tenant improvements and related costs in connection with our leased office and laboratory facilities in Tarrytown, New York.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7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Net cash provided by financing activities was $56.2 million in the first quarter of 2010 and $6.2 million in the first quarter of 2009. In the first quarter of 2010 and 2009, we received $47.5 million and $5.2 million, respectively, from our landlord in connection with tenant improvement costs for our new Tarrytown facilities, which we recognized as additional facility lease obligations since we are deemed to own these facilities in accordance with FASB authoritative guidance. In addition, proceeds from issuances of Common Stock in connection with exercises of employee stock options were $9.2 million in the first quarter of 2010 and $1.0 million in the first quarter of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 March 31, 2010 and December 31, 2009, we held marketable securities whose aggregate fair value totaled $294.6 million and $181.3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portfolio of marketable securities on these dates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b w:val="1"/>
                <w:bCs w:val="1"/>
                <w:color w:val="auto"/>
                <w:w w:val="95"/>
              </w:rPr>
              <w:t>March 31, 2010</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w w:val="87"/>
              </w:rPr>
              <w:t>December 31, 2009</w:t>
            </w:r>
          </w:p>
        </w:tc>
      </w:tr>
      <w:tr>
        <w:trPr>
          <w:trHeight w:val="236"/>
        </w:trPr>
        <w:tc>
          <w:tcPr>
            <w:tcW w:w="7400" w:type="dxa"/>
            <w:vAlign w:val="bottom"/>
          </w:tcPr>
          <w:p>
            <w:pPr>
              <w:spacing w:after="0"/>
              <w:rPr>
                <w:sz w:val="20"/>
                <w:szCs w:val="20"/>
                <w:color w:val="auto"/>
              </w:rPr>
            </w:pPr>
            <w:r>
              <w:rPr>
                <w:rFonts w:ascii="Arial" w:cs="Arial" w:eastAsia="Arial" w:hAnsi="Arial"/>
                <w:sz w:val="18"/>
                <w:szCs w:val="18"/>
                <w:b w:val="1"/>
                <w:bCs w:val="1"/>
                <w:color w:val="auto"/>
              </w:rPr>
              <w:t>Investment type</w:t>
            </w:r>
          </w:p>
        </w:tc>
        <w:tc>
          <w:tcPr>
            <w:tcW w:w="3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4"/>
              </w:rPr>
              <w:t>Percent</w:t>
            </w:r>
          </w:p>
        </w:tc>
        <w:tc>
          <w:tcPr>
            <w:tcW w:w="34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4"/>
              </w:rPr>
              <w:t>Percent</w:t>
            </w:r>
          </w:p>
        </w:tc>
      </w:tr>
      <w:tr>
        <w:trPr>
          <w:trHeight w:val="21"/>
        </w:trPr>
        <w:tc>
          <w:tcPr>
            <w:tcW w:w="740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43"/>
        </w:trPr>
        <w:tc>
          <w:tcPr>
            <w:tcW w:w="7400" w:type="dxa"/>
            <w:vAlign w:val="bottom"/>
            <w:shd w:val="clear" w:color="auto" w:fill="C0C0C0"/>
          </w:tcPr>
          <w:p>
            <w:pPr>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59.2</w:t>
            </w:r>
          </w:p>
        </w:tc>
        <w:tc>
          <w:tcPr>
            <w:tcW w:w="3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0C0C0"/>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80.4</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w:t>
            </w:r>
          </w:p>
        </w:tc>
      </w:tr>
      <w:tr>
        <w:trPr>
          <w:trHeight w:val="235"/>
        </w:trPr>
        <w:tc>
          <w:tcPr>
            <w:tcW w:w="772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150.0</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29.6</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1"/>
        </w:trPr>
        <w:tc>
          <w:tcPr>
            <w:tcW w:w="77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U.S. government-guaranteed corporate bonds</w:t>
            </w: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64.3</w:t>
            </w:r>
          </w:p>
        </w:tc>
        <w:tc>
          <w:tcPr>
            <w:tcW w:w="3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48.7</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r>
      <w:tr>
        <w:trPr>
          <w:trHeight w:val="228"/>
        </w:trPr>
        <w:tc>
          <w:tcPr>
            <w:tcW w:w="7720" w:type="dxa"/>
            <w:vAlign w:val="bottom"/>
            <w:gridSpan w:val="2"/>
          </w:tcPr>
          <w:p>
            <w:pPr>
              <w:spacing w:after="0"/>
              <w:rPr>
                <w:sz w:val="20"/>
                <w:szCs w:val="20"/>
                <w:color w:val="auto"/>
              </w:rPr>
            </w:pPr>
            <w:r>
              <w:rPr>
                <w:rFonts w:ascii="Arial" w:cs="Arial" w:eastAsia="Arial" w:hAnsi="Arial"/>
                <w:sz w:val="18"/>
                <w:szCs w:val="18"/>
                <w:color w:val="auto"/>
              </w:rPr>
              <w:t>U.S. government guaranteed collateralized mortgage</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1"/>
        </w:trPr>
        <w:tc>
          <w:tcPr>
            <w:tcW w:w="7720" w:type="dxa"/>
            <w:vAlign w:val="bottom"/>
            <w:gridSpan w:val="2"/>
          </w:tcPr>
          <w:p>
            <w:pPr>
              <w:ind w:left="32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1"/>
        </w:trPr>
        <w:tc>
          <w:tcPr>
            <w:tcW w:w="77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r>
      <w:tr>
        <w:trPr>
          <w:trHeight w:val="235"/>
        </w:trPr>
        <w:tc>
          <w:tcPr>
            <w:tcW w:w="77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1"/>
        </w:trPr>
        <w:tc>
          <w:tcPr>
            <w:tcW w:w="77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Equity security</w:t>
            </w:r>
          </w:p>
        </w:tc>
        <w:tc>
          <w:tcPr>
            <w:tcW w:w="18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5.4</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77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0C0C0"/>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0C0C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C0C0C0"/>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r>
      <w:tr>
        <w:trPr>
          <w:trHeight w:val="235"/>
        </w:trPr>
        <w:tc>
          <w:tcPr>
            <w:tcW w:w="74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marketable securities</w:t>
            </w:r>
          </w:p>
        </w:tc>
        <w:tc>
          <w:tcPr>
            <w:tcW w:w="3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294.6</w:t>
            </w:r>
          </w:p>
        </w:tc>
        <w:tc>
          <w:tcPr>
            <w:tcW w:w="32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0C0C0"/>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181.3</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35"/>
        </w:trPr>
        <w:tc>
          <w:tcPr>
            <w:tcW w:w="7400" w:type="dxa"/>
            <w:vAlign w:val="bottom"/>
            <w:shd w:val="clear" w:color="auto" w:fill="C0C0C0"/>
          </w:tcPr>
          <w:p>
            <w:pPr>
              <w:spacing w:after="0"/>
              <w:rPr>
                <w:sz w:val="3"/>
                <w:szCs w:val="3"/>
                <w:color w:val="auto"/>
              </w:rPr>
            </w:pPr>
          </w:p>
        </w:tc>
        <w:tc>
          <w:tcPr>
            <w:tcW w:w="32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320" w:type="dxa"/>
            <w:vAlign w:val="bottom"/>
            <w:shd w:val="clear" w:color="auto" w:fill="C0C0C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34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320" w:type="dxa"/>
            <w:vAlign w:val="bottom"/>
            <w:shd w:val="clear" w:color="auto" w:fill="C0C0C0"/>
          </w:tcPr>
          <w:p>
            <w:pPr>
              <w:spacing w:after="0"/>
              <w:rPr>
                <w:sz w:val="3"/>
                <w:szCs w:val="3"/>
                <w:color w:val="auto"/>
              </w:rPr>
            </w:pPr>
          </w:p>
        </w:tc>
        <w:tc>
          <w:tcPr>
            <w:tcW w:w="58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spacing w:after="0" w:line="305"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In addition, at March 31, 2010 and December 31, 2009, we had $118.9 million and $208.7 million, respectively, of cash, cash equivalents, and restricted cash, primarily held in money market funds that invest in U.S. government securities.</w:t>
      </w:r>
    </w:p>
    <w:p>
      <w:pPr>
        <w:spacing w:after="0" w:line="240"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During 2009 and 2010 to date, as marketable securities in our portfolio matured or paid down, we purchased higher quality securities such as U.S. Treasury securities, U.S. government agency obligations and U.S. government-guaranteed debt. This shift in our investment portfolio, which we initiated in 2008, has reduced the risk profile, as well as the overall yield, of our portfolio.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Our cash expenditures for property, plant, and equipment totaled $22.7 million and $21.9 million for the first three months of 2010 and 2009, respectively. We expect to incur capital expenditures of approximately $60 to $90 million during the remainder of 2010 and approximately $40 to $60 million in 2011, primarily in connection with expanding our Rensselaer, New York manufacturing facilities and tenant improvements at our leased Tarrytown facilities. As described above, in February 2010, we received $47.5 million from our landlord in connection with tenant improvement costs in Tarrytown. We also expect to be reimbursed for a portion of the capital expenditures for our Rensselaer facilities by sanofi-aventis, with the remaining amount to be funded by our existing capital resources.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our collaborators, and exclusive of anticipated funding for capital expenditures as described above, we currently anticipate that approximately 65-75% of our expenditures for 2010 will be directed toward the clinical development of product candidates, including rilonacept, aflibercept, VEGF Trap-Eye, and clinical stage monoclonal antibodies; approximately 15-25% of our expenditures for 2010 will be applied to our basic research and preclinical activities; and the remainder of our expenditures for 2010 will be used for the continued development of our novel technology platforms and general corporate purposes. While we expect that funding requirements for our research and development activities will continue to increase in 2010, we also expect that a greater proportion of our research and development expenditures will be reimbursed by our collaborators, especially in connection with our amended and expanded antibody collaboration with sanofi-aventis.</w:t>
      </w:r>
    </w:p>
    <w:p>
      <w:pPr>
        <w:spacing w:after="0" w:line="226"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7"/>
          <w:szCs w:val="17"/>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Currently, we are required to remit royalties on product sales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for the treatment of CAPS. In the future, if we are able to successfully develop, market, and sell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for other indications or certain of our product candidates, we may be required to pay royalties or otherwise share the profits generated on such sales in connection with our collaboration and licensing agreements.</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expect that expenses related to the filing, prosecution, defense, and enforcement of patents and other intellectual property will continue to be substantial.</w:t>
      </w:r>
    </w:p>
    <w:p>
      <w:pPr>
        <w:spacing w:after="0" w:line="302"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color w:val="auto"/>
        </w:rPr>
        <w:t>We believe that our existing capital resources, including funding we are entitled to receive under our collaboration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For example, if we choose to commercialize products that are not licensed to a third party, we could incur substantial pre-marketing and commercialization expenses that could lead us to consume our cash at a faster rate. If there is insufficient capital to fund all of our planned operations and activities, we would expect to prioritize available capital to fund selected preclinical and clinical development programs or license selected products.</w:t>
      </w:r>
    </w:p>
    <w:p>
      <w:pPr>
        <w:spacing w:after="0" w:line="22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Other than a $1.6 million letter of credit issued to our landlord in connection with our lease for facilities in Tarrytown, New York, we have no off-balance sheet arrangements. In addition, we do not guarantee the obligations of any other entity. As of March 31, 2010,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5"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In March 2009, the FASB amended its authoritative guidance on the milestone method of revenue recognition. The milestone method of revenue recognition has now been codified as an acceptable revenue recognition model when a milestone is deemed to be substantive. This guidance may be applied retrospectively to all arrangements or prospectively for milestones achieved after the adoption of the guidance. We are required to adopt this amended guidance for the fiscal year beginning January 1, 2011, although earlier adoption is permitted. Management does not anticipate that the adoption of this guidance will have a material impact on our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Our earnings and cash flows are subject to fluctuations due to changes in interest rates principally in connection with our investment of excess cash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$1.6 million decrease in the fair value of our investment portfolio at both March 31, 2010 and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79" w:lineRule="exact"/>
        <w:rPr>
          <w:sz w:val="20"/>
          <w:szCs w:val="20"/>
          <w:color w:val="auto"/>
        </w:rPr>
      </w:pPr>
    </w:p>
    <w:p>
      <w:pPr>
        <w:jc w:val="both"/>
        <w:ind w:firstLine="311"/>
        <w:spacing w:after="0" w:line="298"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have recognized other-than-temporary impairment charges related to certain marketable securities of $2.5 million, $0.1 million, and $0.1 million in 2008, 2009, and the first three months of 2010, respectively.</w:t>
      </w:r>
    </w:p>
    <w:p>
      <w:pPr>
        <w:spacing w:after="0" w:line="221"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The current economic environment and the deterioration in the credit quality of issuers of securities that we hold increase the risk of potential declines in the current market value of marketable securities in our investment portfolio. Such declines could result in charges against income in future periods for other-than-temporary impairments and the amounts could be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jc w:val="both"/>
        <w:ind w:right="20" w:firstLine="297"/>
        <w:spacing w:after="0" w:line="332"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March 31, 2010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5"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58"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240"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From inception on January 8, 1988 through March 31, 2010, we had a cumulative loss of $971.6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88" w:lineRule="exact"/>
        <w:rPr>
          <w:sz w:val="20"/>
          <w:szCs w:val="20"/>
          <w:color w:val="auto"/>
        </w:rPr>
      </w:pPr>
    </w:p>
    <w:p>
      <w:pPr>
        <w:ind w:left="180" w:right="20"/>
        <w:spacing w:after="0" w:line="268"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40"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We will need to expend substantial resources for research and development, including costs associated with clinical testing of our product candidates. We believe our existing capital 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 Our expenses may increase for many reasons, including for expenses in connection with the commercial launch of our products, for expenses related to new clinical trials testing rilonacept or VEGF Trap-Eye, or for the potential requirement for us to fund 20% of Phase 3 clinical trial costs for any of our antibody product candidates pursuant to the terms of our collaboration with sanofi-aventis.</w:t>
      </w:r>
    </w:p>
    <w:p>
      <w:pPr>
        <w:spacing w:after="0" w:line="255"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4" w:name="page35"/>
    <w:bookmarkEnd w:id="34"/>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248"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As of March 31, 2010, cash, cash equivalents, restricted cash, and marketable securities totaled $413.5 million and represented 53% of our total assets. We have invested our excess cash primarily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We consider assets classified as marketable securities to be “available-for-sale,” as defined by FASB authoritative guidance. Marketable securities totaled $294.6 million at March 31, 2010,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For example, we recognized other-than-temporary impairment charges related to certain marketable securities of $2.5 million, $0.1 million, and $0.1 million in 2008, 2009, and the first three months of 2010, respectively. The current economic environment, the deterioration in the credit quality of some of the issuers of securities that we hold, and the recent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ARCALYST</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(rilonacept) and the Development of Our Product Candidates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79"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228"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are testing aflibercept, VEGF Trap-Eye, and rilonacept in a number of late-stage clinical trials. Clinical trials may not demonstrate statistically sufficient effectiveness and safety to obtain the requisite regulatory approvals for these product candidates. In a number of instances, we have terminated the development of product candidates due to a lack of or only modest effectiveness.</w:t>
      </w:r>
    </w:p>
    <w:p>
      <w:pPr>
        <w:spacing w:after="0" w:line="248"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7"/>
          <w:szCs w:val="17"/>
          <w:color w:val="auto"/>
        </w:rPr>
        <w:t>Aflibercept is in Phase 3 clinical trials in combination with standard chemotherapy regimens for the treatment of 2nd line metastatic colorectal cancer, 1st line androgen independent prostate cancer, and 2nd line metastatic non-small cell lung cancer. Aflibercept may not demonstrate the required safety or efficacy to support an application for approval in any of these indications. We do not have proof of concept data from early-stage, double-blind, controlled clinical trials that aflibercept will be safe or effective in any of these cancer settings. In March 2010, Genentech announced that a Phase 3 trial of its VEGF antagonist, Avastin</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(bevacizumab), in combination with chemotherapy in men with prostate cancer, did not meet its primary endpoint. This trial had a very similar design to our ongoing Phase 3 trial of aflibercept in prostate cancer.</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We are testing VEGF Trap-Eye in Phase 3 trials for the treatment of wet AMD and the treatment of CRVO. Although we reported positive Phase 2 trial results with VEGF Trap-Eye in wet AMD, based on a limited number of patients, the results from the larger Phase 3 trials may not demonstrate that VEGF Trap-Eye is safe and effective or compares favorably to Lucentis (Genentech). A number of other potential new drugs and biologics which showed promising results in initial clinical trials subsequently failed to establish sufficient safety and efficacy data to obtain necessary regulatory approvals. VEGF Trap-Eye has not been previously studied in CRVO.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5" w:name="page36"/>
    <w:bookmarkEnd w:id="35"/>
    <w:p>
      <w:pPr>
        <w:jc w:val="both"/>
        <w:ind w:firstLine="297"/>
        <w:spacing w:after="0" w:line="254" w:lineRule="auto"/>
        <w:rPr>
          <w:sz w:val="20"/>
          <w:szCs w:val="20"/>
          <w:color w:val="auto"/>
        </w:rPr>
      </w:pPr>
      <w:r>
        <w:rPr>
          <w:rFonts w:ascii="Arial" w:cs="Arial" w:eastAsia="Arial" w:hAnsi="Arial"/>
          <w:sz w:val="18"/>
          <w:szCs w:val="18"/>
          <w:color w:val="auto"/>
        </w:rPr>
        <w:t>Rilonacept is in Phase 3 clinical trials for two different gout indications – the prevention of gout flares in patients initiating urate-lowering drug therapy and acute gout. We do not have proof of concept data from Phase 2 clinical trials that rilonacept will be safe or effective in the acute gout setting. Although we reported positive Phase 2 proof of concept data from a small number of patients initiating urate-lowering drug therapy, there is a risk that the results of the larger Phase 3 trials of rilonacept in patients initiating urate-lowering drug therapy will differ from the previously reported Phase 2 trial. A number of potential new drugs and biologics which showed promising results in initial clinical trials subsequently failed to establish sufficient safety and efficacy data to obtain necessary regulatory approvals.</w:t>
      </w:r>
    </w:p>
    <w:p>
      <w:pPr>
        <w:spacing w:after="0" w:line="252"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We are studying our antibody candidates in a wide variety of indications in early stage clinical trials. Many of these trials are exploratory studies designed to evaluate the safety profile of these compounds and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w:t>
      </w:r>
    </w:p>
    <w:p>
      <w:pPr>
        <w:spacing w:after="0" w:line="224" w:lineRule="exact"/>
        <w:rPr>
          <w:sz w:val="20"/>
          <w:szCs w:val="20"/>
          <w:color w:val="auto"/>
        </w:rPr>
      </w:pPr>
    </w:p>
    <w:p>
      <w:pPr>
        <w:ind w:left="180" w:right="20"/>
        <w:spacing w:after="0" w:line="33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93"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6" w:lineRule="exact"/>
        <w:rPr>
          <w:sz w:val="20"/>
          <w:szCs w:val="20"/>
          <w:color w:val="auto"/>
        </w:rPr>
      </w:pPr>
    </w:p>
    <w:p>
      <w:pPr>
        <w:jc w:val="both"/>
        <w:ind w:firstLine="297"/>
        <w:spacing w:after="0" w:line="253" w:lineRule="auto"/>
        <w:rPr>
          <w:sz w:val="20"/>
          <w:szCs w:val="20"/>
          <w:color w:val="auto"/>
        </w:rPr>
      </w:pPr>
      <w:r>
        <w:rPr>
          <w:rFonts w:ascii="Arial" w:cs="Arial" w:eastAsia="Arial" w:hAnsi="Arial"/>
          <w:sz w:val="18"/>
          <w:szCs w:val="18"/>
          <w:color w:val="auto"/>
        </w:rPr>
        <w:t>Many of our clinical trials are conducted under the oversight of Independent Data Monitoring Committees (or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aflibercept as a 1st line treatment for metastic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harm the future development of our product candidate(s) and our business may be materially harmed.</w:t>
      </w:r>
    </w:p>
    <w:p>
      <w:pPr>
        <w:spacing w:after="0" w:line="253"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Regeneron,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197" w:lineRule="exact"/>
        <w:rPr>
          <w:sz w:val="20"/>
          <w:szCs w:val="20"/>
          <w:color w:val="auto"/>
        </w:rPr>
      </w:pPr>
    </w:p>
    <w:p>
      <w:pPr>
        <w:jc w:val="both"/>
        <w:ind w:left="180"/>
        <w:spacing w:after="0" w:line="306" w:lineRule="auto"/>
        <w:rPr>
          <w:sz w:val="20"/>
          <w:szCs w:val="20"/>
          <w:color w:val="auto"/>
        </w:rPr>
      </w:pPr>
      <w:r>
        <w:rPr>
          <w:rFonts w:ascii="Arial" w:cs="Arial" w:eastAsia="Arial" w:hAnsi="Arial"/>
          <w:sz w:val="16"/>
          <w:szCs w:val="16"/>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215"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that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6" w:name="page37"/>
    <w:bookmarkEnd w:id="36"/>
    <w:p>
      <w:pPr>
        <w:jc w:val="both"/>
        <w:ind w:firstLine="270"/>
        <w:spacing w:after="0" w:line="289" w:lineRule="auto"/>
        <w:rPr>
          <w:sz w:val="20"/>
          <w:szCs w:val="20"/>
          <w:color w:val="auto"/>
        </w:rPr>
      </w:pPr>
      <w:r>
        <w:rPr>
          <w:rFonts w:ascii="Arial" w:cs="Arial" w:eastAsia="Arial" w:hAnsi="Arial"/>
          <w:sz w:val="16"/>
          <w:szCs w:val="16"/>
          <w:color w:val="auto"/>
        </w:rPr>
        <w:t>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that may limit our ability to successfully develop aflibercept and VEGF Trap-Eye.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when large number of patients were treated. These and other complications or side effects could harm the development of aflibercept for the treatment of cancer or VEGF Trap-Eye for the treatment of diseases of the eye.</w:t>
      </w:r>
    </w:p>
    <w:p>
      <w:pPr>
        <w:spacing w:after="0" w:line="223" w:lineRule="exact"/>
        <w:rPr>
          <w:sz w:val="20"/>
          <w:szCs w:val="20"/>
          <w:color w:val="auto"/>
        </w:rPr>
      </w:pPr>
    </w:p>
    <w:p>
      <w:pPr>
        <w:jc w:val="both"/>
        <w:ind w:firstLine="338"/>
        <w:spacing w:after="0" w:line="220" w:lineRule="auto"/>
        <w:rPr>
          <w:sz w:val="20"/>
          <w:szCs w:val="20"/>
          <w:color w:val="auto"/>
        </w:rPr>
      </w:pPr>
      <w:r>
        <w:rPr>
          <w:rFonts w:ascii="Arial" w:cs="Arial" w:eastAsia="Arial" w:hAnsi="Arial"/>
          <w:sz w:val="16"/>
          <w:szCs w:val="16"/>
          <w:color w:val="auto"/>
        </w:rPr>
        <w:t>We have tested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 only a small number of patients. As more patients begin to use our product and as we test it in new disease settings, new risks and side effects associated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may be discovered, and risks previously viewed as inconsequential could be determined to be significant. Like cytokine antagonists such as Kineret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(anakinra), marketed by Biovitrum, Enbrel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(etanercept), marketed by Amgen Inc. and Wyeth Pharmaceuticals, Inc., and Remicade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(infliximab) marketed by Centocor Ortho Biotech, Inc.,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affects the immune defense system of the body by blocking some of its functions. Therefore,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may interfere with the body’s ability to fight infections. Treatment with Kineret (Biovitrum), a medication that works through the inhibition of IL-1, has been associated with an increased risk of serious infections, and serious, life threatening infections have been reported in patients taking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These or other complications or side effects could cause regulatory authorities to revoke approvals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Alternatively, we may be required to conduct additional clinical trials, make changes in the labeling of our product, or limit or abandon our efforts to develop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 new disease settings. Any such side effects may also result in a reduction, or even the elimination, of sales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 approved indications.</w:t>
      </w:r>
    </w:p>
    <w:p>
      <w:pPr>
        <w:spacing w:after="0" w:line="148" w:lineRule="exact"/>
        <w:rPr>
          <w:sz w:val="20"/>
          <w:szCs w:val="20"/>
          <w:color w:val="auto"/>
        </w:rPr>
      </w:pPr>
    </w:p>
    <w:p>
      <w:pPr>
        <w:ind w:left="180"/>
        <w:spacing w:after="0" w:line="219" w:lineRule="auto"/>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(rilonacept) and our product candidates in development are recombinant proteins that could cause an immune response, resulting in the creation of harmful or neutralizing antibodies against the therapeutic protein.</w:t>
      </w:r>
    </w:p>
    <w:p>
      <w:pPr>
        <w:spacing w:after="0" w:line="26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rilonacept were detected in patients with CAPS after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Nineteen of 55 subjects (35%) who received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7" w:name="page38"/>
    <w:bookmarkEnd w:id="37"/>
    <w:p>
      <w:pPr>
        <w:ind w:left="180"/>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79"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8"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4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 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04"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240" w:lineRule="exact"/>
        <w:rPr>
          <w:sz w:val="20"/>
          <w:szCs w:val="20"/>
          <w:color w:val="auto"/>
        </w:rPr>
      </w:pPr>
    </w:p>
    <w:p>
      <w:pPr>
        <w:jc w:val="both"/>
        <w:ind w:firstLine="365"/>
        <w:spacing w:after="0" w:line="236"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8"/>
          <w:szCs w:val="18"/>
          <w:i w:val="1"/>
          <w:iCs w:val="1"/>
          <w:color w:val="auto"/>
        </w:rPr>
        <w:t>VelocImmune</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either because of the way the antibodies are discovered or produced or because of a proprietary position covering an antibody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antibody’s target.</w:t>
      </w:r>
    </w:p>
    <w:p>
      <w:pPr>
        <w:spacing w:after="0" w:line="26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receptors. Although we do not believe that aflibercept or VEGF Trap-Eye infringes any valid claim in these patents or patent applications, Genentech could initiate a lawsuit for patent infringement and assert that its patents are valid and cover aflibercept or VEGF Trap-Eye or uses thereof. Genentech may be motivated to initiate such a lawsuit at some point in an effort to impair our ability to develop and sell aflibercept or VEGF Trap-Eye, which represent potential competitive threats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255"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8" w:name="page39"/>
    <w:bookmarkEnd w:id="38"/>
    <w:p>
      <w:pPr>
        <w:jc w:val="both"/>
        <w:ind w:firstLine="297"/>
        <w:spacing w:after="0" w:line="255" w:lineRule="auto"/>
        <w:rPr>
          <w:sz w:val="20"/>
          <w:szCs w:val="20"/>
          <w:color w:val="auto"/>
        </w:rPr>
      </w:pPr>
      <w:r>
        <w:rPr>
          <w:rFonts w:ascii="Arial" w:cs="Arial" w:eastAsia="Arial" w:hAnsi="Arial"/>
          <w:sz w:val="17"/>
          <w:szCs w:val="17"/>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aflibercept, nor VEGF Trap-Eye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56"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93"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5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including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FDA approval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and the Europeans Medicines Agency approval of rilonacept for the treatment of CAPS, none of our product candidates has ever received regulatory approval to be marketed and sold in the United States or any other country. We may never receive regulatory approval for any of our product candidates.</w:t>
      </w:r>
    </w:p>
    <w:p>
      <w:pPr>
        <w:spacing w:after="0" w:line="256"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6"/>
          <w:szCs w:val="16"/>
          <w:color w:val="auto"/>
        </w:rPr>
        <w:t>The FDA enforces good clinical practices and other regulations through periodic inspections of trial sponsors, clinical research organizations (CROs), principal investigators, and trial sites. If we or any of the third parties conducting our clinical studies are determined to have failed to fully comply with Good Clinical Practice regulations (GCPs), the study protocol or applicable regulations, the clinical data generated in our studies may be deemed unreliable. This could result in non-approval of our product candidates by the FDA, or we or the FDA may decide to conduct additional audits or require additional clinical studies, which would delay our development programs and substantially harm our business.</w:t>
      </w:r>
    </w:p>
    <w:p>
      <w:pPr>
        <w:spacing w:after="0" w:line="224"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9" w:name="page40"/>
    <w:bookmarkEnd w:id="39"/>
    <w:p>
      <w:pPr>
        <w:jc w:val="both"/>
        <w:ind w:firstLine="284"/>
        <w:spacing w:after="0" w:line="277"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or any of our product candidates in those countries.</w:t>
      </w:r>
    </w:p>
    <w:p>
      <w:pPr>
        <w:spacing w:after="0" w:line="116" w:lineRule="exact"/>
        <w:rPr>
          <w:sz w:val="20"/>
          <w:szCs w:val="20"/>
          <w:color w:val="auto"/>
        </w:rPr>
      </w:pPr>
    </w:p>
    <w:p>
      <w:pPr>
        <w:ind w:left="180"/>
        <w:spacing w:after="0" w:line="332" w:lineRule="auto"/>
        <w:rPr>
          <w:sz w:val="20"/>
          <w:szCs w:val="20"/>
          <w:color w:val="auto"/>
        </w:rPr>
      </w:pPr>
      <w:r>
        <w:rPr>
          <w:rFonts w:ascii="Arial" w:cs="Arial" w:eastAsia="Arial" w:hAnsi="Arial"/>
          <w:sz w:val="16"/>
          <w:szCs w:val="16"/>
          <w:b w:val="1"/>
          <w:bCs w:val="1"/>
          <w:i w:val="1"/>
          <w:iCs w:val="1"/>
          <w:color w:val="auto"/>
        </w:rPr>
        <w:t>If we fail to meet the stringent requirements of governmental regulation in the manufacture of our marketed product and clinical candidates, we could incur substantial remedial costs, delays in the development of our clinical candidates, and a reduction in sales.</w:t>
      </w:r>
    </w:p>
    <w:p>
      <w:pPr>
        <w:spacing w:after="0" w:line="193" w:lineRule="exact"/>
        <w:rPr>
          <w:sz w:val="20"/>
          <w:szCs w:val="20"/>
          <w:color w:val="auto"/>
        </w:rPr>
      </w:pPr>
    </w:p>
    <w:p>
      <w:pPr>
        <w:jc w:val="both"/>
        <w:ind w:firstLine="297"/>
        <w:spacing w:after="0" w:line="288" w:lineRule="auto"/>
        <w:rPr>
          <w:sz w:val="20"/>
          <w:szCs w:val="20"/>
          <w:color w:val="auto"/>
        </w:rPr>
      </w:pPr>
      <w:r>
        <w:rPr>
          <w:rFonts w:ascii="Arial" w:cs="Arial" w:eastAsia="Arial" w:hAnsi="Arial"/>
          <w:sz w:val="16"/>
          <w:szCs w:val="16"/>
          <w:color w:val="auto"/>
        </w:rPr>
        <w:t>We and our third party providers are required to maintain compliance with current Good Manufacturing Practice, or cGMP, and are subject to inspections by the FDA or comparable agencies in other jurisdictions to confirm such compliance. Changes of suppliers or modifications of methods of manufacturing may require amending our application to the FDA and acceptance of the change by the FDA prior to release of product. Because we produce multiple product candidates at our facility in Rensselaer, New York, there are increased risks associated with cGMP compliance. Our inability, or the inability of our third party service providers, to demonstrate ongoing cGMP compliance could require us to engage in lengthy and expensive remediation efforts, withdraw or recall product, halt or interrupt clinical trials, and/or interrupt commercial supply of our marketed product. Any delay, interruption or other issues that arise in the manufacture, fill-finish, packaging, or storage of our product candidates as a result of a failure of our facilities or the facilities or operations of third parties to pass any regulatory agency inspection or maintain cGMP compliance could significantly impair our ability to develop and commercialize our products. Any finding of non-compliance could increase our costs, cause us to delay the development of our product candidates, and cause us to lose revenue from our marketed product.</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279"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that they have been injured by a side effect associated with the drug.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If we market and sell ARCALYST</w:t>
      </w:r>
      <w:r>
        <w:rPr>
          <w:rFonts w:ascii="Arial" w:cs="Arial" w:eastAsia="Arial" w:hAnsi="Arial"/>
          <w:sz w:val="20"/>
          <w:szCs w:val="20"/>
          <w:b w:val="1"/>
          <w:bCs w:val="1"/>
          <w:i w:val="1"/>
          <w:iCs w:val="1"/>
          <w:color w:val="auto"/>
          <w:vertAlign w:val="superscript"/>
        </w:rPr>
        <w:t>®</w:t>
      </w:r>
      <w:r>
        <w:rPr>
          <w:rFonts w:ascii="Arial" w:cs="Arial" w:eastAsia="Arial" w:hAnsi="Arial"/>
          <w:sz w:val="15"/>
          <w:szCs w:val="15"/>
          <w:b w:val="1"/>
          <w:bCs w:val="1"/>
          <w:i w:val="1"/>
          <w:iCs w:val="1"/>
          <w:color w:val="auto"/>
        </w:rPr>
        <w:t xml:space="preserve"> (rilonacept) in a way that violates federal or state fraud and abuse laws, we may be subject to civil or criminal penalties.</w:t>
      </w:r>
    </w:p>
    <w:p>
      <w:pPr>
        <w:spacing w:after="0" w:line="259"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251"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40" w:name="page41"/>
    <w:bookmarkEnd w:id="40"/>
    <w:p>
      <w:pPr>
        <w:jc w:val="both"/>
        <w:ind w:firstLine="351"/>
        <w:spacing w:after="0" w:line="30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215"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2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and were included in health care reform legislation recently enacted by the federal government.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pacing w:after="0" w:line="20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4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24" w:lineRule="exact"/>
        <w:rPr>
          <w:sz w:val="20"/>
          <w:szCs w:val="20"/>
          <w:color w:val="auto"/>
        </w:rPr>
      </w:pPr>
    </w:p>
    <w:p>
      <w:pPr>
        <w:ind w:left="180" w:right="20"/>
        <w:spacing w:after="0" w:line="268"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240"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2009, which report is included in our Annual Report on Form 10-K.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41" w:name="page42"/>
    <w:bookmarkEnd w:id="41"/>
    <w:p>
      <w:pPr>
        <w:ind w:left="18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 adverse effect on our business. These include:</w:t>
      </w:r>
    </w:p>
    <w:p>
      <w:pPr>
        <w:spacing w:after="0" w:line="154"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81" w:lineRule="auto"/>
        <w:rPr>
          <w:sz w:val="20"/>
          <w:szCs w:val="20"/>
          <w:color w:val="auto"/>
        </w:rPr>
      </w:pPr>
      <w:r>
        <w:rPr>
          <w:rFonts w:ascii="Arial" w:cs="Arial" w:eastAsia="Arial" w:hAnsi="Arial"/>
          <w:sz w:val="16"/>
          <w:szCs w:val="16"/>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50" w:lineRule="auto"/>
        <w:rPr>
          <w:sz w:val="20"/>
          <w:szCs w:val="20"/>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1" w:lineRule="auto"/>
        <w:rPr>
          <w:sz w:val="20"/>
          <w:szCs w:val="20"/>
          <w:color w:val="auto"/>
        </w:rPr>
      </w:pPr>
      <w:r>
        <w:rPr>
          <w:rFonts w:ascii="Arial" w:cs="Arial" w:eastAsia="Arial" w:hAnsi="Arial"/>
          <w:sz w:val="18"/>
          <w:szCs w:val="18"/>
          <w:color w:val="auto"/>
        </w:rPr>
        <w:t>changes in FDA and foreign current Good Manufacturing Practice, or cGMPs, that make it more difficult for us to manufacture our marketed product and clinical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2"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The enactment in the U.S. of health care reform, potential regulations easing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8"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240"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rely heavily on funding from sanofi-aventis to support our target discovery and antibody research and development programs. Sanofi-aventis has committed to pay up to $1.28 billion between 2010 and 2017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REGN421, REGN475, REGN727, and REGN668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207"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248"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2" w:name="page43"/>
    <w:bookmarkEnd w:id="42"/>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248"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202" w:lineRule="exact"/>
        <w:rPr>
          <w:sz w:val="20"/>
          <w:szCs w:val="20"/>
          <w:color w:val="auto"/>
        </w:rPr>
      </w:pPr>
    </w:p>
    <w:p>
      <w:pPr>
        <w:ind w:left="180"/>
        <w:spacing w:after="0" w:line="283"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(rilonacept) and our drug candidates.</w:t>
      </w:r>
    </w:p>
    <w:p>
      <w:pPr>
        <w:spacing w:after="0" w:line="133"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preclinical and clinical development of our product candidates. If any of our existing collaborators or service providers breaches or terminates its agreement with us or does not perform its development or manufacturing services under an agreement in a timely manner or in compliance with applicable Good Manufacturing Practices (GMPs), Good Laboratory Practices (GLPs), or Good Clinical Practice (GCP) Standards, we could experience additional costs, delays, and difficulties in the manufacture or development or in obtaining approval by regulatory authorities for our product candidates.</w:t>
      </w:r>
    </w:p>
    <w:p>
      <w:pPr>
        <w:spacing w:after="0" w:line="225" w:lineRule="exact"/>
        <w:rPr>
          <w:sz w:val="20"/>
          <w:szCs w:val="20"/>
          <w:color w:val="auto"/>
        </w:rPr>
      </w:pPr>
    </w:p>
    <w:p>
      <w:pPr>
        <w:jc w:val="both"/>
        <w:ind w:firstLine="351"/>
        <w:spacing w:after="0" w:line="237" w:lineRule="auto"/>
        <w:rPr>
          <w:sz w:val="20"/>
          <w:szCs w:val="20"/>
          <w:color w:val="auto"/>
        </w:rPr>
      </w:pPr>
      <w:r>
        <w:rPr>
          <w:rFonts w:ascii="Arial" w:cs="Arial" w:eastAsia="Arial" w:hAnsi="Arial"/>
          <w:sz w:val="16"/>
          <w:szCs w:val="16"/>
          <w:color w:val="auto"/>
        </w:rPr>
        <w:t>We rely on third party service providers to support the distribution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and many other related activities in connection with the commercialization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the treatment of CAPS. We cannot be certain that these third parties will perform adequately. If these service providers do not perform their services adequately, our efforts to market and sell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the treatment of CAPS will not be successful.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79"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3" w:name="page44"/>
    <w:bookmarkEnd w:id="43"/>
    <w:p>
      <w:pPr>
        <w:jc w:val="both"/>
        <w:ind w:firstLine="365"/>
        <w:spacing w:after="0" w:line="290" w:lineRule="auto"/>
        <w:rPr>
          <w:sz w:val="20"/>
          <w:szCs w:val="20"/>
          <w:color w:val="auto"/>
        </w:rPr>
      </w:pPr>
      <w:r>
        <w:rPr>
          <w:rFonts w:ascii="Arial" w:cs="Arial" w:eastAsia="Arial" w:hAnsi="Arial"/>
          <w:sz w:val="16"/>
          <w:szCs w:val="16"/>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223"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6"/>
          <w:szCs w:val="16"/>
          <w:color w:val="auto"/>
        </w:rPr>
        <w:t>We may be unable to obtain key raw materials and supplies for the manufacture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279"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221" w:lineRule="exact"/>
        <w:rPr>
          <w:sz w:val="20"/>
          <w:szCs w:val="20"/>
          <w:color w:val="auto"/>
        </w:rPr>
      </w:pPr>
    </w:p>
    <w:p>
      <w:pPr>
        <w:ind w:left="180" w:right="20"/>
        <w:spacing w:after="0" w:line="268" w:lineRule="auto"/>
        <w:rPr>
          <w:sz w:val="20"/>
          <w:szCs w:val="20"/>
          <w:color w:val="auto"/>
        </w:rPr>
      </w:pPr>
      <w:r>
        <w:rPr>
          <w:rFonts w:ascii="Arial" w:cs="Arial" w:eastAsia="Arial" w:hAnsi="Arial"/>
          <w:sz w:val="18"/>
          <w:szCs w:val="18"/>
          <w:b w:val="1"/>
          <w:bCs w:val="1"/>
          <w:i w:val="1"/>
          <w:iCs w:val="1"/>
          <w:color w:val="auto"/>
        </w:rPr>
        <w:t>Third-party supply failures, business interruptions, or natural disasters affecting our manufacturing facilities in Rensselaer, New York could adversely affect our ability to supply our products.</w:t>
      </w:r>
    </w:p>
    <w:p>
      <w:pPr>
        <w:spacing w:after="0" w:line="237" w:lineRule="exact"/>
        <w:rPr>
          <w:sz w:val="20"/>
          <w:szCs w:val="20"/>
          <w:color w:val="auto"/>
        </w:rPr>
      </w:pPr>
    </w:p>
    <w:p>
      <w:pPr>
        <w:jc w:val="both"/>
        <w:ind w:firstLine="311"/>
        <w:spacing w:after="0" w:line="228" w:lineRule="auto"/>
        <w:rPr>
          <w:sz w:val="20"/>
          <w:szCs w:val="20"/>
          <w:color w:val="auto"/>
        </w:rPr>
      </w:pPr>
      <w:r>
        <w:rPr>
          <w:rFonts w:ascii="Arial" w:cs="Arial" w:eastAsia="Arial" w:hAnsi="Arial"/>
          <w:sz w:val="18"/>
          <w:szCs w:val="18"/>
          <w:color w:val="auto"/>
        </w:rPr>
        <w:t>We manufacture all of our bulk drug materials for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and our product candidates at our manufacturing facilities in Rensselaer, New York. We would be unable to supply our product requirements if we were to cease production due to regulatory requirements or action, business interruptions, labor shortages or disputes, contaminations, fire, natural disasters, or other problems at the facilities.</w:t>
      </w:r>
    </w:p>
    <w:p>
      <w:pPr>
        <w:spacing w:after="0" w:line="26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7"/>
          <w:szCs w:val="17"/>
          <w:color w:val="auto"/>
        </w:rPr>
        <w:t>Certain raw materials necessary for manufacturing and formulation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GMPs, business interruptions, or labor shortages or disputes. This, in turn, could materially and adversely affect our ability to manufacture or supply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or our product candidates for use in clinical trials, which could materially and adversely affect our business and future prospects.</w:t>
      </w:r>
    </w:p>
    <w:p>
      <w:pPr>
        <w:spacing w:after="0" w:line="261"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58"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237" w:lineRule="exact"/>
        <w:rPr>
          <w:sz w:val="20"/>
          <w:szCs w:val="20"/>
          <w:color w:val="auto"/>
        </w:rPr>
      </w:pPr>
    </w:p>
    <w:p>
      <w:pPr>
        <w:jc w:val="both"/>
        <w:ind w:firstLine="365"/>
        <w:spacing w:after="0" w:line="276" w:lineRule="auto"/>
        <w:rPr>
          <w:sz w:val="20"/>
          <w:szCs w:val="20"/>
          <w:color w:val="auto"/>
        </w:rPr>
      </w:pPr>
      <w:r>
        <w:rPr>
          <w:rFonts w:ascii="Arial" w:cs="Arial" w:eastAsia="Arial" w:hAnsi="Arial"/>
          <w:sz w:val="16"/>
          <w:szCs w:val="16"/>
          <w:color w:val="auto"/>
        </w:rPr>
        <w:t>We are marketing and selling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the treatment of CAPS ourselves in the United States, primarily through third party service providers. We have no sales or distribution personnel in the United States and have only a small staff with commercial capabilities. We currently have no sales, marketing, commercial, or distribution capabilities outside the United States.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will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we may be unsuccessful in developing our own sales, marketing, and distribution organization.</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w:t>
      </w:r>
      <w:r>
        <w:rPr>
          <w:rFonts w:ascii="Arial" w:cs="Arial" w:eastAsia="Arial" w:hAnsi="Arial"/>
          <w:sz w:val="24"/>
          <w:szCs w:val="24"/>
          <w:b w:val="1"/>
          <w:bCs w:val="1"/>
          <w:i w:val="1"/>
          <w:iCs w:val="1"/>
          <w:color w:val="auto"/>
          <w:vertAlign w:val="superscript"/>
        </w:rPr>
        <w:t>®</w:t>
      </w:r>
      <w:r>
        <w:rPr>
          <w:rFonts w:ascii="Arial" w:cs="Arial" w:eastAsia="Arial" w:hAnsi="Arial"/>
          <w:sz w:val="18"/>
          <w:szCs w:val="18"/>
          <w:b w:val="1"/>
          <w:bCs w:val="1"/>
          <w:i w:val="1"/>
          <w:iCs w:val="1"/>
          <w:color w:val="auto"/>
        </w:rPr>
        <w:t xml:space="preserve"> (rilonacept) in this indication.</w:t>
      </w:r>
    </w:p>
    <w:p>
      <w:pPr>
        <w:spacing w:after="0" w:line="210" w:lineRule="exact"/>
        <w:rPr>
          <w:sz w:val="20"/>
          <w:szCs w:val="20"/>
          <w:color w:val="auto"/>
        </w:rPr>
      </w:pPr>
    </w:p>
    <w:p>
      <w:pPr>
        <w:jc w:val="both"/>
        <w:ind w:firstLine="270"/>
        <w:spacing w:after="0" w:line="227" w:lineRule="auto"/>
        <w:rPr>
          <w:sz w:val="20"/>
          <w:szCs w:val="20"/>
          <w:color w:val="auto"/>
        </w:rPr>
      </w:pPr>
      <w:r>
        <w:rPr>
          <w:rFonts w:ascii="Arial" w:cs="Arial" w:eastAsia="Arial" w:hAnsi="Arial"/>
          <w:sz w:val="18"/>
          <w:szCs w:val="18"/>
          <w:color w:val="auto"/>
        </w:rPr>
        <w:t>Our only approved product is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In October 2009 we received European marketing authorization for rilonacept for CAPS. In 2009, Novartis received regulatory approval in the U.S. and Europe for its IL-1 antibody product for the treatment of CAPS. Given the very rare nature of the disease and the competition from Novartis’ IL-1 antibody product, we may be unable to profitably commercialize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 this indication.</w:t>
      </w:r>
    </w:p>
    <w:p>
      <w:pPr>
        <w:spacing w:after="0" w:line="238" w:lineRule="exact"/>
        <w:rPr>
          <w:sz w:val="20"/>
          <w:szCs w:val="20"/>
          <w:color w:val="auto"/>
        </w:rPr>
      </w:pPr>
    </w:p>
    <w:p>
      <w:pPr>
        <w:ind w:left="180" w:right="20"/>
        <w:spacing w:after="0" w:line="33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a similar mechanism of action, and competitors may get to the marketplace with better or lower cost drugs.</w:t>
      </w:r>
    </w:p>
    <w:p>
      <w:pPr>
        <w:spacing w:after="0" w:line="193"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224" w:lineRule="exact"/>
        <w:rPr>
          <w:sz w:val="20"/>
          <w:szCs w:val="20"/>
          <w:color w:val="auto"/>
        </w:rPr>
      </w:pPr>
    </w:p>
    <w:p>
      <w:pPr>
        <w:jc w:val="both"/>
        <w:ind w:firstLine="365"/>
        <w:spacing w:after="0" w:line="287" w:lineRule="auto"/>
        <w:rPr>
          <w:sz w:val="20"/>
          <w:szCs w:val="20"/>
          <w:color w:val="auto"/>
        </w:rPr>
      </w:pPr>
      <w:r>
        <w:rPr>
          <w:rFonts w:ascii="Arial" w:cs="Arial" w:eastAsia="Arial" w:hAnsi="Arial"/>
          <w:sz w:val="16"/>
          <w:szCs w:val="16"/>
          <w:color w:val="auto"/>
        </w:rPr>
        <w:t>Genentech has an approved VEGF antagonist, Avastin, on the market for treating certain cancers and many different pharmaceutical and biotechnology companies are working to develop competing VEGF antagonists, including Novartis, Amgen, Imclone/Eli Lilly, Pfizer, AstraZeneca, and GlaxoSmithKline. Many of these molecules are farther along in development than aflibercept and may offer competitive advantages over our molecule. Each of Pfizer and Onyx, (together with its partner Bayer HealthCare) has received approval from the FDA to market and sell an oral medication that targets tumor cell growth and new vasculature formation that fuels the growth of tumors. The marketing approvals for Genentech’s VEGF antagonist, Avastin, and their extensive, ongoing clinical development plan for Avastin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5" w:name="page46"/>
    <w:bookmarkEnd w:id="45"/>
    <w:p>
      <w:pPr>
        <w:jc w:val="both"/>
        <w:ind w:firstLine="284"/>
        <w:spacing w:after="0" w:line="283"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 for the treatment of age-related macular degeneration (wet AMD), DME, and other eye indications. Lucentis (Genentech) was approved by the FDA in June 2006 for the treatment of wet AMD. Many other companies are working on the development of product candidates for the potential treatment of wet AMD and DME that act by blocking VEGF and VEGF receptors, and through the use of small interfering ribonucleic acids (siRNAs) that modulate gene expression. In addition, ophthalmologists are using off-label, with success for the treatment of wet AMD, a third-party repackaged version of Genentech’s approved VEGF antagonist, Avastin. The National Eye Institute and others are conducting long-term, controlled clinical trials comparing Lucentis (Genentech) to Avastin (Genentech) in the treatment of wet AMD. The marketing approval of Lucentis (Genentech) and the potential off-label use of Avastin</w:t>
      </w:r>
    </w:p>
    <w:p>
      <w:pPr>
        <w:jc w:val="both"/>
        <w:spacing w:after="0" w:line="290" w:lineRule="auto"/>
        <w:rPr>
          <w:sz w:val="20"/>
          <w:szCs w:val="20"/>
          <w:color w:val="auto"/>
        </w:rPr>
      </w:pPr>
      <w:r>
        <w:rPr>
          <w:rFonts w:ascii="Arial" w:cs="Arial" w:eastAsia="Arial" w:hAnsi="Arial"/>
          <w:sz w:val="16"/>
          <w:szCs w:val="16"/>
          <w:color w:val="auto"/>
        </w:rPr>
        <w:t>(Genentech) make it more difficult for us to enroll patients in our clinical trials and successfully develop VEGF Trap-Eye. Even if VEGF Trap-Eye is ever approved for sale for the treatment of eye diseases, it may be difficult for our drug to compete against Lucentis (Genentech), because doctors and patients will have significant experience using this medicine. Moreover, the relatively low cost of therapy with Avastin (Genentech) in patients with wet AMD presents a further competitive challenge in this indication. While we believe that aflibercept would not be well tolerated if administered directly to the eye, if aflibercept is ever approved for the treatment of certain cancers, there is a risk that third parties will attempt to repackage aflibercept for use and sale for the treatment of wet AMD and other diseases of the eye, which would present a potential low-cost competitive threat to the VEGF Trap-Eye if it is ever approved for sale.</w:t>
      </w:r>
    </w:p>
    <w:p>
      <w:pPr>
        <w:spacing w:after="0" w:line="223"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6"/>
          <w:szCs w:val="16"/>
          <w:color w:val="auto"/>
        </w:rPr>
        <w:t>The availability of highly effective FDA approved TNF-antagonists such as Enbrel (Amgen and Wyeth), Remicade (Centocor), Humira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(adalimumab), marketed by Abbott, and Simponi</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(golimumab), marketed by Centocor, and the IL-1 receptor antagonist Kineret (Biovitrum), and other marketed therapies makes it more difficult to successfully develop and commercialize rilonacept in other indications and this is one of the reasons we discontinued the development of rilonacept in adult rheumatoid arthritis. In addition, even if rilonacept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rilonacept, such as requiring fewer injections.</w:t>
      </w:r>
    </w:p>
    <w:p>
      <w:pPr>
        <w:spacing w:after="0" w:line="255" w:lineRule="exact"/>
        <w:rPr>
          <w:sz w:val="20"/>
          <w:szCs w:val="20"/>
          <w:color w:val="auto"/>
        </w:rPr>
      </w:pPr>
    </w:p>
    <w:p>
      <w:pPr>
        <w:jc w:val="both"/>
        <w:ind w:firstLine="338"/>
        <w:spacing w:after="0" w:line="246" w:lineRule="auto"/>
        <w:rPr>
          <w:sz w:val="20"/>
          <w:szCs w:val="20"/>
          <w:color w:val="auto"/>
        </w:rPr>
      </w:pPr>
      <w:r>
        <w:rPr>
          <w:rFonts w:ascii="Arial" w:cs="Arial" w:eastAsia="Arial" w:hAnsi="Arial"/>
          <w:sz w:val="17"/>
          <w:szCs w:val="17"/>
          <w:color w:val="auto"/>
        </w:rPr>
        <w:t>There are both small molecules and antibodies in development by other companies that are designed to block the synthesis of interleukin-1 or inhibit the signaling of interleukin-1. For example, Eli Lilly, Xoma Ltd., and Novartis are each developing antibodies to interleukin-1 and Amgen is developing an antibody to the interleukin-1 receptor. Novartis received marketing approval for its IL-1 antibody for the treatment of CAPS from the FDA in June 2009 and from the European Medicines Agency in October 2009. Novartis is also developing this IL-1 antibody in gout and other inflammatory diseases. Novartis’ IL-1 antibody and these other drug candidates could offer competitive advantages over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For example, Novartis’ IL-1 antibody is dosed once every eight weeks compared to the once-weekly dosing regimen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The successful development and/or commercialization of these competing molecules could impair our ability to successfully commercialize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w:t>
      </w:r>
    </w:p>
    <w:p>
      <w:pPr>
        <w:spacing w:after="0" w:line="168" w:lineRule="exact"/>
        <w:rPr>
          <w:sz w:val="20"/>
          <w:szCs w:val="20"/>
          <w:color w:val="auto"/>
        </w:rPr>
      </w:pPr>
    </w:p>
    <w:p>
      <w:pPr>
        <w:jc w:val="both"/>
        <w:ind w:firstLine="284"/>
        <w:spacing w:after="0" w:line="298" w:lineRule="auto"/>
        <w:rPr>
          <w:sz w:val="20"/>
          <w:szCs w:val="20"/>
          <w:color w:val="auto"/>
        </w:rPr>
      </w:pPr>
      <w:r>
        <w:rPr>
          <w:rFonts w:ascii="Arial" w:cs="Arial" w:eastAsia="Arial" w:hAnsi="Arial"/>
          <w:sz w:val="16"/>
          <w:szCs w:val="16"/>
          <w:color w:val="auto"/>
        </w:rPr>
        <w:t>We have plans to develop rilonacept for the treatment of certain gout indications. In October 2009, Novartis announced positive Phase 2 results showing that canakinumab is more effective than an injectable corticosteroid at reducing pain and preventing recurrent attacks or “flares” in patients with hard-to-treat gout. Novartis’ IL-1 antibody is dosed less frequently for the treatment of CAPS and may be perceived as offering competitive advantages over rilonacept in gout by some physicians, which would make it difficult for us to successfully commercialize rilonacept in that disease.</w:t>
      </w:r>
    </w:p>
    <w:p>
      <w:pPr>
        <w:spacing w:after="0" w:line="2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Currently, inexpensive, oral therapies such as analgesics and other non-steroidal anti-inflammatory drugs are used as the standard of care to treat the symptoms of these gout diseases. These established, inexpensive, orally delivered drugs may make it difficult for us to successfully commercialize rilonacept in these diseases.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46" w:name="page47"/>
    <w:bookmarkEnd w:id="46"/>
    <w:p>
      <w:pPr>
        <w:ind w:left="180"/>
        <w:spacing w:after="0" w:line="246" w:lineRule="auto"/>
        <w:rPr>
          <w:sz w:val="20"/>
          <w:szCs w:val="20"/>
          <w:color w:val="auto"/>
        </w:rPr>
      </w:pPr>
      <w:r>
        <w:rPr>
          <w:rFonts w:ascii="Arial" w:cs="Arial" w:eastAsia="Arial" w:hAnsi="Arial"/>
          <w:sz w:val="16"/>
          <w:szCs w:val="16"/>
          <w:b w:val="1"/>
          <w:bCs w:val="1"/>
          <w:i w:val="1"/>
          <w:iCs w:val="1"/>
          <w:color w:val="auto"/>
        </w:rPr>
        <w:t>The successful commercialization of ARCALYST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(rilonacept) and our product candidates will depend on obtaining coverage and reimbursement for use of these products from third-party payers and these payers may not agree to cover or reimburse for use of our products.</w:t>
      </w:r>
    </w:p>
    <w:p>
      <w:pPr>
        <w:spacing w:after="0" w:line="257" w:lineRule="exact"/>
        <w:rPr>
          <w:sz w:val="20"/>
          <w:szCs w:val="20"/>
          <w:color w:val="auto"/>
        </w:rPr>
      </w:pPr>
    </w:p>
    <w:p>
      <w:pPr>
        <w:jc w:val="both"/>
        <w:ind w:firstLine="311"/>
        <w:spacing w:after="0" w:line="287" w:lineRule="auto"/>
        <w:rPr>
          <w:sz w:val="20"/>
          <w:szCs w:val="20"/>
          <w:color w:val="auto"/>
        </w:rPr>
      </w:pPr>
      <w:r>
        <w:rPr>
          <w:rFonts w:ascii="Arial" w:cs="Arial" w:eastAsia="Arial" w:hAnsi="Arial"/>
          <w:sz w:val="16"/>
          <w:szCs w:val="16"/>
          <w:color w:val="auto"/>
        </w:rPr>
        <w:t>Our product candidates, if commercialized, may be significantly more expensive than traditional drug treatments. For example, we have initiated a Phase 3 program studying the use of rilonacept for the treatment of certain gout indications. Patients suffering from these gout indications are currently treated with inexpensive therapies, including non-steroidal anti-inflammatory drugs. These existing treatment options are likely to be considerably less expensive and may be preferable to a biologic medication for some patients.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228" w:lineRule="exact"/>
        <w:rPr>
          <w:sz w:val="20"/>
          <w:szCs w:val="20"/>
          <w:color w:val="auto"/>
        </w:rPr>
      </w:pPr>
    </w:p>
    <w:p>
      <w:pPr>
        <w:jc w:val="both"/>
        <w:ind w:firstLine="297"/>
        <w:spacing w:after="0" w:line="216" w:lineRule="auto"/>
        <w:rPr>
          <w:sz w:val="20"/>
          <w:szCs w:val="20"/>
          <w:color w:val="auto"/>
        </w:rPr>
      </w:pPr>
      <w:r>
        <w:rPr>
          <w:rFonts w:ascii="Arial" w:cs="Arial" w:eastAsia="Arial" w:hAnsi="Arial"/>
          <w:sz w:val="18"/>
          <w:szCs w:val="18"/>
          <w:color w:val="auto"/>
        </w:rPr>
        <w:t>We market and sell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in the United States for the treatment of a group of rare genetic disorders called CAPS. We recently received European Union marketing authorization for rilonacept for the treatment of CAPS. There may be too few patients with CAPS to profitably commercialize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Physicians may not prescribe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and CAPS patients may not be able to afford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if third party payers do not agree to reimburse the cost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therapy and this would adversely affect our ability to commercialize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profitably.</w:t>
      </w:r>
    </w:p>
    <w:p>
      <w:pPr>
        <w:spacing w:after="0" w:line="17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In addition to potential restrictions on coverage, the amount of reimbursement for our products may also reduce our profitability. Government and other third-party payers are challenging the prices charged for healthcare products and increasingly limiting, and attempting to limit, both coverage and level of reimbursement for prescription drugs. The U.S. Congress recently enacted legislation to reform the health care system. This legislation imposes cost containment measures that are likely to adversely affect the amount of reimbursement for our future products.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3"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8"/>
          <w:szCs w:val="18"/>
          <w:color w:val="auto"/>
        </w:rPr>
        <w:t>Since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267"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 Related to Employees</w:t>
      </w:r>
    </w:p>
    <w:p>
      <w:pPr>
        <w:spacing w:after="0" w:line="258"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40"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4720"/>
        <w:spacing w:after="0" w:line="281" w:lineRule="auto"/>
        <w:rPr>
          <w:sz w:val="20"/>
          <w:szCs w:val="20"/>
          <w:color w:val="auto"/>
        </w:rPr>
      </w:pPr>
      <w:r>
        <w:rPr>
          <w:rFonts w:ascii="Arial" w:cs="Arial" w:eastAsia="Arial" w:hAnsi="Arial"/>
          <w:sz w:val="18"/>
          <w:szCs w:val="18"/>
          <w:color w:val="auto"/>
        </w:rPr>
        <w:t>announcement of technological innovations or product candidates by us or competitors; 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-117475</wp:posOffset>
            </wp:positionV>
            <wp:extent cx="685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third party claims that our products or technologies infringe their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 w:lineRule="exact"/>
        <w:rPr>
          <w:sz w:val="20"/>
          <w:szCs w:val="20"/>
          <w:color w:val="auto"/>
        </w:rPr>
      </w:pPr>
    </w:p>
    <w:p>
      <w:pPr>
        <w:ind w:left="540" w:right="3120"/>
        <w:spacing w:after="0" w:line="232" w:lineRule="auto"/>
        <w:rPr>
          <w:sz w:val="20"/>
          <w:szCs w:val="20"/>
          <w:color w:val="auto"/>
        </w:rPr>
      </w:pPr>
      <w:r>
        <w:rPr>
          <w:rFonts w:ascii="Arial" w:cs="Arial" w:eastAsia="Arial" w:hAnsi="Arial"/>
          <w:sz w:val="18"/>
          <w:szCs w:val="18"/>
          <w:color w:val="auto"/>
        </w:rPr>
        <w:t>public concern as to the safety or effectiveness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(rilonacept) or any of our product candidates; 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22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40"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April 14, 2010, our six largest shareholders plus Leonard Schleifer, M.D, Ph.D., our Chief Executive Officer, beneficially owned 51.1% of our outstanding shares of Common Stock, assuming, in the case of our Chief Executive Officer, the conversion of his Class A Stock into Common Stock and the exercise of all options held by him which are exercisable within 60 days of April 14, 2010. As of April 14, 2010, sanofi-aventis beneficially owned 14,799,552 shares of Common Stock, representing approximately 18.6% of the shares of Common Stock then outstanding. Under our investor agreement, as amended, with sanofi-aventis, sanofi-aventis may not sell these shares until December 20, 2017 except under limited circumstances and subject to earlier termination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7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Holders of Class A Stock, who are generally the shareholders who purchased their stock from us before our initial public offering, are entitled to ten votes per share, while holders of Common Stock are entitled to one vote per share. As of April 14, 2010, holders of Class A Stock held 21.5% of the combined voting power of all shares of Common Stock and Class A Stock then outstanding, including any voting power associated with any shares of Common Stock beneficially owned by such Class A Stock holders.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14, 2010:</w:t>
      </w:r>
    </w:p>
    <w:p>
      <w:pPr>
        <w:spacing w:after="0" w:line="199" w:lineRule="exact"/>
        <w:rPr>
          <w:sz w:val="20"/>
          <w:szCs w:val="20"/>
          <w:color w:val="auto"/>
        </w:rPr>
      </w:pPr>
    </w:p>
    <w:p>
      <w:pPr>
        <w:jc w:val="both"/>
        <w:ind w:left="540"/>
        <w:spacing w:after="0" w:line="281" w:lineRule="auto"/>
        <w:rPr>
          <w:sz w:val="20"/>
          <w:szCs w:val="20"/>
          <w:color w:val="auto"/>
        </w:rPr>
      </w:pPr>
      <w:r>
        <w:rPr>
          <w:rFonts w:ascii="Arial" w:cs="Arial" w:eastAsia="Arial" w:hAnsi="Arial"/>
          <w:sz w:val="18"/>
          <w:szCs w:val="18"/>
          <w:color w:val="auto"/>
        </w:rPr>
        <w:t>our current executive officers and directors beneficially owned 13.7% of our outstanding shares of Common Stock, assuming conversion of their Class A Stock into Common Stock and the exercise of all options held by such persons which are exercisable within 60 days of April 14, 2010, and 28.1% of the combined voting power of our outstanding shares of Common Stock and Class A Stock, assuming the exercise of all options held by such persons which are exercisable within 60 days of April 14, 2010;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-579120</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86" w:lineRule="auto"/>
        <w:rPr>
          <w:sz w:val="20"/>
          <w:szCs w:val="20"/>
          <w:color w:val="auto"/>
        </w:rPr>
      </w:pPr>
      <w:r>
        <w:rPr>
          <w:rFonts w:ascii="Arial" w:cs="Arial" w:eastAsia="Arial" w:hAnsi="Arial"/>
          <w:sz w:val="18"/>
          <w:szCs w:val="18"/>
          <w:color w:val="auto"/>
        </w:rPr>
        <w:t>our six largest shareholders plus Leonard S. Schleifer, M.D., Ph.D. our Chief Executive Officer, beneficially owned 51.1% of our outstanding shares of Common Stock, assuming, in the case of our Chief Executive Officer, the conversion of his Class A Stock into Common Stock and the exercise of all options held by him which are exercisable within 60 days of April 14, 2010. In addition, these seven shareholders held 56.3% of the combined voting power of our outstanding shares of Common Stock and Class A Stock, assuming the exercise of all options held by our Chief Executive Officer which are exercisable within 60 days of April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-746760</wp:posOffset>
            </wp:positionV>
            <wp:extent cx="6858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Pursuant to an investor agreement, as amended,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94"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248"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94" w:lineRule="exact"/>
        <w:rPr>
          <w:sz w:val="20"/>
          <w:szCs w:val="20"/>
          <w:color w:val="auto"/>
        </w:rPr>
      </w:pPr>
    </w:p>
    <w:p>
      <w:pPr>
        <w:jc w:val="both"/>
        <w:ind w:left="540"/>
        <w:spacing w:after="0" w:line="281" w:lineRule="auto"/>
        <w:rPr>
          <w:sz w:val="20"/>
          <w:szCs w:val="20"/>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jc w:val="both"/>
        <w:ind w:left="540" w:right="20"/>
        <w:spacing w:after="0" w:line="281" w:lineRule="auto"/>
        <w:rPr>
          <w:sz w:val="20"/>
          <w:szCs w:val="20"/>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-425450</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81" w:lineRule="auto"/>
        <w:rPr>
          <w:sz w:val="20"/>
          <w:szCs w:val="20"/>
          <w:color w:val="auto"/>
        </w:rPr>
      </w:pPr>
      <w:r>
        <w:rPr>
          <w:rFonts w:ascii="Arial" w:cs="Arial" w:eastAsia="Arial" w:hAnsi="Arial"/>
          <w:sz w:val="18"/>
          <w:szCs w:val="18"/>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281" w:lineRule="auto"/>
        <w:rPr>
          <w:sz w:val="20"/>
          <w:szCs w:val="20"/>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317" w:lineRule="auto"/>
        <w:rPr>
          <w:sz w:val="20"/>
          <w:szCs w:val="20"/>
          <w:color w:val="auto"/>
        </w:rPr>
      </w:pPr>
      <w:r>
        <w:rPr>
          <w:rFonts w:ascii="Arial" w:cs="Arial" w:eastAsia="Arial" w:hAnsi="Arial"/>
          <w:sz w:val="16"/>
          <w:szCs w:val="16"/>
          <w:color w:val="auto"/>
        </w:rPr>
        <w:t>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-272415</wp:posOffset>
            </wp:positionV>
            <wp:extent cx="6858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299" w:lineRule="auto"/>
        <w:rPr>
          <w:sz w:val="20"/>
          <w:szCs w:val="20"/>
          <w:color w:val="auto"/>
        </w:rPr>
      </w:pPr>
      <w:r>
        <w:rPr>
          <w:rFonts w:ascii="Arial" w:cs="Arial" w:eastAsia="Arial" w:hAnsi="Arial"/>
          <w:sz w:val="18"/>
          <w:szCs w:val="18"/>
          <w:color w:val="auto"/>
        </w:rPr>
        <w:t xml:space="preserve">entitled to vote thereon. See the risk factor immediately above captioned </w:t>
      </w:r>
      <w:r>
        <w:rPr>
          <w:rFonts w:ascii="Arial" w:cs="Arial" w:eastAsia="Arial" w:hAnsi="Arial"/>
          <w:sz w:val="18"/>
          <w:szCs w:val="18"/>
          <w:i w:val="1"/>
          <w:iCs w:val="1"/>
          <w:color w:val="auto"/>
        </w:rPr>
        <w:t>“Our existing shareholders may be able to exert significant influence over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 requiring shareholder approval.”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9" w:name="page50"/>
    <w:bookmarkEnd w:id="49"/>
    <w:p>
      <w:pPr>
        <w:jc w:val="both"/>
        <w:ind w:firstLine="284"/>
        <w:spacing w:after="0" w:line="256" w:lineRule="auto"/>
        <w:rPr>
          <w:sz w:val="20"/>
          <w:szCs w:val="20"/>
          <w:color w:val="auto"/>
        </w:rPr>
      </w:pPr>
      <w:r>
        <w:rPr>
          <w:rFonts w:ascii="Arial" w:cs="Arial" w:eastAsia="Arial" w:hAnsi="Arial"/>
          <w:sz w:val="18"/>
          <w:szCs w:val="18"/>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as amended, which contractually prohibit sanofi-aventis from acquiring more than certain specified percentages of our Class A Stock and Common Stock (taken together) or otherwise seeking to obtain control of the Company.</w:t>
      </w:r>
    </w:p>
    <w:p>
      <w:pPr>
        <w:spacing w:after="0" w:line="251"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 These contractual provisions may also have the effect of deterring, delaying, or preventing an acquisition or other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5" w:lineRule="exact"/>
        <w:rPr>
          <w:sz w:val="20"/>
          <w:szCs w:val="20"/>
          <w:color w:val="auto"/>
        </w:rPr>
      </w:pPr>
    </w:p>
    <w:p>
      <w:pPr>
        <w:ind w:left="860" w:hanging="528"/>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w w:val="99"/>
              </w:rPr>
              <w:t>Exhibit</w:t>
            </w:r>
          </w:p>
        </w:tc>
        <w:tc>
          <w:tcPr>
            <w:tcW w:w="280" w:type="dxa"/>
            <w:vAlign w:val="bottom"/>
          </w:tcPr>
          <w:p>
            <w:pPr>
              <w:spacing w:after="0"/>
              <w:rPr>
                <w:sz w:val="19"/>
                <w:szCs w:val="19"/>
                <w:color w:val="auto"/>
              </w:rPr>
            </w:pPr>
          </w:p>
        </w:tc>
        <w:tc>
          <w:tcPr>
            <w:tcW w:w="10180" w:type="dxa"/>
            <w:vAlign w:val="bottom"/>
          </w:tcPr>
          <w:p>
            <w:pPr>
              <w:spacing w:after="0"/>
              <w:rPr>
                <w:sz w:val="19"/>
                <w:szCs w:val="19"/>
                <w:color w:val="auto"/>
              </w:rPr>
            </w:pPr>
          </w:p>
        </w:tc>
      </w:tr>
      <w:tr>
        <w:trPr>
          <w:trHeight w:val="252"/>
        </w:trPr>
        <w:tc>
          <w:tcPr>
            <w:tcW w:w="620" w:type="dxa"/>
            <w:vAlign w:val="bottom"/>
          </w:tcPr>
          <w:p>
            <w:pPr>
              <w:spacing w:after="0"/>
              <w:rPr>
                <w:sz w:val="20"/>
                <w:szCs w:val="20"/>
                <w:color w:val="auto"/>
              </w:rPr>
            </w:pPr>
            <w:r>
              <w:rPr>
                <w:rFonts w:ascii="Arial" w:cs="Arial" w:eastAsia="Arial" w:hAnsi="Arial"/>
                <w:sz w:val="18"/>
                <w:szCs w:val="18"/>
                <w:b w:val="1"/>
                <w:bCs w:val="1"/>
                <w:color w:val="auto"/>
                <w:w w:val="88"/>
              </w:rPr>
              <w:t>Number</w:t>
            </w:r>
          </w:p>
        </w:tc>
        <w:tc>
          <w:tcPr>
            <w:tcW w:w="10460" w:type="dxa"/>
            <w:vAlign w:val="bottom"/>
            <w:gridSpan w:val="2"/>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41"/>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10.1(a)</w:t>
            </w:r>
          </w:p>
        </w:tc>
        <w:tc>
          <w:tcPr>
            <w:tcW w:w="280" w:type="dxa"/>
            <w:vAlign w:val="bottom"/>
          </w:tcPr>
          <w:p>
            <w:pPr>
              <w:spacing w:after="0"/>
              <w:rPr>
                <w:sz w:val="20"/>
                <w:szCs w:val="20"/>
                <w:color w:val="auto"/>
              </w:rPr>
            </w:pPr>
          </w:p>
        </w:tc>
        <w:tc>
          <w:tcPr>
            <w:tcW w:w="101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0"/>
              </w:rPr>
              <w:t>- Fifth Amendment to Lease, by and between BMR-Landmark at Eastview LLC and the Registrant, entered into as of February 11, 2010.</w:t>
            </w:r>
          </w:p>
        </w:tc>
      </w:tr>
      <w:tr>
        <w:trPr>
          <w:trHeight w:val="257"/>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2"/>
                <w:szCs w:val="22"/>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 Certification of CEO pursuant to Rule 13a-14(a) under the Securities Exchange Act of 1934.</w:t>
            </w:r>
          </w:p>
        </w:tc>
      </w:tr>
      <w:tr>
        <w:trPr>
          <w:trHeight w:val="257"/>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2"/>
                <w:szCs w:val="22"/>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 Certification of CFO pursuant to Rule 13a-14(a) under the Securities Exchange Act of 1934.</w:t>
            </w:r>
          </w:p>
        </w:tc>
      </w:tr>
      <w:tr>
        <w:trPr>
          <w:trHeight w:val="257"/>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2"/>
                <w:szCs w:val="22"/>
                <w:color w:val="auto"/>
              </w:rPr>
            </w:pPr>
          </w:p>
        </w:tc>
        <w:tc>
          <w:tcPr>
            <w:tcW w:w="10180" w:type="dxa"/>
            <w:vAlign w:val="bottom"/>
          </w:tcPr>
          <w:p>
            <w:pPr>
              <w:ind w:left="360"/>
              <w:spacing w:after="0"/>
              <w:rPr>
                <w:sz w:val="20"/>
                <w:szCs w:val="20"/>
                <w:color w:val="auto"/>
              </w:rPr>
            </w:pPr>
            <w:r>
              <w:rPr>
                <w:rFonts w:ascii="Arial" w:cs="Arial" w:eastAsia="Arial" w:hAnsi="Arial"/>
                <w:sz w:val="18"/>
                <w:szCs w:val="18"/>
                <w:color w:val="auto"/>
              </w:rPr>
              <w:t>- Certification of CEO and CFO pursuant to 18 U.S.C. Section 1350.</w:t>
            </w:r>
          </w:p>
        </w:tc>
      </w:tr>
    </w:tbl>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Description:</w:t>
      </w:r>
    </w:p>
    <w:p>
      <w:pPr>
        <w:spacing w:after="0" w:line="285" w:lineRule="exact"/>
        <w:rPr>
          <w:sz w:val="20"/>
          <w:szCs w:val="20"/>
          <w:color w:val="auto"/>
        </w:rPr>
      </w:pPr>
    </w:p>
    <w:p>
      <w:pPr>
        <w:ind w:left="5660" w:right="2860" w:hanging="5004"/>
        <w:spacing w:after="0" w:line="565" w:lineRule="auto"/>
        <w:tabs>
          <w:tab w:leader="none" w:pos="97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February 16, 2010.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Regeneron Pharmaceuticals, Inc.</w:t>
      </w:r>
    </w:p>
    <w:p>
      <w:pPr>
        <w:spacing w:after="0" w:line="266"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Date: April 29, 2010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w:t>
      </w:r>
      <w:r>
        <w:rPr>
          <w:rFonts w:ascii="Arial" w:cs="Arial" w:eastAsia="Arial" w:hAnsi="Arial"/>
          <w:sz w:val="12"/>
          <w:szCs w:val="12"/>
          <w:u w:val="single" w:color="auto"/>
          <w:color w:val="auto"/>
        </w:rPr>
        <w:t>URRAY</w:t>
      </w:r>
      <w:r>
        <w:rPr>
          <w:rFonts w:ascii="Arial" w:cs="Arial" w:eastAsia="Arial" w:hAnsi="Arial"/>
          <w:sz w:val="16"/>
          <w:szCs w:val="16"/>
          <w:color w:val="auto"/>
        </w:rPr>
        <w:t xml:space="preserve"> </w:t>
      </w:r>
      <w:r>
        <w:rPr>
          <w:rFonts w:ascii="Arial" w:cs="Arial" w:eastAsia="Arial" w:hAnsi="Arial"/>
          <w:sz w:val="16"/>
          <w:szCs w:val="16"/>
          <w:u w:val="single" w:color="auto"/>
          <w:color w:val="auto"/>
        </w:rPr>
        <w:t>A. G</w:t>
      </w:r>
      <w:r>
        <w:rPr>
          <w:rFonts w:ascii="Arial" w:cs="Arial" w:eastAsia="Arial" w:hAnsi="Arial"/>
          <w:sz w:val="12"/>
          <w:szCs w:val="12"/>
          <w:u w:val="single" w:color="auto"/>
          <w:color w:val="auto"/>
        </w:rPr>
        <w:t>OLDBERG</w:t>
      </w:r>
    </w:p>
    <w:p>
      <w:pPr>
        <w:spacing w:after="0" w:line="2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Duly Authorized Officer)</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52"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100" w:hanging="417"/>
        <w:spacing w:after="0" w:line="259" w:lineRule="auto"/>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1100" w:hanging="417"/>
        <w:spacing w:after="0" w:line="259" w:lineRule="auto"/>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100" w:hanging="417"/>
        <w:spacing w:after="0" w:line="332" w:lineRule="auto"/>
        <w:tabs>
          <w:tab w:leader="none" w:pos="11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100" w:hanging="417"/>
        <w:spacing w:after="0" w:line="259" w:lineRule="auto"/>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100" w:hanging="417"/>
        <w:spacing w:after="0" w:line="268" w:lineRule="auto"/>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1100" w:hanging="417"/>
        <w:spacing w:after="0" w:line="268" w:lineRule="auto"/>
        <w:tabs>
          <w:tab w:leader="none" w:pos="1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Date: April 29, 2010</w:t>
      </w:r>
      <w:r>
        <w:rPr>
          <w:sz w:val="20"/>
          <w:szCs w:val="20"/>
          <w:color w:val="auto"/>
        </w:rPr>
        <w:tab/>
      </w:r>
      <w:r>
        <w:rPr>
          <w:rFonts w:ascii="Arial" w:cs="Arial" w:eastAsia="Arial" w:hAnsi="Arial"/>
          <w:sz w:val="16"/>
          <w:szCs w:val="16"/>
          <w:u w:val="single" w:color="auto"/>
          <w:color w:val="auto"/>
        </w:rPr>
        <w:t>/s/ L</w:t>
      </w:r>
      <w:r>
        <w:rPr>
          <w:rFonts w:ascii="Arial" w:cs="Arial" w:eastAsia="Arial" w:hAnsi="Arial"/>
          <w:sz w:val="12"/>
          <w:szCs w:val="12"/>
          <w:u w:val="single" w:color="auto"/>
          <w:color w:val="auto"/>
        </w:rPr>
        <w:t>EONARD</w:t>
      </w:r>
      <w:r>
        <w:rPr>
          <w:rFonts w:ascii="Arial" w:cs="Arial" w:eastAsia="Arial" w:hAnsi="Arial"/>
          <w:sz w:val="16"/>
          <w:szCs w:val="16"/>
          <w:u w:val="single" w:color="auto"/>
          <w:color w:val="auto"/>
        </w:rPr>
        <w:t xml:space="preserve"> S. S</w:t>
      </w:r>
      <w:r>
        <w:rPr>
          <w:rFonts w:ascii="Arial" w:cs="Arial" w:eastAsia="Arial" w:hAnsi="Arial"/>
          <w:sz w:val="12"/>
          <w:szCs w:val="12"/>
          <w:u w:val="single" w:color="auto"/>
          <w:color w:val="auto"/>
        </w:rPr>
        <w:t>CHLEIFER</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52"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100" w:hanging="417"/>
        <w:spacing w:after="0" w:line="259"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1100" w:hanging="417"/>
        <w:spacing w:after="0" w:line="259"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100" w:hanging="417"/>
        <w:spacing w:after="0" w:line="332" w:lineRule="auto"/>
        <w:tabs>
          <w:tab w:leader="none" w:pos="11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100" w:hanging="417"/>
        <w:spacing w:after="0" w:line="259"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1100" w:hanging="417"/>
        <w:spacing w:after="0" w:line="268"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1100" w:hanging="417"/>
        <w:spacing w:after="0" w:line="268"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5280" w:right="4300" w:hanging="5280"/>
        <w:spacing w:after="0" w:line="325" w:lineRule="auto"/>
        <w:tabs>
          <w:tab w:leader="none" w:pos="5260" w:val="left"/>
        </w:tabs>
        <w:rPr>
          <w:sz w:val="20"/>
          <w:szCs w:val="20"/>
          <w:color w:val="auto"/>
        </w:rPr>
      </w:pPr>
      <w:r>
        <w:rPr>
          <w:rFonts w:ascii="Arial" w:cs="Arial" w:eastAsia="Arial" w:hAnsi="Arial"/>
          <w:sz w:val="18"/>
          <w:szCs w:val="18"/>
          <w:color w:val="auto"/>
        </w:rPr>
        <w:t>Date: April 29, 2010</w:t>
      </w:r>
      <w:r>
        <w:rPr>
          <w:sz w:val="20"/>
          <w:szCs w:val="20"/>
          <w:color w:val="auto"/>
        </w:rPr>
        <w:tab/>
      </w:r>
      <w:r>
        <w:rPr>
          <w:rFonts w:ascii="Arial" w:cs="Arial" w:eastAsia="Arial" w:hAnsi="Arial"/>
          <w:sz w:val="16"/>
          <w:szCs w:val="16"/>
          <w:u w:val="single" w:color="auto"/>
          <w:color w:val="auto"/>
        </w:rPr>
        <w:t>/s/ M</w:t>
      </w:r>
      <w:r>
        <w:rPr>
          <w:rFonts w:ascii="Arial" w:cs="Arial" w:eastAsia="Arial" w:hAnsi="Arial"/>
          <w:sz w:val="12"/>
          <w:szCs w:val="12"/>
          <w:u w:val="single" w:color="auto"/>
          <w:color w:val="auto"/>
        </w:rPr>
        <w:t>URRAY</w:t>
      </w:r>
      <w:r>
        <w:rPr>
          <w:rFonts w:ascii="Arial" w:cs="Arial" w:eastAsia="Arial" w:hAnsi="Arial"/>
          <w:sz w:val="16"/>
          <w:szCs w:val="16"/>
          <w:u w:val="single" w:color="auto"/>
          <w:color w:val="auto"/>
        </w:rPr>
        <w:t xml:space="preserve"> A. G</w:t>
      </w:r>
      <w:r>
        <w:rPr>
          <w:rFonts w:ascii="Arial" w:cs="Arial" w:eastAsia="Arial" w:hAnsi="Arial"/>
          <w:sz w:val="12"/>
          <w:szCs w:val="12"/>
          <w:u w:val="single" w:color="auto"/>
          <w:color w:val="auto"/>
        </w:rPr>
        <w:t>OLDBERG</w:t>
      </w:r>
      <w:r>
        <w:rPr>
          <w:rFonts w:ascii="Arial" w:cs="Arial" w:eastAsia="Arial" w:hAnsi="Arial"/>
          <w:sz w:val="16"/>
          <w:szCs w:val="16"/>
          <w:u w:val="single" w:color="auto"/>
          <w:color w:val="auto"/>
        </w:rPr>
        <w:t xml:space="preserve"> </w:t>
      </w:r>
      <w:r>
        <w:rPr>
          <w:rFonts w:ascii="Arial" w:cs="Arial" w:eastAsia="Arial" w:hAnsi="Arial"/>
          <w:sz w:val="16"/>
          <w:szCs w:val="16"/>
          <w:color w:val="auto"/>
        </w:rPr>
        <w:t>Murray A. Goldberg</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Finance &amp; Administration,</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Treasurer, and</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March 31, 2010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251" w:lineRule="exact"/>
        <w:rPr>
          <w:sz w:val="20"/>
          <w:szCs w:val="20"/>
          <w:color w:val="auto"/>
        </w:rPr>
      </w:pPr>
    </w:p>
    <w:p>
      <w:pPr>
        <w:ind w:left="520" w:hanging="24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520" w:hanging="242"/>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w:t>
      </w:r>
      <w:r>
        <w:rPr>
          <w:rFonts w:ascii="Arial" w:cs="Arial" w:eastAsia="Arial" w:hAnsi="Arial"/>
          <w:sz w:val="13"/>
          <w:szCs w:val="13"/>
          <w:u w:val="single" w:color="auto"/>
          <w:color w:val="auto"/>
        </w:rPr>
        <w:t>EONARD</w:t>
      </w:r>
      <w:r>
        <w:rPr>
          <w:rFonts w:ascii="Arial" w:cs="Arial" w:eastAsia="Arial" w:hAnsi="Arial"/>
          <w:sz w:val="18"/>
          <w:szCs w:val="18"/>
          <w:u w:val="single" w:color="auto"/>
          <w:color w:val="auto"/>
        </w:rPr>
        <w:t xml:space="preserve"> S. S</w:t>
      </w:r>
      <w:r>
        <w:rPr>
          <w:rFonts w:ascii="Arial" w:cs="Arial" w:eastAsia="Arial" w:hAnsi="Arial"/>
          <w:sz w:val="13"/>
          <w:szCs w:val="13"/>
          <w:u w:val="single" w:color="auto"/>
          <w:color w:val="auto"/>
        </w:rPr>
        <w:t>CHLEIFER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w:t>
      </w:r>
      <w:r>
        <w:rPr>
          <w:rFonts w:ascii="Arial" w:cs="Arial" w:eastAsia="Arial" w:hAnsi="Arial"/>
          <w:sz w:val="13"/>
          <w:szCs w:val="13"/>
          <w:u w:val="single" w:color="auto"/>
          <w:color w:val="auto"/>
        </w:rPr>
        <w:t>URRAY</w:t>
      </w:r>
      <w:r>
        <w:rPr>
          <w:rFonts w:ascii="Arial" w:cs="Arial" w:eastAsia="Arial" w:hAnsi="Arial"/>
          <w:sz w:val="18"/>
          <w:szCs w:val="18"/>
          <w:u w:val="single" w:color="auto"/>
          <w:color w:val="auto"/>
        </w:rPr>
        <w:t xml:space="preserve"> A. G</w:t>
      </w:r>
      <w:r>
        <w:rPr>
          <w:rFonts w:ascii="Arial" w:cs="Arial" w:eastAsia="Arial" w:hAnsi="Arial"/>
          <w:sz w:val="13"/>
          <w:szCs w:val="13"/>
          <w:u w:val="single" w:color="auto"/>
          <w:color w:val="auto"/>
        </w:rPr>
        <w:t>OLDBERG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2019-12-10T09:02:42Z</dcterms:created>
  <dcterms:modified xsi:type="dcterms:W3CDTF">2019-12-10T09:02:42Z</dcterms:modified>
</cp:coreProperties>
</file>