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69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9048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Terifay Robert J</w:t>
              </w:r>
            </w:hyperlink>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40" w:type="dxa"/>
            <w:vAlign w:val="bottom"/>
            <w:tcBorders>
              <w:top w:val="single" w:sz="8" w:color="EEEEEE"/>
            </w:tcBorders>
          </w:tcPr>
          <w:p>
            <w:pPr>
              <w:spacing w:after="0"/>
              <w:rPr>
                <w:sz w:val="8"/>
                <w:szCs w:val="8"/>
                <w:color w:val="auto"/>
              </w:rPr>
            </w:pPr>
          </w:p>
        </w:tc>
        <w:tc>
          <w:tcPr>
            <w:tcW w:w="110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gridSpan w:val="3"/>
            <w:vMerge w:val="restart"/>
          </w:tcPr>
          <w:p>
            <w:pPr>
              <w:spacing w:after="0"/>
              <w:rPr>
                <w:sz w:val="20"/>
                <w:szCs w:val="20"/>
                <w:color w:val="auto"/>
              </w:rPr>
            </w:pPr>
            <w:r>
              <w:rPr>
                <w:rFonts w:ascii="Arial" w:cs="Arial" w:eastAsia="Arial" w:hAnsi="Arial"/>
                <w:sz w:val="17"/>
                <w:szCs w:val="17"/>
                <w:color w:val="0000FF"/>
              </w:rPr>
              <w:t>SVP Commercial</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03/16/2015</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left="71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40" w:type="dxa"/>
            <w:vAlign w:val="bottom"/>
            <w:gridSpan w:val="5"/>
          </w:tcPr>
          <w:p>
            <w:pPr>
              <w:jc w:val="center"/>
              <w:ind w:left="54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03/16/2015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2"/>
              </w:rPr>
              <w:t>24,375</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center"/>
              <w:ind w:left="82"/>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30.63</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44,404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03/16/2015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1,679</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444.46</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42,725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03/16/2015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2"/>
              </w:rPr>
              <w:t>11,703</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444.46</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31,022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03/17/2015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2,600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448.01</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28,422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03/17/2015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8"/>
              </w:rPr>
              <w:t>300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448.87</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28,122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03/17/2015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2,093</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450.18</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26,029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03/17/2015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8"/>
              </w:rPr>
              <w:t>700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450.95</w:t>
            </w:r>
            <w:r>
              <w:rPr>
                <w:rFonts w:ascii="Arial" w:cs="Arial" w:eastAsia="Arial" w:hAnsi="Arial"/>
                <w:sz w:val="22"/>
                <w:szCs w:val="22"/>
                <w:color w:val="008000"/>
                <w:w w:val="88"/>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25,329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03/17/2015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3,200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452.61</w:t>
            </w:r>
            <w:r>
              <w:rPr>
                <w:rFonts w:ascii="Arial" w:cs="Arial" w:eastAsia="Arial" w:hAnsi="Arial"/>
                <w:sz w:val="22"/>
                <w:szCs w:val="22"/>
                <w:color w:val="008000"/>
                <w:w w:val="88"/>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22,129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03/17/2015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3"/>
              </w:rPr>
              <w:t>1,700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453.28</w:t>
            </w:r>
            <w:r>
              <w:rPr>
                <w:rFonts w:ascii="Arial" w:cs="Arial" w:eastAsia="Arial" w:hAnsi="Arial"/>
                <w:sz w:val="22"/>
                <w:szCs w:val="22"/>
                <w:color w:val="008000"/>
                <w:w w:val="88"/>
                <w:vertAlign w:val="superscript"/>
              </w:rPr>
              <w:t>(7)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20,429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7"/>
                <w:szCs w:val="17"/>
                <w:color w:val="0000FF"/>
                <w:w w:val="91"/>
              </w:rPr>
              <w:t>03/17/2015</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w w:val="98"/>
              </w:rPr>
              <w:t>400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ind w:left="62"/>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454</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20,029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1,651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8"/>
          </w:tcPr>
          <w:p>
            <w:pPr>
              <w:ind w:left="10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30.63</w:t>
            </w:r>
          </w:p>
        </w:tc>
        <w:tc>
          <w:tcPr>
            <w:tcW w:w="40" w:type="dxa"/>
            <w:vAlign w:val="bottom"/>
          </w:tcPr>
          <w:p>
            <w:pPr>
              <w:spacing w:after="0"/>
              <w:rPr>
                <w:sz w:val="18"/>
                <w:szCs w:val="18"/>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0000FF"/>
              </w:rPr>
              <w:t>03/16/2015</w:t>
            </w:r>
          </w:p>
        </w:tc>
        <w:tc>
          <w:tcPr>
            <w:tcW w:w="1140" w:type="dxa"/>
            <w:vAlign w:val="bottom"/>
          </w:tcPr>
          <w:p>
            <w:pPr>
              <w:spacing w:after="0"/>
              <w:rPr>
                <w:sz w:val="18"/>
                <w:szCs w:val="18"/>
                <w:color w:val="auto"/>
              </w:rPr>
            </w:pPr>
          </w:p>
        </w:tc>
        <w:tc>
          <w:tcPr>
            <w:tcW w:w="500" w:type="dxa"/>
            <w:vAlign w:val="bottom"/>
            <w:gridSpan w:val="4"/>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24,375</w:t>
            </w:r>
          </w:p>
        </w:tc>
        <w:tc>
          <w:tcPr>
            <w:tcW w:w="800" w:type="dxa"/>
            <w:vAlign w:val="bottom"/>
          </w:tcPr>
          <w:p>
            <w:pPr>
              <w:ind w:left="320"/>
              <w:spacing w:after="0"/>
              <w:rPr>
                <w:sz w:val="20"/>
                <w:szCs w:val="20"/>
                <w:color w:val="auto"/>
              </w:rPr>
            </w:pPr>
            <w:r>
              <w:rPr>
                <w:rFonts w:ascii="Arial" w:cs="Arial" w:eastAsia="Arial" w:hAnsi="Arial"/>
                <w:sz w:val="11"/>
                <w:szCs w:val="11"/>
                <w:color w:val="008000"/>
              </w:rPr>
              <w:t>(8)</w:t>
            </w:r>
          </w:p>
        </w:tc>
        <w:tc>
          <w:tcPr>
            <w:tcW w:w="760" w:type="dxa"/>
            <w:vAlign w:val="bottom"/>
          </w:tcPr>
          <w:p>
            <w:pPr>
              <w:ind w:left="80"/>
              <w:spacing w:after="0"/>
              <w:rPr>
                <w:sz w:val="20"/>
                <w:szCs w:val="20"/>
                <w:color w:val="auto"/>
              </w:rPr>
            </w:pPr>
            <w:r>
              <w:rPr>
                <w:rFonts w:ascii="Arial" w:cs="Arial" w:eastAsia="Arial" w:hAnsi="Arial"/>
                <w:sz w:val="13"/>
                <w:szCs w:val="13"/>
                <w:color w:val="0000FF"/>
              </w:rPr>
              <w:t>12/14/2020</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24,375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29,236</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1"/>
                <w:szCs w:val="11"/>
                <w:color w:val="0000FF"/>
              </w:rPr>
              <w:t>Stock</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1" w:lineRule="exact"/>
        <w:rPr>
          <w:rFonts w:ascii="Arial" w:cs="Arial" w:eastAsia="Arial" w:hAnsi="Arial"/>
          <w:sz w:val="13"/>
          <w:szCs w:val="13"/>
          <w:color w:val="008000"/>
        </w:rPr>
      </w:pPr>
    </w:p>
    <w:p>
      <w:pPr>
        <w:ind w:left="40" w:right="18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2,600 shares of Company stock on March 17, 2015 at prices ranging from $447.56 to $448.49. Upon request by the Commission staff, the Company, or a security holder of the Company, the reporting person will provide full information regarding the number of shares sold by the reporting person on March 17, 2015 at each separate price.</w:t>
      </w:r>
    </w:p>
    <w:p>
      <w:pPr>
        <w:ind w:left="40" w:right="28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300 shares of Company stock on March 17, 2015 at prices ranging from $448.60 to $449.01. Upon request by the Commission staff, the Company, or a security holder of the Company, the reporting person will provide full information regarding the number of shares sold by the reporting person on March 17, 2015 at each separate price.</w:t>
      </w:r>
    </w:p>
    <w:p>
      <w:pPr>
        <w:ind w:left="40" w:right="18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2,093 shares of Company stock on March 17, 2015 at prices ranging from $449.60 to $450.57. Upon request by the Commission staff, the Company, or a security holder of the Company, the reporting person will provide full information regarding the number of shares sold by the reporting person on March 17, 2015 at each separate price.</w:t>
      </w:r>
    </w:p>
    <w:p>
      <w:pPr>
        <w:ind w:left="40" w:right="28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700 shares of Company stock on March 17, 2015 at prices ranging from $450.75 to $451.09. Upon request by the Commission staff, the Company, or a security holder of the Company, the reporting person will provide full information regarding the number of shares sold by the reporting person on March 17, 2015 at each separate price.</w:t>
      </w:r>
    </w:p>
    <w:p>
      <w:pPr>
        <w:ind w:left="40" w:right="18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3,200 shares of Company stock on March 17, 2015 at prices ranging from $451.99 to $452.98. Upon request by the Commission staff, the Company, or a security holder of the Company, the reporting person will provide full information regarding the number of shares sold by the reporting person on March 17, 2015 at each separate price.</w:t>
      </w:r>
    </w:p>
    <w:p>
      <w:pPr>
        <w:ind w:left="40" w:right="180" w:firstLine="8"/>
        <w:spacing w:after="0" w:line="314"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1,700 shares of Company stock on March 17, 2015 at prices ranging from $452.99 to $453.73. Upon request by the Commission staff, the Company, or a security holder of the Company, the reporting person will provide full information regarding the number of shares sold by the reporting person on March 17, 2015 at each separate price.</w:t>
      </w:r>
    </w:p>
    <w:p>
      <w:pPr>
        <w:sectPr>
          <w:pgSz w:w="11900" w:h="16838" w:orient="portrait"/>
          <w:cols w:equalWidth="0" w:num="1">
            <w:col w:w="11520"/>
          </w:cols>
          <w:pgMar w:left="240" w:top="225" w:right="139" w:bottom="0" w:gutter="0" w:footer="0" w:header="0"/>
          <w:type w:val="continuous"/>
        </w:sectPr>
      </w:pPr>
    </w:p>
    <w:bookmarkStart w:id="1" w:name="page2"/>
    <w:bookmarkEnd w:id="1"/>
    <w:p>
      <w:pPr>
        <w:ind w:firstLine="8"/>
        <w:spacing w:after="0" w:line="272" w:lineRule="auto"/>
        <w:tabs>
          <w:tab w:leader="none" w:pos="13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2013, based upon the satisfaction by the company of certain performance criteria during the period ended December 31, 2013.</w:t>
      </w:r>
    </w:p>
    <w:p>
      <w:pPr>
        <w:spacing w:after="0" w:line="2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/s/**Robert J. Terifay</w:t>
            </w:r>
          </w:p>
        </w:tc>
        <w:tc>
          <w:tcPr>
            <w:tcW w:w="7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03/18/2015</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26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280" w:top="12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1382"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2019-12-24T06:25:14Z</dcterms:created>
  <dcterms:modified xsi:type="dcterms:W3CDTF">2019-12-24T06:25:14Z</dcterms:modified>
</cp:coreProperties>
</file>