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11, 2021 (January 11, 2021)</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REGENERON PHARMACEUTICALS,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17" w:lineRule="exact"/>
        <w:rPr>
          <w:sz w:val="24"/>
          <w:szCs w:val="24"/>
          <w:color w:val="auto"/>
        </w:rPr>
      </w:pPr>
    </w:p>
    <w:tbl>
      <w:tblPr>
        <w:tblLayout w:type="fixed"/>
        <w:tblInd w:w="880" w:type="dxa"/>
        <w:tblCellMar>
          <w:top w:w="0" w:type="dxa"/>
          <w:left w:w="0" w:type="dxa"/>
          <w:bottom w:w="0" w:type="dxa"/>
          <w:right w:w="0" w:type="dxa"/>
        </w:tblCellMar>
      </w:tblPr>
      <w:tr>
        <w:trPr>
          <w:trHeight w:val="211"/>
        </w:trPr>
        <w:tc>
          <w:tcPr>
            <w:tcW w:w="5540" w:type="dxa"/>
            <w:vAlign w:val="bottom"/>
          </w:tcPr>
          <w:p>
            <w:pPr>
              <w:jc w:val="center"/>
              <w:ind w:right="1462"/>
              <w:spacing w:after="0"/>
              <w:rPr>
                <w:sz w:val="20"/>
                <w:szCs w:val="20"/>
                <w:color w:val="auto"/>
              </w:rPr>
            </w:pPr>
            <w:r>
              <w:rPr>
                <w:rFonts w:ascii="Times New Roman" w:cs="Times New Roman" w:eastAsia="Times New Roman" w:hAnsi="Times New Roman"/>
                <w:sz w:val="18"/>
                <w:szCs w:val="18"/>
                <w:b w:val="1"/>
                <w:bCs w:val="1"/>
                <w:color w:val="auto"/>
                <w:w w:val="97"/>
              </w:rPr>
              <w:t>000-19034</w:t>
            </w:r>
          </w:p>
        </w:tc>
        <w:tc>
          <w:tcPr>
            <w:tcW w:w="2680" w:type="dxa"/>
            <w:vAlign w:val="bottom"/>
          </w:tcPr>
          <w:p>
            <w:pPr>
              <w:jc w:val="center"/>
              <w:ind w:left="1502"/>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147"/>
        </w:trPr>
        <w:tc>
          <w:tcPr>
            <w:tcW w:w="5540" w:type="dxa"/>
            <w:vAlign w:val="bottom"/>
          </w:tcPr>
          <w:p>
            <w:pPr>
              <w:jc w:val="center"/>
              <w:ind w:right="1462"/>
              <w:spacing w:after="0" w:line="14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50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5540" w:type="dxa"/>
            <w:vAlign w:val="bottom"/>
          </w:tcPr>
          <w:p>
            <w:pPr>
              <w:jc w:val="center"/>
              <w:ind w:right="14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00"/>
        </w:trPr>
        <w:tc>
          <w:tcPr>
            <w:tcW w:w="5540" w:type="dxa"/>
            <w:vAlign w:val="bottom"/>
          </w:tcPr>
          <w:p>
            <w:pPr>
              <w:jc w:val="center"/>
              <w:ind w:right="1482"/>
              <w:spacing w:after="0"/>
              <w:rPr>
                <w:sz w:val="20"/>
                <w:szCs w:val="20"/>
                <w:color w:val="auto"/>
              </w:rPr>
            </w:pPr>
            <w:r>
              <w:rPr>
                <w:rFonts w:ascii="Times New Roman" w:cs="Times New Roman" w:eastAsia="Times New Roman" w:hAnsi="Times New Roman"/>
                <w:sz w:val="18"/>
                <w:szCs w:val="18"/>
                <w:b w:val="1"/>
                <w:bCs w:val="1"/>
                <w:color w:val="auto"/>
                <w:w w:val="97"/>
              </w:rPr>
              <w:t>777 Old Saw Mill River Road, Tarrytown, New York</w:t>
            </w:r>
          </w:p>
        </w:tc>
        <w:tc>
          <w:tcPr>
            <w:tcW w:w="2680" w:type="dxa"/>
            <w:vAlign w:val="bottom"/>
          </w:tcPr>
          <w:p>
            <w:pPr>
              <w:jc w:val="center"/>
              <w:ind w:left="1502"/>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187"/>
        </w:trPr>
        <w:tc>
          <w:tcPr>
            <w:tcW w:w="5540" w:type="dxa"/>
            <w:vAlign w:val="bottom"/>
          </w:tcPr>
          <w:p>
            <w:pPr>
              <w:jc w:val="center"/>
              <w:ind w:right="14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jc w:val="center"/>
              <w:ind w:left="150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9"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2"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34"/>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r>
    </w:tbl>
    <w:p>
      <w:pPr>
        <w:spacing w:after="0" w:line="195" w:lineRule="exact"/>
        <w:rPr>
          <w:sz w:val="24"/>
          <w:szCs w:val="24"/>
          <w:color w:val="auto"/>
        </w:rPr>
      </w:pPr>
    </w:p>
    <w:p>
      <w:pPr>
        <w:ind w:right="60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9"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760095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4" w:lineRule="exact"/>
        <w:rPr>
          <w:sz w:val="20"/>
          <w:szCs w:val="20"/>
          <w:color w:val="auto"/>
        </w:rPr>
      </w:pPr>
    </w:p>
    <w:p>
      <w:pPr>
        <w:ind w:right="200" w:firstLine="320"/>
        <w:spacing w:after="0" w:line="262" w:lineRule="auto"/>
        <w:rPr>
          <w:sz w:val="20"/>
          <w:szCs w:val="20"/>
          <w:color w:val="auto"/>
        </w:rPr>
      </w:pPr>
      <w:r>
        <w:rPr>
          <w:rFonts w:ascii="Times New Roman" w:cs="Times New Roman" w:eastAsia="Times New Roman" w:hAnsi="Times New Roman"/>
          <w:sz w:val="18"/>
          <w:szCs w:val="18"/>
          <w:color w:val="auto"/>
        </w:rPr>
        <w:t>On January 11, 2021, at the virtual 39th Annual J.P. Morgan Healthcare Conference, Leonard S. Schleifer, M.D., Ph.D., President and Chief Executive Officer of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George D. Yancopoulos, M.D., Ph.D., President and Chief Scientific Officer of Regeneron, are providing a corporate update.</w:t>
      </w:r>
    </w:p>
    <w:p>
      <w:pPr>
        <w:spacing w:after="0" w:line="180" w:lineRule="exact"/>
        <w:rPr>
          <w:sz w:val="20"/>
          <w:szCs w:val="20"/>
          <w:color w:val="auto"/>
        </w:rPr>
      </w:pPr>
    </w:p>
    <w:p>
      <w:pPr>
        <w:ind w:right="100" w:firstLine="320"/>
        <w:spacing w:after="0" w:line="234" w:lineRule="auto"/>
        <w:rPr>
          <w:sz w:val="20"/>
          <w:szCs w:val="20"/>
          <w:color w:val="auto"/>
        </w:rPr>
      </w:pPr>
      <w:r>
        <w:rPr>
          <w:rFonts w:ascii="Times New Roman" w:cs="Times New Roman" w:eastAsia="Times New Roman" w:hAnsi="Times New Roman"/>
          <w:sz w:val="17"/>
          <w:szCs w:val="17"/>
          <w:color w:val="auto"/>
        </w:rPr>
        <w:t>The presentation includes information regarding the Company’s preliminary (unaudited) U.S. net product sales of EYLEA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(aflibercept) Injection of approximately $4.95 billion for the full year 2020 (based on preliminary (unaudited) fourth quarter 2020 U.S. net product sales of EYLEA of approximately $1.34 billion). Overall distributor inventory levels for EYLEA in the United States remained within the Company’s one-to-two-week targeted range.</w:t>
      </w:r>
    </w:p>
    <w:p>
      <w:pPr>
        <w:spacing w:after="0" w:line="195" w:lineRule="exact"/>
        <w:rPr>
          <w:sz w:val="20"/>
          <w:szCs w:val="20"/>
          <w:color w:val="auto"/>
        </w:rPr>
      </w:pPr>
    </w:p>
    <w:p>
      <w:pPr>
        <w:ind w:right="160" w:firstLine="320"/>
        <w:spacing w:after="0" w:line="257" w:lineRule="auto"/>
        <w:rPr>
          <w:sz w:val="20"/>
          <w:szCs w:val="20"/>
          <w:color w:val="auto"/>
        </w:rPr>
      </w:pPr>
      <w:r>
        <w:rPr>
          <w:rFonts w:ascii="Times New Roman" w:cs="Times New Roman" w:eastAsia="Times New Roman" w:hAnsi="Times New Roman"/>
          <w:sz w:val="18"/>
          <w:szCs w:val="18"/>
          <w:color w:val="auto"/>
        </w:rPr>
        <w:t>The presentation also includes information regarding the Company’s preliminary (unaudited) U.S. net product sales of casirivimab and imdevimab, the Company’s novel investigational dual-antibody therapy for COVID-19, of approximately $184 million for the full year 2020 (based on preliminary (unaudited) fourth quarter 2020 U.S. net product sales of casirivimab and imdevimab of approximately $144 million). The Company expects that the full 300,000 doses under the previously announced contract with the U.S. government will be fulfilled by the end of February 2021.</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4"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The information set forth under Item 2.02 of this Current Report on Form 8-K is incorporated by reference herein. A copy of the presentation referenced in Item 2.02 is furnished as Exhibit 99.1 to this Current Report on Form 8-K and is incorporated by reference in this Item 7.01.</w:t>
      </w:r>
    </w:p>
    <w:p>
      <w:pPr>
        <w:spacing w:after="0" w:line="163" w:lineRule="exact"/>
        <w:rPr>
          <w:sz w:val="20"/>
          <w:szCs w:val="20"/>
          <w:color w:val="auto"/>
        </w:rPr>
      </w:pPr>
    </w:p>
    <w:p>
      <w:pPr>
        <w:ind w:right="100" w:firstLine="320"/>
        <w:spacing w:after="0" w:line="257" w:lineRule="auto"/>
        <w:rPr>
          <w:sz w:val="20"/>
          <w:szCs w:val="20"/>
          <w:color w:val="auto"/>
        </w:rPr>
      </w:pPr>
      <w:r>
        <w:rPr>
          <w:rFonts w:ascii="Times New Roman" w:cs="Times New Roman" w:eastAsia="Times New Roman" w:hAnsi="Times New Roman"/>
          <w:sz w:val="18"/>
          <w:szCs w:val="18"/>
          <w:color w:val="auto"/>
        </w:rPr>
        <w:t>The information included in Item 2.02 and the information included or incorporated in Item 7.01 of this Current Report on Form 8-K,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0" w:lineRule="exact"/>
        <w:rPr>
          <w:sz w:val="20"/>
          <w:szCs w:val="20"/>
          <w:color w:val="auto"/>
        </w:rPr>
      </w:pPr>
    </w:p>
    <w:p>
      <w:pPr>
        <w:jc w:val="both"/>
        <w:ind w:left="800" w:right="360" w:hanging="786"/>
        <w:spacing w:after="0" w:line="262" w:lineRule="auto"/>
        <w:tabs>
          <w:tab w:leader="none" w:pos="78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Presentation by Leonard S. Schleifer, M.D., Ph.D., President and Chief Executive Officer of Regeneron Pharmaceuticals, Inc., and George D.</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Yancopoulos, M.D., Ph.D., President and Chief Scientific Officer of Regeneron Pharmaceuticals, Inc., at the virtual 39th Annual J.P. Morgan</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Healthcare Conference.</w:t>
        </w:r>
      </w:hyperlink>
    </w:p>
    <w:p>
      <w:pPr>
        <w:spacing w:after="0" w:line="17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2" w:lineRule="exact"/>
        <w:rPr>
          <w:rFonts w:ascii="Times New Roman" w:cs="Times New Roman" w:eastAsia="Times New Roman" w:hAnsi="Times New Roman"/>
          <w:sz w:val="18"/>
          <w:szCs w:val="18"/>
          <w:u w:val="single" w:color="auto"/>
          <w:color w:val="0000EE"/>
        </w:rPr>
      </w:pPr>
    </w:p>
    <w:p>
      <w:pPr>
        <w:ind w:firstLine="640"/>
        <w:spacing w:after="0" w:line="249" w:lineRule="auto"/>
        <w:rPr>
          <w:sz w:val="20"/>
          <w:szCs w:val="20"/>
          <w:color w:val="auto"/>
        </w:rPr>
      </w:pPr>
      <w:r>
        <w:rPr>
          <w:rFonts w:ascii="Times New Roman" w:cs="Times New Roman" w:eastAsia="Times New Roman" w:hAnsi="Times New Roman"/>
          <w:sz w:val="18"/>
          <w:szCs w:val="18"/>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whether and to what extent Regeneron will be able to supply the remaining doses of the casirivimab and imdevimab antibody cocktail under the terms of the agreement with U.S. government referenced in this Report (the “Manufacturing and Supply Agreement”), the amount of future payments (if any) Regeneron may receive pursuant to the Manufacturing and Supply Agreement, and whether the Manufacturing and Supply Agreement is terminated by the U.S. government or otherwise prior to completion; and the ability of Regeneron's collaborators, suppliers, or other third parties (as applicable) to perform manufacturing, filling, finishing, packaging, labeling, distribution, and other steps related to Regeneron’s products and product candidates, including the casirivimab and imdevimab antibody cocktail. A more complete description of these and other material risks can be found in Regeneron’s filings with the U.S. Securities and Exchange Commission, including its Form 10-K for the year ended December 31, 2019 and its Form 10-Q for the quarterly period ended September 30, 2020.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424815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6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00"/>
          </w:cols>
          <w:pgMar w:left="320" w:top="891" w:right="779" w:bottom="1440" w:gutter="0" w:footer="0" w:header="0"/>
        </w:sectPr>
      </w:pPr>
    </w:p>
    <w:bookmarkStart w:id="3" w:name="page4"/>
    <w:bookmarkEnd w:id="3"/>
    <w:p>
      <w:pPr>
        <w:ind w:left="90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171450</wp:posOffset>
            </wp:positionV>
            <wp:extent cx="7196455" cy="4354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0" w:num="1">
            <w:col w:w="10120"/>
          </w:cols>
          <w:pgMar w:left="1440" w:top="348"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97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4791075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2021-01-11T05:08:32Z</dcterms:created>
  <dcterms:modified xsi:type="dcterms:W3CDTF">2021-01-11T05:08:32Z</dcterms:modified>
</cp:coreProperties>
</file>