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4)</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75886F107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75886F107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6,299,572</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8,337,272</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8,371,472</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10.82%</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Regeneron Pharmaceuticals, Inc.</w:t>
      </w:r>
    </w:p>
    <w:p>
      <w:pPr>
        <w:spacing w:after="0" w:line="101" w:lineRule="exact"/>
        <w:rPr>
          <w:rFonts w:ascii="Arial" w:cs="Arial" w:eastAsia="Arial" w:hAnsi="Arial"/>
          <w:sz w:val="22"/>
          <w:szCs w:val="22"/>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777 Old Saw Mill River Road</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Tarrytown, NY 10591-6707</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75 State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02109</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75886F107</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20"/>
        <w:spacing w:after="0" w:line="274" w:lineRule="auto"/>
        <w:rPr>
          <w:rFonts w:ascii="Arial" w:cs="Arial" w:eastAsia="Arial" w:hAnsi="Arial"/>
          <w:sz w:val="22"/>
          <w:szCs w:val="22"/>
          <w:color w:val="auto"/>
        </w:rPr>
      </w:pPr>
      <w:r>
        <w:rPr>
          <w:rFonts w:ascii="Arial" w:cs="Arial" w:eastAsia="Arial" w:hAnsi="Arial"/>
          <w:sz w:val="21"/>
          <w:szCs w:val="21"/>
          <w:color w:val="auto"/>
        </w:rPr>
        <w:t>Wellington Management, in its capacity as investment adviser, may be deemed to beneficially own 8,371,472 shares of the Issuer which are held of record by clients of Wellington Management.</w:t>
      </w:r>
    </w:p>
    <w:p>
      <w:pPr>
        <w:spacing w:after="0" w:line="69"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10.82%</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6,299,572</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8,337,272</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w:t>
      </w:r>
    </w:p>
    <w:p>
      <w:pPr>
        <w:sectPr>
          <w:pgSz w:w="11900" w:h="16838" w:orient="portrait"/>
          <w:cols w:equalWidth="0" w:num="1">
            <w:col w:w="11260"/>
          </w:cols>
          <w:pgMar w:left="320" w:top="409" w:right="319" w:bottom="0" w:gutter="0" w:footer="0" w:header="0"/>
        </w:sectPr>
      </w:pPr>
    </w:p>
    <w:bookmarkStart w:id="3" w:name="page4"/>
    <w:bookmarkEnd w:id="3"/>
    <w:p>
      <w:pPr>
        <w:ind w:left="1380"/>
        <w:spacing w:after="0"/>
        <w:rPr>
          <w:sz w:val="20"/>
          <w:szCs w:val="20"/>
          <w:color w:val="auto"/>
        </w:rPr>
      </w:pPr>
      <w:r>
        <w:rPr>
          <w:rFonts w:ascii="Arial" w:cs="Arial" w:eastAsia="Arial" w:hAnsi="Arial"/>
          <w:sz w:val="19"/>
          <w:szCs w:val="19"/>
          <w:color w:val="auto"/>
        </w:rPr>
        <w:t>beneficial owner of more than five percent of the class of securities, check the following: [ ]</w:t>
      </w:r>
    </w:p>
    <w:p>
      <w:pPr>
        <w:sectPr>
          <w:pgSz w:w="11900" w:h="16838" w:orient="portrait"/>
          <w:cols w:equalWidth="0" w:num="1">
            <w:col w:w="11240"/>
          </w:cols>
          <w:pgMar w:left="320" w:top="118" w:right="3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17, 2009</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2019-12-10T09:25:07Z</dcterms:created>
  <dcterms:modified xsi:type="dcterms:W3CDTF">2019-12-10T09:25:07Z</dcterms:modified>
</cp:coreProperties>
</file>