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and Exchange Act of 1934</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January 9, 2009</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REGENERON PHARMACEUTICALS,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3"/>
          </w:tcPr>
          <w:p>
            <w:pPr>
              <w:jc w:val="center"/>
              <w:ind w:right="1300"/>
              <w:spacing w:after="0"/>
              <w:rPr>
                <w:sz w:val="20"/>
                <w:szCs w:val="20"/>
                <w:color w:val="auto"/>
              </w:rPr>
            </w:pPr>
            <w:r>
              <w:rPr>
                <w:rFonts w:ascii="Arial" w:cs="Arial" w:eastAsia="Arial" w:hAnsi="Arial"/>
                <w:sz w:val="18"/>
                <w:szCs w:val="18"/>
                <w:b w:val="1"/>
                <w:bCs w:val="1"/>
                <w:color w:val="auto"/>
                <w:w w:val="92"/>
              </w:rPr>
              <w:t>New York</w:t>
            </w:r>
          </w:p>
        </w:tc>
        <w:tc>
          <w:tcPr>
            <w:tcW w:w="2700" w:type="dxa"/>
            <w:vAlign w:val="bottom"/>
          </w:tcPr>
          <w:p>
            <w:pPr>
              <w:jc w:val="right"/>
              <w:ind w:right="1230"/>
              <w:spacing w:after="0"/>
              <w:rPr>
                <w:sz w:val="20"/>
                <w:szCs w:val="20"/>
                <w:color w:val="auto"/>
              </w:rPr>
            </w:pPr>
            <w:r>
              <w:rPr>
                <w:rFonts w:ascii="Arial" w:cs="Arial" w:eastAsia="Arial" w:hAnsi="Arial"/>
                <w:sz w:val="18"/>
                <w:szCs w:val="18"/>
                <w:b w:val="1"/>
                <w:bCs w:val="1"/>
                <w:color w:val="auto"/>
              </w:rPr>
              <w:t>000-19034</w:t>
            </w:r>
          </w:p>
        </w:tc>
        <w:tc>
          <w:tcPr>
            <w:tcW w:w="398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w w:val="89"/>
              </w:rPr>
              <w:t>13-3444607</w:t>
            </w:r>
          </w:p>
        </w:tc>
      </w:tr>
      <w:tr>
        <w:trPr>
          <w:trHeight w:val="205"/>
        </w:trPr>
        <w:tc>
          <w:tcPr>
            <w:tcW w:w="344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color w:val="auto"/>
                <w:w w:val="92"/>
              </w:rPr>
              <w:t>(State or other jurisdiction of</w:t>
            </w:r>
          </w:p>
        </w:tc>
        <w:tc>
          <w:tcPr>
            <w:tcW w:w="58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700" w:type="dxa"/>
            <w:vAlign w:val="bottom"/>
            <w:tcBorders>
              <w:top w:val="single" w:sz="8" w:color="auto"/>
            </w:tcBorders>
          </w:tcPr>
          <w:p>
            <w:pPr>
              <w:jc w:val="center"/>
              <w:ind w:right="630"/>
              <w:spacing w:after="0" w:line="205" w:lineRule="exact"/>
              <w:rPr>
                <w:sz w:val="20"/>
                <w:szCs w:val="20"/>
                <w:color w:val="auto"/>
              </w:rPr>
            </w:pPr>
            <w:r>
              <w:rPr>
                <w:rFonts w:ascii="Arial" w:cs="Arial" w:eastAsia="Arial" w:hAnsi="Arial"/>
                <w:sz w:val="18"/>
                <w:szCs w:val="18"/>
                <w:color w:val="auto"/>
                <w:w w:val="92"/>
              </w:rPr>
              <w:t>(Commission File Number)</w:t>
            </w:r>
          </w:p>
        </w:tc>
        <w:tc>
          <w:tcPr>
            <w:tcW w:w="560" w:type="dxa"/>
            <w:vAlign w:val="bottom"/>
          </w:tcPr>
          <w:p>
            <w:pPr>
              <w:spacing w:after="0"/>
              <w:rPr>
                <w:sz w:val="17"/>
                <w:szCs w:val="17"/>
                <w:color w:val="auto"/>
              </w:rPr>
            </w:pPr>
          </w:p>
        </w:tc>
        <w:tc>
          <w:tcPr>
            <w:tcW w:w="342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4740" w:type="dxa"/>
            <w:vAlign w:val="bottom"/>
            <w:gridSpan w:val="3"/>
          </w:tcPr>
          <w:p>
            <w:pPr>
              <w:jc w:val="center"/>
              <w:ind w:right="1300"/>
              <w:spacing w:after="0"/>
              <w:rPr>
                <w:sz w:val="20"/>
                <w:szCs w:val="20"/>
                <w:color w:val="auto"/>
              </w:rPr>
            </w:pPr>
            <w:r>
              <w:rPr>
                <w:rFonts w:ascii="Arial" w:cs="Arial" w:eastAsia="Arial" w:hAnsi="Arial"/>
                <w:sz w:val="18"/>
                <w:szCs w:val="18"/>
                <w:color w:val="auto"/>
                <w:w w:val="94"/>
              </w:rPr>
              <w:t>incorporation)</w:t>
            </w:r>
          </w:p>
        </w:tc>
        <w:tc>
          <w:tcPr>
            <w:tcW w:w="2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Number)</w:t>
            </w:r>
          </w:p>
        </w:tc>
      </w:tr>
      <w:tr>
        <w:trPr>
          <w:trHeight w:val="432"/>
        </w:trPr>
        <w:tc>
          <w:tcPr>
            <w:tcW w:w="474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7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2"/>
          </w:tcPr>
          <w:p>
            <w:pPr>
              <w:ind w:left="840"/>
              <w:spacing w:after="0"/>
              <w:rPr>
                <w:sz w:val="20"/>
                <w:szCs w:val="20"/>
                <w:color w:val="auto"/>
              </w:rPr>
            </w:pPr>
            <w:r>
              <w:rPr>
                <w:rFonts w:ascii="Arial" w:cs="Arial" w:eastAsia="Arial" w:hAnsi="Arial"/>
                <w:sz w:val="18"/>
                <w:szCs w:val="18"/>
                <w:b w:val="1"/>
                <w:bCs w:val="1"/>
                <w:color w:val="auto"/>
              </w:rPr>
              <w:t>10591-6707</w:t>
            </w:r>
          </w:p>
        </w:tc>
      </w:tr>
      <w:tr>
        <w:trPr>
          <w:trHeight w:val="228"/>
        </w:trPr>
        <w:tc>
          <w:tcPr>
            <w:tcW w:w="474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ind w:left="280"/>
              <w:spacing w:after="0"/>
              <w:rPr>
                <w:sz w:val="20"/>
                <w:szCs w:val="20"/>
                <w:color w:val="auto"/>
              </w:rPr>
            </w:pPr>
            <w:r>
              <w:rPr>
                <w:rFonts w:ascii="Arial" w:cs="Arial" w:eastAsia="Arial" w:hAnsi="Arial"/>
                <w:sz w:val="18"/>
                <w:szCs w:val="18"/>
                <w:b w:val="1"/>
                <w:bCs w:val="1"/>
                <w:color w:val="auto"/>
              </w:rPr>
              <w:t>(Zip Code)</w:t>
            </w: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(914) 347-7000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left="240"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registrant under any of the following provisions:</w:t>
      </w:r>
    </w:p>
    <w:p>
      <w:pPr>
        <w:spacing w:after="0" w:line="62"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7.01 Regulation FD Disclosure</w:t>
        </w:r>
      </w:hyperlink>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EX-99.A: SLIDES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Attached as Exhibit 99(a) are slides that Regeneron Pharmaceuticals, Inc. intends to use in conjunction with meetings with investors at the J.P.</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Morgan 27</w:t>
      </w:r>
      <w:r>
        <w:rPr>
          <w:rFonts w:ascii="Arial" w:cs="Arial" w:eastAsia="Arial" w:hAnsi="Arial"/>
          <w:sz w:val="15"/>
          <w:szCs w:val="15"/>
          <w:color w:val="auto"/>
        </w:rPr>
        <w:t>th</w:t>
      </w:r>
      <w:r>
        <w:rPr>
          <w:rFonts w:ascii="Arial" w:cs="Arial" w:eastAsia="Arial" w:hAnsi="Arial"/>
          <w:sz w:val="18"/>
          <w:szCs w:val="18"/>
          <w:color w:val="auto"/>
        </w:rPr>
        <w:t xml:space="preserve"> Annual Healthcare Conference in San Francisco on January 12-15,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 Exhibits</w:t>
      </w:r>
    </w:p>
    <w:p>
      <w:pPr>
        <w:spacing w:after="0" w:line="117" w:lineRule="exact"/>
        <w:rPr>
          <w:sz w:val="20"/>
          <w:szCs w:val="20"/>
          <w:color w:val="auto"/>
        </w:rPr>
      </w:pPr>
    </w:p>
    <w:p>
      <w:pPr>
        <w:ind w:left="700" w:firstLine="225"/>
        <w:spacing w:after="0" w:line="277" w:lineRule="auto"/>
        <w:rPr>
          <w:sz w:val="20"/>
          <w:szCs w:val="20"/>
          <w:color w:val="auto"/>
        </w:rPr>
      </w:pPr>
      <w:r>
        <w:rPr>
          <w:rFonts w:ascii="Arial" w:cs="Arial" w:eastAsia="Arial" w:hAnsi="Arial"/>
          <w:sz w:val="18"/>
          <w:szCs w:val="18"/>
          <w:color w:val="auto"/>
        </w:rPr>
        <w:t>99(a) Slides that Regeneron Pharmaceuticals, Inc. intends to use in conjunction with meetings with investors at the J.P. Morgan 27</w:t>
      </w:r>
      <w:r>
        <w:rPr>
          <w:rFonts w:ascii="Arial" w:cs="Arial" w:eastAsia="Arial" w:hAnsi="Arial"/>
          <w:sz w:val="15"/>
          <w:szCs w:val="15"/>
          <w:color w:val="auto"/>
        </w:rPr>
        <w:t>th</w:t>
      </w:r>
      <w:r>
        <w:rPr>
          <w:rFonts w:ascii="Arial" w:cs="Arial" w:eastAsia="Arial" w:hAnsi="Arial"/>
          <w:sz w:val="18"/>
          <w:szCs w:val="18"/>
          <w:color w:val="auto"/>
        </w:rPr>
        <w:t xml:space="preserve"> Annual Healthcare Conference in San Francisco on January 12-15, 2009.</w:t>
      </w:r>
    </w:p>
    <w:p>
      <w:pPr>
        <w:spacing w:after="0" w:line="14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419" w:right="6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firstLine="225"/>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6220" w:type="dxa"/>
            <w:vAlign w:val="bottom"/>
            <w:gridSpan w:val="2"/>
          </w:tcPr>
          <w:p>
            <w:pPr>
              <w:ind w:left="1840"/>
              <w:spacing w:after="0"/>
              <w:rPr>
                <w:sz w:val="20"/>
                <w:szCs w:val="20"/>
                <w:color w:val="auto"/>
              </w:rPr>
            </w:pPr>
            <w:r>
              <w:rPr>
                <w:rFonts w:ascii="Arial" w:cs="Arial" w:eastAsia="Arial" w:hAnsi="Arial"/>
                <w:sz w:val="18"/>
                <w:szCs w:val="18"/>
                <w:color w:val="auto"/>
              </w:rPr>
              <w:t>REGENERON PHARMACEUTICALS, INC.</w:t>
            </w:r>
          </w:p>
        </w:tc>
        <w:tc>
          <w:tcPr>
            <w:tcW w:w="1680" w:type="dxa"/>
            <w:vAlign w:val="bottom"/>
          </w:tcPr>
          <w:p>
            <w:pPr>
              <w:spacing w:after="0"/>
              <w:rPr>
                <w:sz w:val="20"/>
                <w:szCs w:val="20"/>
                <w:color w:val="auto"/>
              </w:rPr>
            </w:pP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Dated: January 9, 2009</w:t>
            </w:r>
          </w:p>
        </w:tc>
        <w:tc>
          <w:tcPr>
            <w:tcW w:w="6220" w:type="dxa"/>
            <w:vAlign w:val="bottom"/>
            <w:gridSpan w:val="2"/>
          </w:tcPr>
          <w:p>
            <w:pPr>
              <w:ind w:left="1840"/>
              <w:spacing w:after="0"/>
              <w:rPr>
                <w:sz w:val="20"/>
                <w:szCs w:val="20"/>
                <w:color w:val="auto"/>
              </w:rPr>
            </w:pPr>
            <w:r>
              <w:rPr>
                <w:rFonts w:ascii="Arial" w:cs="Arial" w:eastAsia="Arial" w:hAnsi="Arial"/>
                <w:sz w:val="18"/>
                <w:szCs w:val="18"/>
                <w:color w:val="auto"/>
              </w:rPr>
              <w:t>By: /s/ Stuart Kolinski</w:t>
            </w:r>
          </w:p>
        </w:tc>
        <w:tc>
          <w:tcPr>
            <w:tcW w:w="1680" w:type="dxa"/>
            <w:vAlign w:val="bottom"/>
          </w:tcPr>
          <w:p>
            <w:pPr>
              <w:spacing w:after="0"/>
              <w:rPr>
                <w:sz w:val="24"/>
                <w:szCs w:val="24"/>
                <w:color w:val="auto"/>
              </w:rPr>
            </w:pPr>
          </w:p>
        </w:tc>
      </w:tr>
      <w:tr>
        <w:trPr>
          <w:trHeight w:val="195"/>
        </w:trPr>
        <w:tc>
          <w:tcPr>
            <w:tcW w:w="35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Stuart Kolinski</w:t>
            </w:r>
          </w:p>
        </w:tc>
        <w:tc>
          <w:tcPr>
            <w:tcW w:w="1680" w:type="dxa"/>
            <w:vAlign w:val="bottom"/>
          </w:tcPr>
          <w:p>
            <w:pPr>
              <w:spacing w:after="0"/>
              <w:rPr>
                <w:sz w:val="16"/>
                <w:szCs w:val="16"/>
                <w:color w:val="auto"/>
              </w:rPr>
            </w:pPr>
          </w:p>
        </w:tc>
      </w:tr>
      <w:tr>
        <w:trPr>
          <w:trHeight w:val="230"/>
        </w:trPr>
        <w:tc>
          <w:tcPr>
            <w:tcW w:w="35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 and General Counsel</w:t>
            </w:r>
          </w:p>
        </w:tc>
        <w:tc>
          <w:tcPr>
            <w:tcW w:w="1680" w:type="dxa"/>
            <w:vAlign w:val="bottom"/>
          </w:tcPr>
          <w:p>
            <w:pPr>
              <w:spacing w:after="0"/>
              <w:rPr>
                <w:sz w:val="20"/>
                <w:szCs w:val="20"/>
                <w:color w:val="auto"/>
              </w:rPr>
            </w:pPr>
          </w:p>
        </w:tc>
      </w:tr>
      <w:tr>
        <w:trPr>
          <w:trHeight w:val="405"/>
        </w:trPr>
        <w:tc>
          <w:tcPr>
            <w:tcW w:w="3520" w:type="dxa"/>
            <w:vAlign w:val="bottom"/>
          </w:tcPr>
          <w:p>
            <w:pPr>
              <w:spacing w:after="0"/>
              <w:rPr>
                <w:sz w:val="24"/>
                <w:szCs w:val="24"/>
                <w:color w:val="auto"/>
              </w:rPr>
            </w:pPr>
          </w:p>
        </w:tc>
        <w:tc>
          <w:tcPr>
            <w:tcW w:w="6220" w:type="dxa"/>
            <w:vAlign w:val="bottom"/>
            <w:gridSpan w:val="2"/>
          </w:tcPr>
          <w:p>
            <w:pPr>
              <w:jc w:val="right"/>
              <w:ind w:right="3890"/>
              <w:spacing w:after="0"/>
              <w:rPr>
                <w:sz w:val="20"/>
                <w:szCs w:val="20"/>
                <w:color w:val="auto"/>
              </w:rPr>
            </w:pPr>
            <w:r>
              <w:rPr>
                <w:rFonts w:ascii="Arial" w:cs="Arial" w:eastAsia="Arial" w:hAnsi="Arial"/>
                <w:sz w:val="18"/>
                <w:szCs w:val="18"/>
                <w:color w:val="auto"/>
              </w:rPr>
              <w:t>3</w:t>
            </w:r>
          </w:p>
        </w:tc>
        <w:tc>
          <w:tcPr>
            <w:tcW w:w="1680" w:type="dxa"/>
            <w:vAlign w:val="bottom"/>
          </w:tcPr>
          <w:p>
            <w:pPr>
              <w:spacing w:after="0"/>
              <w:rPr>
                <w:sz w:val="24"/>
                <w:szCs w:val="24"/>
                <w:color w:val="auto"/>
              </w:rPr>
            </w:pPr>
          </w:p>
        </w:tc>
      </w:tr>
      <w:tr>
        <w:trPr>
          <w:trHeight w:val="226"/>
        </w:trPr>
        <w:tc>
          <w:tcPr>
            <w:tcW w:w="352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6" w:lineRule="exact"/>
        <w:rPr>
          <w:sz w:val="20"/>
          <w:szCs w:val="20"/>
          <w:color w:val="auto"/>
        </w:rPr>
      </w:pPr>
    </w:p>
    <w:p>
      <w:pPr>
        <w:ind w:left="820" w:hanging="819"/>
        <w:spacing w:after="0" w:line="277" w:lineRule="auto"/>
        <w:tabs>
          <w:tab w:leader="none" w:pos="800" w:val="left"/>
        </w:tabs>
        <w:rPr>
          <w:sz w:val="20"/>
          <w:szCs w:val="20"/>
          <w:color w:val="auto"/>
        </w:rPr>
      </w:pPr>
      <w:r>
        <w:rPr>
          <w:rFonts w:ascii="Arial" w:cs="Arial" w:eastAsia="Arial" w:hAnsi="Arial"/>
          <w:sz w:val="18"/>
          <w:szCs w:val="18"/>
          <w:color w:val="auto"/>
        </w:rPr>
        <w:t>99(a)</w:t>
      </w:r>
      <w:r>
        <w:rPr>
          <w:sz w:val="20"/>
          <w:szCs w:val="20"/>
          <w:color w:val="auto"/>
        </w:rPr>
        <w:tab/>
      </w:r>
      <w:r>
        <w:rPr>
          <w:rFonts w:ascii="Arial" w:cs="Arial" w:eastAsia="Arial" w:hAnsi="Arial"/>
          <w:sz w:val="18"/>
          <w:szCs w:val="18"/>
          <w:color w:val="auto"/>
        </w:rPr>
        <w:t>Slides that Regeneron Pharmaceuticals, Inc. intends to use in conjunction with meetings with investors at the J.P. Morgan 27</w:t>
      </w:r>
      <w:r>
        <w:rPr>
          <w:rFonts w:ascii="Arial" w:cs="Arial" w:eastAsia="Arial" w:hAnsi="Arial"/>
          <w:sz w:val="15"/>
          <w:szCs w:val="15"/>
          <w:color w:val="auto"/>
        </w:rPr>
        <w:t>th</w:t>
      </w:r>
      <w:r>
        <w:rPr>
          <w:rFonts w:ascii="Arial" w:cs="Arial" w:eastAsia="Arial" w:hAnsi="Arial"/>
          <w:sz w:val="18"/>
          <w:szCs w:val="18"/>
          <w:color w:val="auto"/>
        </w:rPr>
        <w:t xml:space="preserve"> Annual Healthcare Conference in San Francisco on January 12-15, 2009.</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240" w:top="419" w:right="359" w:bottom="1440" w:gutter="0" w:footer="0" w:header="0"/>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4847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81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4881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72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4872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901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4890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64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4864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990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4899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729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4872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901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4890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64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4864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901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4890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64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4864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729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4872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81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4881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81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4881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304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4830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901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4890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901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4890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990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4899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603250</wp:posOffset>
            </wp:positionV>
            <wp:extent cx="6174740" cy="46310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2019-12-10T09:08:51Z</dcterms:created>
  <dcterms:modified xsi:type="dcterms:W3CDTF">2019-12-10T09:08:51Z</dcterms:modified>
</cp:coreProperties>
</file>