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8, 2022 (March 2, 2022)</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60" w:type="dxa"/>
        <w:tblCellMar>
          <w:top w:w="0" w:type="dxa"/>
          <w:left w:w="0" w:type="dxa"/>
          <w:bottom w:w="0" w:type="dxa"/>
          <w:right w:w="0" w:type="dxa"/>
        </w:tblCellMar>
      </w:tblPr>
      <w:tr>
        <w:trPr>
          <w:trHeight w:val="220"/>
        </w:trPr>
        <w:tc>
          <w:tcPr>
            <w:tcW w:w="2640" w:type="dxa"/>
            <w:vAlign w:val="bottom"/>
          </w:tcPr>
          <w:p>
            <w:pPr>
              <w:jc w:val="center"/>
              <w:ind w:right="470"/>
              <w:spacing w:after="0"/>
              <w:rPr>
                <w:sz w:val="20"/>
                <w:szCs w:val="20"/>
                <w:color w:val="auto"/>
              </w:rPr>
            </w:pPr>
            <w:r>
              <w:rPr>
                <w:rFonts w:ascii="Arial" w:cs="Arial" w:eastAsia="Arial" w:hAnsi="Arial"/>
                <w:sz w:val="18"/>
                <w:szCs w:val="18"/>
                <w:b w:val="1"/>
                <w:bCs w:val="1"/>
                <w:color w:val="auto"/>
                <w:w w:val="92"/>
              </w:rPr>
              <w:t>New York</w:t>
            </w:r>
          </w:p>
        </w:tc>
        <w:tc>
          <w:tcPr>
            <w:tcW w:w="6080" w:type="dxa"/>
            <w:vAlign w:val="bottom"/>
          </w:tcPr>
          <w:p>
            <w:pPr>
              <w:jc w:val="center"/>
              <w:spacing w:after="0"/>
              <w:rPr>
                <w:sz w:val="20"/>
                <w:szCs w:val="20"/>
                <w:color w:val="auto"/>
              </w:rPr>
            </w:pPr>
            <w:r>
              <w:rPr>
                <w:rFonts w:ascii="Arial" w:cs="Arial" w:eastAsia="Arial" w:hAnsi="Arial"/>
                <w:sz w:val="18"/>
                <w:szCs w:val="18"/>
                <w:b w:val="1"/>
                <w:bCs w:val="1"/>
                <w:color w:val="auto"/>
                <w:w w:val="90"/>
              </w:rPr>
              <w:t>000-19034</w:t>
            </w:r>
          </w:p>
        </w:tc>
        <w:tc>
          <w:tcPr>
            <w:tcW w:w="1920" w:type="dxa"/>
            <w:vAlign w:val="bottom"/>
          </w:tcPr>
          <w:p>
            <w:pPr>
              <w:jc w:val="center"/>
              <w:ind w:left="490"/>
              <w:spacing w:after="0"/>
              <w:rPr>
                <w:sz w:val="20"/>
                <w:szCs w:val="20"/>
                <w:color w:val="auto"/>
              </w:rPr>
            </w:pPr>
            <w:r>
              <w:rPr>
                <w:rFonts w:ascii="Arial" w:cs="Arial" w:eastAsia="Arial" w:hAnsi="Arial"/>
                <w:sz w:val="18"/>
                <w:szCs w:val="18"/>
                <w:b w:val="1"/>
                <w:bCs w:val="1"/>
                <w:color w:val="auto"/>
                <w:w w:val="89"/>
              </w:rPr>
              <w:t>13-3444607</w:t>
            </w:r>
          </w:p>
        </w:tc>
      </w:tr>
      <w:tr>
        <w:trPr>
          <w:trHeight w:val="216"/>
        </w:trPr>
        <w:tc>
          <w:tcPr>
            <w:tcW w:w="2640" w:type="dxa"/>
            <w:vAlign w:val="bottom"/>
          </w:tcPr>
          <w:p>
            <w:pPr>
              <w:jc w:val="center"/>
              <w:ind w:right="470"/>
              <w:spacing w:after="0"/>
              <w:rPr>
                <w:sz w:val="20"/>
                <w:szCs w:val="20"/>
                <w:color w:val="auto"/>
              </w:rPr>
            </w:pPr>
            <w:r>
              <w:rPr>
                <w:rFonts w:ascii="Arial" w:cs="Arial" w:eastAsia="Arial" w:hAnsi="Arial"/>
                <w:sz w:val="18"/>
                <w:szCs w:val="18"/>
                <w:color w:val="auto"/>
                <w:w w:val="92"/>
              </w:rPr>
              <w:t>(State or other jurisdiction of</w:t>
            </w:r>
          </w:p>
        </w:tc>
        <w:tc>
          <w:tcPr>
            <w:tcW w:w="608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1920" w:type="dxa"/>
            <w:vAlign w:val="bottom"/>
          </w:tcPr>
          <w:p>
            <w:pPr>
              <w:jc w:val="center"/>
              <w:ind w:left="490"/>
              <w:spacing w:after="0"/>
              <w:rPr>
                <w:sz w:val="20"/>
                <w:szCs w:val="20"/>
                <w:color w:val="auto"/>
              </w:rPr>
            </w:pPr>
            <w:r>
              <w:rPr>
                <w:rFonts w:ascii="Arial" w:cs="Arial" w:eastAsia="Arial" w:hAnsi="Arial"/>
                <w:sz w:val="18"/>
                <w:szCs w:val="18"/>
                <w:color w:val="auto"/>
                <w:w w:val="92"/>
              </w:rPr>
              <w:t>(I.R.S. Employer</w:t>
            </w:r>
          </w:p>
        </w:tc>
      </w:tr>
      <w:tr>
        <w:trPr>
          <w:trHeight w:val="230"/>
        </w:trPr>
        <w:tc>
          <w:tcPr>
            <w:tcW w:w="2640" w:type="dxa"/>
            <w:vAlign w:val="bottom"/>
          </w:tcPr>
          <w:p>
            <w:pPr>
              <w:jc w:val="center"/>
              <w:ind w:right="470"/>
              <w:spacing w:after="0"/>
              <w:rPr>
                <w:sz w:val="20"/>
                <w:szCs w:val="20"/>
                <w:color w:val="auto"/>
              </w:rPr>
            </w:pPr>
            <w:r>
              <w:rPr>
                <w:rFonts w:ascii="Arial" w:cs="Arial" w:eastAsia="Arial" w:hAnsi="Arial"/>
                <w:sz w:val="18"/>
                <w:szCs w:val="18"/>
                <w:color w:val="auto"/>
                <w:w w:val="94"/>
              </w:rPr>
              <w:t>incorporation)</w:t>
            </w:r>
          </w:p>
        </w:tc>
        <w:tc>
          <w:tcPr>
            <w:tcW w:w="6080" w:type="dxa"/>
            <w:vAlign w:val="bottom"/>
          </w:tcPr>
          <w:p>
            <w:pPr>
              <w:spacing w:after="0"/>
              <w:rPr>
                <w:sz w:val="20"/>
                <w:szCs w:val="20"/>
                <w:color w:val="auto"/>
              </w:rPr>
            </w:pPr>
          </w:p>
        </w:tc>
        <w:tc>
          <w:tcPr>
            <w:tcW w:w="1920" w:type="dxa"/>
            <w:vAlign w:val="bottom"/>
          </w:tcPr>
          <w:p>
            <w:pPr>
              <w:jc w:val="center"/>
              <w:ind w:left="4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640" w:type="dxa"/>
            <w:vAlign w:val="bottom"/>
          </w:tcPr>
          <w:p>
            <w:pPr>
              <w:spacing w:after="0"/>
              <w:rPr>
                <w:sz w:val="24"/>
                <w:szCs w:val="24"/>
                <w:color w:val="auto"/>
              </w:rPr>
            </w:pPr>
          </w:p>
        </w:tc>
        <w:tc>
          <w:tcPr>
            <w:tcW w:w="6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920" w:type="dxa"/>
            <w:vAlign w:val="bottom"/>
          </w:tcPr>
          <w:p>
            <w:pPr>
              <w:spacing w:after="0"/>
              <w:rPr>
                <w:sz w:val="24"/>
                <w:szCs w:val="24"/>
                <w:color w:val="auto"/>
              </w:rPr>
            </w:pPr>
          </w:p>
        </w:tc>
      </w:tr>
      <w:tr>
        <w:trPr>
          <w:trHeight w:val="230"/>
        </w:trPr>
        <w:tc>
          <w:tcPr>
            <w:tcW w:w="2640" w:type="dxa"/>
            <w:vAlign w:val="bottom"/>
          </w:tcPr>
          <w:p>
            <w:pPr>
              <w:spacing w:after="0"/>
              <w:rPr>
                <w:sz w:val="20"/>
                <w:szCs w:val="20"/>
                <w:color w:val="auto"/>
              </w:rPr>
            </w:pPr>
          </w:p>
        </w:tc>
        <w:tc>
          <w:tcPr>
            <w:tcW w:w="6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92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980" w:hanging="3552"/>
        <w:spacing w:after="0" w:line="572" w:lineRule="auto"/>
        <w:tabs>
          <w:tab w:leader="none" w:pos="2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3"/>
        </w:trPr>
        <w:tc>
          <w:tcPr>
            <w:tcW w:w="4760" w:type="dxa"/>
            <w:vAlign w:val="bottom"/>
            <w:tcBorders>
              <w:top w:val="single" w:sz="8" w:color="auto"/>
              <w:left w:val="single" w:sz="8" w:color="auto"/>
              <w:right w:val="single" w:sz="8" w:color="auto"/>
            </w:tcBorders>
          </w:tcPr>
          <w:p>
            <w:pPr>
              <w:spacing w:after="0"/>
              <w:rPr>
                <w:sz w:val="16"/>
                <w:szCs w:val="16"/>
                <w:color w:val="auto"/>
              </w:rPr>
            </w:pPr>
          </w:p>
        </w:tc>
        <w:tc>
          <w:tcPr>
            <w:tcW w:w="2240" w:type="dxa"/>
            <w:vAlign w:val="bottom"/>
            <w:tcBorders>
              <w:top w:val="single" w:sz="8" w:color="auto"/>
              <w:right w:val="single" w:sz="8" w:color="auto"/>
            </w:tcBorders>
          </w:tcPr>
          <w:p>
            <w:pPr>
              <w:spacing w:after="0"/>
              <w:rPr>
                <w:sz w:val="16"/>
                <w:szCs w:val="16"/>
                <w:color w:val="auto"/>
              </w:rPr>
            </w:pPr>
          </w:p>
        </w:tc>
        <w:tc>
          <w:tcPr>
            <w:tcW w:w="4240" w:type="dxa"/>
            <w:vAlign w:val="bottom"/>
            <w:tcBorders>
              <w:top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86"/>
              </w:rPr>
              <w:t>Name of each exchange</w:t>
            </w:r>
          </w:p>
        </w:tc>
      </w:tr>
      <w:tr>
        <w:trPr>
          <w:trHeight w:val="234"/>
        </w:trPr>
        <w:tc>
          <w:tcPr>
            <w:tcW w:w="4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0"/>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6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March 2, 2022, Regeneron Pharmaceuticals, Inc. (“Regeneron” or the “Company”) and/or certain of its subsidiaries entered into certain agreements related to a five-year extension of the term of a $720.0 million lease financing that was originally completed on March 3, 2017 for the Company’s existing corporate headquarters and other rentable area consisting of approximately 150 acres of predominately office buildings and laboratory space located in the towns of Mount Pleasant and Greenburgh, New York (the “Facility”). In 2016, the Company entered into a Purchase Agreement (the “Purchase Agreement”) with the then lessor, pursuant to which the Company agreed to purchase the Facility for a purchase price of $720.0 million. In March 2017, Old Saw Mill Holdings LLC, a wholly owned subsidiary of the Company (the “Lessee”), entered into a Participation Agreement (as previously amended and restated, the “Original Participation Agreement”) with Bank of America, N.A., as administrative agent (in such capacity, the “Administrative Agent”), BA Leasing BSC, LLC, an affiliate of Banc of America Leasing &amp; Capital, LLC, as lessor (in such capacity, the “Lessor”), and a syndicate of lenders, which provided for lease financing in connection with the acquisition by the Lessor of the Facility and the Lessee’s lease of the Facility from the Lessor for an initial term of five years. In March 2017, the right to take title to the Facility under the Purchase Agreement was assigned to the Lessor, and the Lessor and a syndicate of lenders advanced $720.0 million, which was used by the Lessor in March 2017 to finance the purchase price for the Facility.</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described in greater detail below, the Original Participation Agreement and certain related agreements that were originally entered into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2017 were amended and restated in order to, among other things, (i) effect a five-year extension of the original March 2022 maturity date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$720.0 million lease financing and the end of the term of the Lessee’s lease of the Facility from the Lessor, and (ii) modify the rate of the interest or yield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is payable to the Participants (as defined below) on their outstanding advances thereunder.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Restated Participation Agreement</w:t>
      </w:r>
    </w:p>
    <w:p>
      <w:pPr>
        <w:spacing w:after="0" w:line="15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On March 2, 2022, the Lessee entered into a Second Amended and Restated Participation Agreement, dated as of March 2, 2022, and effective as of March 3, 2022 (the “Restated Participation Agreement”) with the Administrative Agent, the Lessor, and a syndicate of financial institutions as rent assignees (collectively with the Lessor, the “Participants”), which amends and restates the Original Participation Agreement. The Restated Participation Agreement and certain related documents govern the $720.0 million lease financing that was previously advanced in March 2017 to finance the purchase price for the Facility and to reimburse the Company for certain payments previously made by it in connection with such acquisition.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Restated Lease</w:t>
      </w:r>
    </w:p>
    <w:p>
      <w:pPr>
        <w:spacing w:after="0" w:line="15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connection with the Restated Participation Agreement, the Lessee also entered into a Second Amended and Restated Lease and Remedies Agreement, dated as of March 2, 2022, and effective as of March 3, 2022 (the “Restated Lease”), with the Lessor, which amends, restates, and extends the Lessee’s lease of the Facility and certain related assets that was originally entered into in March 2017 by the Lessee and the Lessor. Pursuant to the Restated Lease, the term of the lease was extended for a five-year period ending in March 2027, and the Lessee has granted a security interest in certain of its assets and rights to secure certain obligations under the Restated Participation Agreement, the Restated Lease, and certain related documents. The Restated Lease continues to be a triple-net lease requiring the Lessee, among other things, to pay during the term of the Restated Lease all maintenance, insurance, taxes, and other costs arising out of the use of the Facility (which are offset in part by payments received by the Lessee from third-party tenants to whom certain parts of the Facility are subleased from the Lessee). The Restated Lease also requires that the Lessee make monthly payments of basic rent during the remaining term of the Restated Lease in an amount equal to the yield payable to the Participants on their outstanding advances under the Restated Participation Agreement. Such advances accrue yield at a variable rate per annum based on the one-month forward-looking Secured Overnight Financing (SOFR) term rate, plus a spread adjustment, plus an applicable margin that varies with the Company’s debt rating and total leverage ratio.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Restated Guaranty</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and its wholly owned subsidiaries Regeneron Healthcare Solutions, Inc. and Regeneron Genetics Center LLC, on a joint and several basis, continue to guarantee all of the Lessee’s obligations under the Restated Participation Agreement, the Restated Lease, and certain related documents pursuant to a Second Amended and Restated Guaranty, dated as of March 2, 2022, and effective as of March 3, 2022 (the “Restated Guaranty,” and together with the Restated Participation Agreement and the Restated Lease, the “Restated Agreements”), made by the Company and such subsidiaries, as guarantors.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Operating Covenants; Other Terms</w:t>
      </w:r>
    </w:p>
    <w:p>
      <w:pPr>
        <w:spacing w:after="0" w:line="15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Restated Agreements contain financial and operating covenants, which are substantially similar to the covenants set forth in that certain Credit Agreement, dated as of December 14, 2018, as previously amended (the “Credit Agreement”), by and among the Company, the subsidiary borrowers party thereto from time to time, the lenders party thereto from time to time, and JPMorgan Chase Bank, N.A., as administrative agent, governing Regeneron’s existing revolving credit facility, except for such matters specifically relating to the Facility or the lease financing nature of the transactions contemplated by the Restated Agreements. Financial covenants include a maximum total leverage ratio and a minimum interest expense coverage ratio. Operating covenants include, among other things, limitations on (i) the incurrence of indebtedness by the Company’s subsidiaries, (ii) liens on assets of the Company and its subsidiaries and liens on the Facility, (iii) certain fundamental changes and the disposition of assets by the Company and its subsidiaries,</w:t>
      </w:r>
    </w:p>
    <w:p>
      <w:pPr>
        <w:spacing w:after="0" w:line="2" w:lineRule="exact"/>
        <w:rPr>
          <w:sz w:val="20"/>
          <w:szCs w:val="20"/>
          <w:color w:val="auto"/>
        </w:rPr>
      </w:pPr>
    </w:p>
    <w:p>
      <w:pPr>
        <w:ind w:right="100" w:firstLine="8"/>
        <w:spacing w:after="0" w:line="270" w:lineRule="auto"/>
        <w:tabs>
          <w:tab w:leader="none" w:pos="305" w:val="left"/>
        </w:tabs>
        <w:numPr>
          <w:ilvl w:val="0"/>
          <w:numId w:val="2"/>
        </w:numPr>
        <w:rPr>
          <w:rFonts w:ascii="Arial" w:cs="Arial" w:eastAsia="Arial" w:hAnsi="Arial"/>
          <w:sz w:val="17"/>
          <w:szCs w:val="17"/>
          <w:color w:val="auto"/>
        </w:rPr>
      </w:pPr>
      <w:r>
        <w:rPr>
          <w:rFonts w:ascii="Arial" w:cs="Arial" w:eastAsia="Arial" w:hAnsi="Arial"/>
          <w:sz w:val="17"/>
          <w:szCs w:val="17"/>
          <w:color w:val="auto"/>
        </w:rPr>
        <w:t>entering into affiliate transactions, and (v) the payment of dividends, distributions, and certain other restricted payments in respect of the capital stock of the Company and its subsidiaries (the “Restricted Payments Covenant”). Similar to the Credit Agreement, the Restricted Payments Covenant allows the Company, so long as no event of default exists, to make payments that would otherwise be restricted if at the time of the making of any such payment and immediately thereafter it meets a specified total leverage ratio requirement. The Restated Agreements contain other customary covenants, representations and warranties, and events of default. The Restated Lease also continues to include certain early termination events relating to the occurrence of certain material events of loss or material environmental events relating to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Maturity Date; Additional Extension Option; Termination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Pursuant to the Restated Agreements, the maturity date for the $720.0 million of advances and the end of the term of the Lessee’s lease of the Facility from the Lessor were extended by a five-year period to March 3, 2027, at which time all amounts outstanding thereunder will become due and payable in full. The Restated Participation Agreement and the Restated Lease include an option for the Lessee to elect to extend the maturity date of the Restated Participation Agreement and the term of the Restated Lease for an additional five-year period, subject to the consent of all the Participants and certain other conditions. The Lessee also has the option prior to the end of the term of the Restated Lease to (a) purchase the Facility by paying an amount equal to the outstanding principal amount of the Participants’ advances under the Restated Participation Agreement, all accrued and unpaid yield thereon, and all other outstanding amounts under the Restated Agreements and certain related documents or (b) sell the Facility to a third party on behalf of the Lessor, in each case, subject to certain terms and conditions set forth in the Restated Participation Agreement and the Restated Lease. Outstanding advances under the Restated Participation Agreement and outstanding obligations under the Restated Lease may be prepaid at any time without premium or penalty, subject to customary breakage costs.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foregoing description of the Restated Participation Agreement, the Restated Lease, and the Restated Guaranty is qualified in its entirety by reference to the full and complete text of such agreements, copies of which are attached hereto as Exhibits 10.1, 10.2, and 10.3, respectively, and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information set forth in Item 1.01 above with respect to the Restated Agreements is hereby incorporated by reference into this Item 2.03 insofar as it relates to the creation of a direct financial obligation.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060" w:hanging="40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5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6640" w:type="dxa"/>
            <w:vAlign w:val="bottom"/>
            <w:gridSpan w:val="6"/>
          </w:tcPr>
          <w:p>
            <w:pPr>
              <w:ind w:left="8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20" w:type="dxa"/>
            <w:vAlign w:val="bottom"/>
            <w:tcBorders>
              <w:top w:val="single" w:sz="8" w:color="auto"/>
            </w:tcBorders>
          </w:tcPr>
          <w:p>
            <w:pPr>
              <w:spacing w:after="0" w:line="169"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w:t>
              </w:r>
            </w:hyperlink>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8"/>
          </w:tcPr>
          <w:p>
            <w:pPr>
              <w:spacing w:after="0" w:line="169"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Second Amended and Restated Participation Agreement, dated as of March 2, 2022, by and among Old Saw Mill Holdings LLC, as</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lessee, Bank of America, N.A., as administrative agent, BA Leasing BSC, LLC, as lessor, and the rent assignees party thereto from time</w:t>
              </w:r>
            </w:hyperlink>
          </w:p>
        </w:tc>
        <w:tc>
          <w:tcPr>
            <w:tcW w:w="8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to time.</w:t>
              </w:r>
            </w:hyperlink>
          </w:p>
        </w:tc>
      </w:tr>
      <w:tr>
        <w:trPr>
          <w:trHeight w:val="20"/>
        </w:trPr>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420" w:type="dxa"/>
            <w:vAlign w:val="bottom"/>
          </w:tcPr>
          <w:p>
            <w:pPr>
              <w:spacing w:after="0" w:line="196" w:lineRule="exact"/>
              <w:rPr>
                <w:rFonts w:ascii="Arial" w:cs="Arial" w:eastAsia="Arial" w:hAnsi="Arial"/>
                <w:sz w:val="18"/>
                <w:szCs w:val="18"/>
                <w:color w:val="0000EE"/>
                <w:w w:val="95"/>
              </w:rPr>
            </w:pPr>
            <w:hyperlink w:anchor="page137">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rFonts w:ascii="Arial" w:cs="Arial" w:eastAsia="Arial" w:hAnsi="Arial"/>
                <w:sz w:val="18"/>
                <w:szCs w:val="18"/>
                <w:color w:val="0000EE"/>
                <w:w w:val="92"/>
              </w:rPr>
            </w:pPr>
            <w:hyperlink w:anchor="page137">
              <w:r>
                <w:rPr>
                  <w:rFonts w:ascii="Arial" w:cs="Arial" w:eastAsia="Arial" w:hAnsi="Arial"/>
                  <w:sz w:val="18"/>
                  <w:szCs w:val="18"/>
                  <w:color w:val="0000EE"/>
                  <w:w w:val="92"/>
                </w:rPr>
                <w:t>Second Amended and Restated Lease and Remedies Agreement, dated as of March 2, 2022, between Old Saw Mill Holdings LLC, as</w:t>
              </w:r>
            </w:hyperlink>
          </w:p>
        </w:tc>
      </w:tr>
      <w:tr>
        <w:trPr>
          <w:trHeight w:val="196"/>
        </w:trPr>
        <w:tc>
          <w:tcPr>
            <w:tcW w:w="4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lessee, and BA Leasing BSC, LLC, as lessor.</w:t>
              </w:r>
            </w:hyperlink>
          </w:p>
        </w:tc>
        <w:tc>
          <w:tcPr>
            <w:tcW w:w="260" w:type="dxa"/>
            <w:vAlign w:val="bottom"/>
            <w:gridSpan w:val="3"/>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420" w:type="dxa"/>
            <w:vAlign w:val="bottom"/>
          </w:tcPr>
          <w:p>
            <w:pPr>
              <w:spacing w:after="0" w:line="196" w:lineRule="exact"/>
              <w:rPr>
                <w:rFonts w:ascii="Arial" w:cs="Arial" w:eastAsia="Arial" w:hAnsi="Arial"/>
                <w:sz w:val="18"/>
                <w:szCs w:val="18"/>
                <w:color w:val="0000EE"/>
                <w:w w:val="95"/>
              </w:rPr>
            </w:pPr>
            <w:hyperlink w:anchor="page215">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rFonts w:ascii="Arial" w:cs="Arial" w:eastAsia="Arial" w:hAnsi="Arial"/>
                <w:sz w:val="18"/>
                <w:szCs w:val="18"/>
                <w:color w:val="0000EE"/>
                <w:w w:val="90"/>
              </w:rPr>
            </w:pPr>
            <w:hyperlink w:anchor="page215">
              <w:r>
                <w:rPr>
                  <w:rFonts w:ascii="Arial" w:cs="Arial" w:eastAsia="Arial" w:hAnsi="Arial"/>
                  <w:sz w:val="18"/>
                  <w:szCs w:val="18"/>
                  <w:color w:val="0000EE"/>
                  <w:w w:val="90"/>
                </w:rPr>
                <w:t>Second Amended and Restated Guaranty, dated as of March 2, 2022, made by Regeneron Pharmaceuticals, Inc., Regeneron Healthcare</w:t>
              </w:r>
            </w:hyperlink>
          </w:p>
        </w:tc>
      </w:tr>
      <w:tr>
        <w:trPr>
          <w:trHeight w:val="196"/>
        </w:trPr>
        <w:tc>
          <w:tcPr>
            <w:tcW w:w="4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Solutions, Inc., and Regeneron Genetics Center LLC, as guarantors.</w:t>
              </w:r>
            </w:hyperlink>
          </w:p>
        </w:tc>
        <w:tc>
          <w:tcPr>
            <w:tcW w:w="160" w:type="dxa"/>
            <w:vAlign w:val="bottom"/>
            <w:gridSpan w:val="2"/>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80" w:type="dxa"/>
            <w:vAlign w:val="bottom"/>
            <w:gridSpan w:val="3"/>
            <w:shd w:val="clear" w:color="auto" w:fill="0000EE"/>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02" w:lineRule="exact"/>
        <w:rPr>
          <w:sz w:val="20"/>
          <w:szCs w:val="20"/>
          <w:color w:val="auto"/>
        </w:rPr>
      </w:pPr>
    </w:p>
    <w:p>
      <w:pPr>
        <w:ind w:right="340"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of the exhibits and/or schedules to this Exhibit have been omitted in accordance with Regulation S-K Item 601(a)(5). The Company agrees to furnish supplementally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REGENERON PHARMACEUTICALS, INC.</w:t>
            </w: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March 8, 2022</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3560" w:type="dxa"/>
            <w:vAlign w:val="bottom"/>
          </w:tcPr>
          <w:p>
            <w:pPr>
              <w:spacing w:after="0"/>
              <w:rPr>
                <w:sz w:val="16"/>
                <w:szCs w:val="16"/>
                <w:color w:val="auto"/>
              </w:rPr>
            </w:pPr>
          </w:p>
        </w:tc>
        <w:tc>
          <w:tcPr>
            <w:tcW w:w="264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30"/>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XECUTION</w:t>
      </w:r>
      <w:r>
        <w:rPr>
          <w:rFonts w:ascii="Arial" w:cs="Arial" w:eastAsia="Arial" w:hAnsi="Arial"/>
          <w:sz w:val="18"/>
          <w:szCs w:val="18"/>
          <w:color w:val="auto"/>
        </w:rPr>
        <w:t xml:space="preserve"> V</w:t>
      </w:r>
      <w:r>
        <w:rPr>
          <w:rFonts w:ascii="Arial" w:cs="Arial" w:eastAsia="Arial" w:hAnsi="Arial"/>
          <w:sz w:val="12"/>
          <w:szCs w:val="12"/>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ECOND</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P</w:t>
      </w:r>
      <w:r>
        <w:rPr>
          <w:rFonts w:ascii="Arial" w:cs="Arial" w:eastAsia="Arial" w:hAnsi="Arial"/>
          <w:sz w:val="12"/>
          <w:szCs w:val="12"/>
          <w:color w:val="auto"/>
        </w:rPr>
        <w:t>ARTICIPATION</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 March 2, 2022</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 effective as of the Restatement Date</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Lessee,</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Lessor,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ANK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N.A.,</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not in its individual capacity, except as expressly</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stated herein, but solely as Administrative Agent,</w:t>
      </w:r>
    </w:p>
    <w:p>
      <w:pPr>
        <w:spacing w:after="0" w:line="21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The Persons Named on Schedule II Hereto, as Rent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160655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177800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ANC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xml:space="preserve"> L</w:t>
      </w:r>
      <w:r>
        <w:rPr>
          <w:rFonts w:ascii="Arial" w:cs="Arial" w:eastAsia="Arial" w:hAnsi="Arial"/>
          <w:sz w:val="12"/>
          <w:szCs w:val="12"/>
          <w:color w:val="auto"/>
        </w:rPr>
        <w:t>EASING</w:t>
      </w:r>
      <w:r>
        <w:rPr>
          <w:rFonts w:ascii="Arial" w:cs="Arial" w:eastAsia="Arial" w:hAnsi="Arial"/>
          <w:sz w:val="18"/>
          <w:szCs w:val="18"/>
          <w:color w:val="auto"/>
        </w:rPr>
        <w:t xml:space="preserve"> &amp; C</w:t>
      </w:r>
      <w:r>
        <w:rPr>
          <w:rFonts w:ascii="Arial" w:cs="Arial" w:eastAsia="Arial" w:hAnsi="Arial"/>
          <w:sz w:val="12"/>
          <w:szCs w:val="12"/>
          <w:color w:val="auto"/>
        </w:rPr>
        <w:t>APITAL</w:t>
      </w:r>
      <w:r>
        <w:rPr>
          <w:rFonts w:ascii="Arial" w:cs="Arial" w:eastAsia="Arial" w:hAnsi="Arial"/>
          <w:sz w:val="18"/>
          <w:szCs w:val="18"/>
          <w:color w:val="auto"/>
        </w:rPr>
        <w:t>, LLC,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Sole Lead Arranger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JPM</w:t>
      </w:r>
      <w:r>
        <w:rPr>
          <w:rFonts w:ascii="Arial" w:cs="Arial" w:eastAsia="Arial" w:hAnsi="Arial"/>
          <w:sz w:val="12"/>
          <w:szCs w:val="12"/>
          <w:color w:val="auto"/>
        </w:rPr>
        <w:t>ORGAN</w:t>
      </w:r>
      <w:r>
        <w:rPr>
          <w:rFonts w:ascii="Arial" w:cs="Arial" w:eastAsia="Arial" w:hAnsi="Arial"/>
          <w:sz w:val="18"/>
          <w:szCs w:val="18"/>
          <w:color w:val="auto"/>
        </w:rPr>
        <w:t xml:space="preserve"> C</w:t>
      </w:r>
      <w:r>
        <w:rPr>
          <w:rFonts w:ascii="Arial" w:cs="Arial" w:eastAsia="Arial" w:hAnsi="Arial"/>
          <w:sz w:val="12"/>
          <w:szCs w:val="12"/>
          <w:color w:val="auto"/>
        </w:rPr>
        <w:t>HASE</w:t>
      </w:r>
      <w:r>
        <w:rPr>
          <w:rFonts w:ascii="Arial" w:cs="Arial" w:eastAsia="Arial" w:hAnsi="Arial"/>
          <w:sz w:val="18"/>
          <w:szCs w:val="18"/>
          <w:color w:val="auto"/>
        </w:rPr>
        <w:t xml:space="preserve"> B</w:t>
      </w:r>
      <w:r>
        <w:rPr>
          <w:rFonts w:ascii="Arial" w:cs="Arial" w:eastAsia="Arial" w:hAnsi="Arial"/>
          <w:sz w:val="12"/>
          <w:szCs w:val="12"/>
          <w:color w:val="auto"/>
        </w:rPr>
        <w:t>ANK</w:t>
      </w:r>
      <w:r>
        <w:rPr>
          <w:rFonts w:ascii="Arial" w:cs="Arial" w:eastAsia="Arial" w:hAnsi="Arial"/>
          <w:sz w:val="18"/>
          <w:szCs w:val="18"/>
          <w:color w:val="auto"/>
        </w:rPr>
        <w:t>, N.A.,</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Bookrunner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MUFG B</w:t>
      </w:r>
      <w:r>
        <w:rPr>
          <w:rFonts w:ascii="Arial" w:cs="Arial" w:eastAsia="Arial" w:hAnsi="Arial"/>
          <w:sz w:val="12"/>
          <w:szCs w:val="12"/>
          <w:color w:val="auto"/>
        </w:rPr>
        <w:t>ANK</w:t>
      </w:r>
      <w:r>
        <w:rPr>
          <w:rFonts w:ascii="Arial" w:cs="Arial" w:eastAsia="Arial" w:hAnsi="Arial"/>
          <w:sz w:val="18"/>
          <w:szCs w:val="18"/>
          <w:color w:val="auto"/>
        </w:rPr>
        <w:t>, L</w:t>
      </w:r>
      <w:r>
        <w:rPr>
          <w:rFonts w:ascii="Arial" w:cs="Arial" w:eastAsia="Arial" w:hAnsi="Arial"/>
          <w:sz w:val="12"/>
          <w:szCs w:val="12"/>
          <w:color w:val="auto"/>
        </w:rPr>
        <w:t>TD</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Bookrunner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w:t>
      </w:r>
      <w:r>
        <w:rPr>
          <w:rFonts w:ascii="Arial" w:cs="Arial" w:eastAsia="Arial" w:hAnsi="Arial"/>
          <w:sz w:val="12"/>
          <w:szCs w:val="12"/>
          <w:color w:val="auto"/>
        </w:rPr>
        <w:t>ANK</w:t>
      </w:r>
      <w:r>
        <w:rPr>
          <w:rFonts w:ascii="Arial" w:cs="Arial" w:eastAsia="Arial" w:hAnsi="Arial"/>
          <w:sz w:val="18"/>
          <w:szCs w:val="18"/>
          <w:color w:val="auto"/>
        </w:rPr>
        <w:t xml:space="preserve">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r>
        <w:rPr>
          <w:rFonts w:ascii="Arial" w:cs="Arial" w:eastAsia="Arial" w:hAnsi="Arial"/>
          <w:sz w:val="18"/>
          <w:szCs w:val="18"/>
          <w:color w:val="auto"/>
        </w:rPr>
        <w:t>,</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as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7500" w:type="dxa"/>
            <w:vAlign w:val="bottom"/>
          </w:tcPr>
          <w:p>
            <w:pPr>
              <w:ind w:left="34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2220" w:type="dxa"/>
            <w:vAlign w:val="bottom"/>
          </w:tcPr>
          <w:p>
            <w:pPr>
              <w:spacing w:after="0"/>
              <w:rPr>
                <w:sz w:val="20"/>
                <w:szCs w:val="20"/>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7500" w:type="dxa"/>
            <w:vAlign w:val="bottom"/>
          </w:tcPr>
          <w:p>
            <w:pPr>
              <w:ind w:left="384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2220" w:type="dxa"/>
            <w:vAlign w:val="bottom"/>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w:t>
            </w:r>
          </w:p>
        </w:tc>
        <w:tc>
          <w:tcPr>
            <w:tcW w:w="7500" w:type="dxa"/>
            <w:vAlign w:val="bottom"/>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r>
              <w:rPr>
                <w:rFonts w:ascii="Arial" w:cs="Arial" w:eastAsia="Arial" w:hAnsi="Arial"/>
                <w:sz w:val="18"/>
                <w:szCs w:val="18"/>
                <w:color w:val="auto"/>
              </w:rPr>
              <w:t>; I</w:t>
            </w:r>
            <w:r>
              <w:rPr>
                <w:rFonts w:ascii="Arial" w:cs="Arial" w:eastAsia="Arial" w:hAnsi="Arial"/>
                <w:sz w:val="12"/>
                <w:szCs w:val="12"/>
                <w:color w:val="auto"/>
              </w:rPr>
              <w:t>NTERPRETATION</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1.1.</w:t>
            </w:r>
          </w:p>
        </w:tc>
        <w:tc>
          <w:tcPr>
            <w:tcW w:w="7500" w:type="dxa"/>
            <w:vAlign w:val="bottom"/>
          </w:tcPr>
          <w:p>
            <w:pPr>
              <w:ind w:left="400"/>
              <w:spacing w:after="0"/>
              <w:rPr>
                <w:sz w:val="20"/>
                <w:szCs w:val="20"/>
                <w:color w:val="auto"/>
              </w:rPr>
            </w:pPr>
            <w:r>
              <w:rPr>
                <w:rFonts w:ascii="Arial" w:cs="Arial" w:eastAsia="Arial" w:hAnsi="Arial"/>
                <w:sz w:val="18"/>
                <w:szCs w:val="18"/>
                <w:color w:val="auto"/>
              </w:rPr>
              <w:t>Definitions; Interpretation</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II</w:t>
            </w:r>
          </w:p>
        </w:tc>
        <w:tc>
          <w:tcPr>
            <w:tcW w:w="7500" w:type="dxa"/>
            <w:vAlign w:val="bottom"/>
          </w:tcPr>
          <w:p>
            <w:pPr>
              <w:ind w:left="10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RIGINAL</w:t>
            </w:r>
            <w:r>
              <w:rPr>
                <w:rFonts w:ascii="Arial" w:cs="Arial" w:eastAsia="Arial" w:hAnsi="Arial"/>
                <w:sz w:val="18"/>
                <w:szCs w:val="18"/>
                <w:color w:val="auto"/>
              </w:rPr>
              <w:t xml:space="preserv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A</w:t>
            </w:r>
            <w:r>
              <w:rPr>
                <w:rFonts w:ascii="Arial" w:cs="Arial" w:eastAsia="Arial" w:hAnsi="Arial"/>
                <w:sz w:val="12"/>
                <w:szCs w:val="12"/>
                <w:color w:val="auto"/>
              </w:rPr>
              <w:t>CQUISITION</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R</w:t>
            </w:r>
            <w:r>
              <w:rPr>
                <w:rFonts w:ascii="Arial" w:cs="Arial" w:eastAsia="Arial" w:hAnsi="Arial"/>
                <w:sz w:val="12"/>
                <w:szCs w:val="12"/>
                <w:color w:val="auto"/>
              </w:rPr>
              <w:t>ESTATEMENT</w:t>
            </w:r>
            <w:r>
              <w:rPr>
                <w:rFonts w:ascii="Arial" w:cs="Arial" w:eastAsia="Arial" w:hAnsi="Arial"/>
                <w:sz w:val="18"/>
                <w:szCs w:val="18"/>
                <w:color w:val="auto"/>
              </w:rPr>
              <w:t xml:space="preserve"> D</w:t>
            </w:r>
            <w:r>
              <w:rPr>
                <w:rFonts w:ascii="Arial" w:cs="Arial" w:eastAsia="Arial" w:hAnsi="Arial"/>
                <w:sz w:val="12"/>
                <w:szCs w:val="12"/>
                <w:color w:val="auto"/>
              </w:rPr>
              <w:t>ATE</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2.1.</w:t>
            </w:r>
          </w:p>
        </w:tc>
        <w:tc>
          <w:tcPr>
            <w:tcW w:w="7500" w:type="dxa"/>
            <w:vAlign w:val="bottom"/>
          </w:tcPr>
          <w:p>
            <w:pPr>
              <w:ind w:left="400"/>
              <w:spacing w:after="0"/>
              <w:rPr>
                <w:sz w:val="20"/>
                <w:szCs w:val="20"/>
                <w:color w:val="auto"/>
              </w:rPr>
            </w:pPr>
            <w:r>
              <w:rPr>
                <w:rFonts w:ascii="Arial" w:cs="Arial" w:eastAsia="Arial" w:hAnsi="Arial"/>
                <w:sz w:val="18"/>
                <w:szCs w:val="18"/>
                <w:color w:val="auto"/>
              </w:rPr>
              <w:t>Effectiveness of Original Participation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2.2.</w:t>
            </w:r>
          </w:p>
        </w:tc>
        <w:tc>
          <w:tcPr>
            <w:tcW w:w="7500" w:type="dxa"/>
            <w:vAlign w:val="bottom"/>
          </w:tcPr>
          <w:p>
            <w:pPr>
              <w:ind w:left="400"/>
              <w:spacing w:after="0"/>
              <w:rPr>
                <w:sz w:val="20"/>
                <w:szCs w:val="20"/>
                <w:color w:val="auto"/>
              </w:rPr>
            </w:pPr>
            <w:r>
              <w:rPr>
                <w:rFonts w:ascii="Arial" w:cs="Arial" w:eastAsia="Arial" w:hAnsi="Arial"/>
                <w:sz w:val="18"/>
                <w:szCs w:val="18"/>
                <w:color w:val="auto"/>
              </w:rPr>
              <w:t>Amendment, Restatement and Renewal of Operative Documents</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2.3.</w:t>
            </w:r>
          </w:p>
        </w:tc>
        <w:tc>
          <w:tcPr>
            <w:tcW w:w="7500" w:type="dxa"/>
            <w:vAlign w:val="bottom"/>
          </w:tcPr>
          <w:p>
            <w:pPr>
              <w:ind w:left="400"/>
              <w:spacing w:after="0"/>
              <w:rPr>
                <w:sz w:val="20"/>
                <w:szCs w:val="20"/>
                <w:color w:val="auto"/>
              </w:rPr>
            </w:pPr>
            <w:r>
              <w:rPr>
                <w:rFonts w:ascii="Arial" w:cs="Arial" w:eastAsia="Arial" w:hAnsi="Arial"/>
                <w:sz w:val="18"/>
                <w:szCs w:val="18"/>
                <w:color w:val="auto"/>
              </w:rPr>
              <w:t>Participant Costs</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2.4.</w:t>
            </w:r>
          </w:p>
        </w:tc>
        <w:tc>
          <w:tcPr>
            <w:tcW w:w="7500" w:type="dxa"/>
            <w:vAlign w:val="bottom"/>
          </w:tcPr>
          <w:p>
            <w:pPr>
              <w:ind w:left="400"/>
              <w:spacing w:after="0"/>
              <w:rPr>
                <w:sz w:val="20"/>
                <w:szCs w:val="20"/>
                <w:color w:val="auto"/>
              </w:rPr>
            </w:pPr>
            <w:r>
              <w:rPr>
                <w:rFonts w:ascii="Arial" w:cs="Arial" w:eastAsia="Arial" w:hAnsi="Arial"/>
                <w:sz w:val="18"/>
                <w:szCs w:val="18"/>
                <w:color w:val="auto"/>
              </w:rPr>
              <w:t>Effectiveness of Second Amended and Restated Participation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III</w:t>
            </w:r>
          </w:p>
        </w:tc>
        <w:tc>
          <w:tcPr>
            <w:tcW w:w="7500" w:type="dxa"/>
            <w:vAlign w:val="bottom"/>
          </w:tcPr>
          <w:p>
            <w:pPr>
              <w:ind w:left="10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UNDING OF</w:t>
            </w:r>
            <w:r>
              <w:rPr>
                <w:rFonts w:ascii="Arial" w:cs="Arial" w:eastAsia="Arial" w:hAnsi="Arial"/>
                <w:sz w:val="18"/>
                <w:szCs w:val="18"/>
                <w:color w:val="auto"/>
              </w:rPr>
              <w:t xml:space="preserve"> A</w:t>
            </w:r>
            <w:r>
              <w:rPr>
                <w:rFonts w:ascii="Arial" w:cs="Arial" w:eastAsia="Arial" w:hAnsi="Arial"/>
                <w:sz w:val="12"/>
                <w:szCs w:val="12"/>
                <w:color w:val="auto"/>
              </w:rPr>
              <w:t>DVANCES</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3.1.</w:t>
            </w:r>
          </w:p>
        </w:tc>
        <w:tc>
          <w:tcPr>
            <w:tcW w:w="7500" w:type="dxa"/>
            <w:vAlign w:val="bottom"/>
          </w:tcPr>
          <w:p>
            <w:pPr>
              <w:ind w:left="400"/>
              <w:spacing w:after="0"/>
              <w:rPr>
                <w:sz w:val="20"/>
                <w:szCs w:val="20"/>
                <w:color w:val="auto"/>
              </w:rPr>
            </w:pPr>
            <w:r>
              <w:rPr>
                <w:rFonts w:ascii="Arial" w:cs="Arial" w:eastAsia="Arial" w:hAnsi="Arial"/>
                <w:sz w:val="18"/>
                <w:szCs w:val="18"/>
                <w:color w:val="auto"/>
              </w:rPr>
              <w:t>Fundings</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3.2.</w:t>
            </w:r>
          </w:p>
        </w:tc>
        <w:tc>
          <w:tcPr>
            <w:tcW w:w="7500" w:type="dxa"/>
            <w:vAlign w:val="bottom"/>
          </w:tcPr>
          <w:p>
            <w:pPr>
              <w:ind w:left="400"/>
              <w:spacing w:after="0"/>
              <w:rPr>
                <w:sz w:val="20"/>
                <w:szCs w:val="20"/>
                <w:color w:val="auto"/>
              </w:rPr>
            </w:pPr>
            <w:r>
              <w:rPr>
                <w:rFonts w:ascii="Arial" w:cs="Arial" w:eastAsia="Arial" w:hAnsi="Arial"/>
                <w:sz w:val="18"/>
                <w:szCs w:val="18"/>
                <w:color w:val="auto"/>
              </w:rPr>
              <w:t>Payment of Participant Costs and Fees</w:t>
            </w: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3.3.</w:t>
            </w:r>
          </w:p>
        </w:tc>
        <w:tc>
          <w:tcPr>
            <w:tcW w:w="7500" w:type="dxa"/>
            <w:vAlign w:val="bottom"/>
          </w:tcPr>
          <w:p>
            <w:pPr>
              <w:ind w:left="400"/>
              <w:spacing w:after="0"/>
              <w:rPr>
                <w:sz w:val="20"/>
                <w:szCs w:val="20"/>
                <w:color w:val="auto"/>
              </w:rPr>
            </w:pPr>
            <w:r>
              <w:rPr>
                <w:rFonts w:ascii="Arial" w:cs="Arial" w:eastAsia="Arial" w:hAnsi="Arial"/>
                <w:sz w:val="18"/>
                <w:szCs w:val="18"/>
                <w:color w:val="auto"/>
              </w:rPr>
              <w:t>Advance Request</w:t>
            </w: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3.4.</w:t>
            </w:r>
          </w:p>
        </w:tc>
        <w:tc>
          <w:tcPr>
            <w:tcW w:w="7500" w:type="dxa"/>
            <w:vAlign w:val="bottom"/>
          </w:tcPr>
          <w:p>
            <w:pPr>
              <w:ind w:left="400"/>
              <w:spacing w:after="0"/>
              <w:rPr>
                <w:sz w:val="20"/>
                <w:szCs w:val="20"/>
                <w:color w:val="auto"/>
              </w:rPr>
            </w:pPr>
            <w:r>
              <w:rPr>
                <w:rFonts w:ascii="Arial" w:cs="Arial" w:eastAsia="Arial" w:hAnsi="Arial"/>
                <w:sz w:val="18"/>
                <w:szCs w:val="18"/>
                <w:color w:val="auto"/>
              </w:rPr>
              <w:t>Assignment of Purchase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IV</w:t>
            </w:r>
          </w:p>
        </w:tc>
        <w:tc>
          <w:tcPr>
            <w:tcW w:w="7500" w:type="dxa"/>
            <w:vAlign w:val="bottom"/>
          </w:tcPr>
          <w:p>
            <w:pPr>
              <w:ind w:left="100"/>
              <w:spacing w:after="0"/>
              <w:rPr>
                <w:sz w:val="20"/>
                <w:szCs w:val="20"/>
                <w:color w:val="auto"/>
              </w:rPr>
            </w:pPr>
            <w:r>
              <w:rPr>
                <w:rFonts w:ascii="Arial" w:cs="Arial" w:eastAsia="Arial" w:hAnsi="Arial"/>
                <w:sz w:val="18"/>
                <w:szCs w:val="18"/>
                <w:color w:val="auto"/>
              </w:rPr>
              <w:t>Y</w:t>
            </w:r>
            <w:r>
              <w:rPr>
                <w:rFonts w:ascii="Arial" w:cs="Arial" w:eastAsia="Arial" w:hAnsi="Arial"/>
                <w:sz w:val="12"/>
                <w:szCs w:val="12"/>
                <w:color w:val="auto"/>
              </w:rPr>
              <w:t>IELD</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4.1.</w:t>
            </w:r>
          </w:p>
        </w:tc>
        <w:tc>
          <w:tcPr>
            <w:tcW w:w="7500" w:type="dxa"/>
            <w:vAlign w:val="bottom"/>
          </w:tcPr>
          <w:p>
            <w:pPr>
              <w:ind w:left="400"/>
              <w:spacing w:after="0"/>
              <w:rPr>
                <w:sz w:val="20"/>
                <w:szCs w:val="20"/>
                <w:color w:val="auto"/>
              </w:rPr>
            </w:pPr>
            <w:r>
              <w:rPr>
                <w:rFonts w:ascii="Arial" w:cs="Arial" w:eastAsia="Arial" w:hAnsi="Arial"/>
                <w:sz w:val="18"/>
                <w:szCs w:val="18"/>
                <w:color w:val="auto"/>
              </w:rPr>
              <w:t>Yield</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4.2.</w:t>
            </w:r>
          </w:p>
        </w:tc>
        <w:tc>
          <w:tcPr>
            <w:tcW w:w="7500" w:type="dxa"/>
            <w:vAlign w:val="bottom"/>
          </w:tcPr>
          <w:p>
            <w:pPr>
              <w:ind w:left="400"/>
              <w:spacing w:after="0"/>
              <w:rPr>
                <w:sz w:val="20"/>
                <w:szCs w:val="20"/>
                <w:color w:val="auto"/>
              </w:rPr>
            </w:pPr>
            <w:r>
              <w:rPr>
                <w:rFonts w:ascii="Arial" w:cs="Arial" w:eastAsia="Arial" w:hAnsi="Arial"/>
                <w:sz w:val="18"/>
                <w:szCs w:val="18"/>
                <w:color w:val="auto"/>
              </w:rPr>
              <w:t>Yield on Rent Assignment Contribution</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4.3.</w:t>
            </w:r>
          </w:p>
        </w:tc>
        <w:tc>
          <w:tcPr>
            <w:tcW w:w="7500" w:type="dxa"/>
            <w:vAlign w:val="bottom"/>
          </w:tcPr>
          <w:p>
            <w:pPr>
              <w:ind w:left="400"/>
              <w:spacing w:after="0"/>
              <w:rPr>
                <w:sz w:val="20"/>
                <w:szCs w:val="20"/>
                <w:color w:val="auto"/>
              </w:rPr>
            </w:pPr>
            <w:r>
              <w:rPr>
                <w:rFonts w:ascii="Arial" w:cs="Arial" w:eastAsia="Arial" w:hAnsi="Arial"/>
                <w:sz w:val="18"/>
                <w:szCs w:val="18"/>
                <w:color w:val="auto"/>
              </w:rPr>
              <w:t>Payments of Rent; and Payments and Prepayments of Funded Amounts</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4.4.</w:t>
            </w:r>
          </w:p>
        </w:tc>
        <w:tc>
          <w:tcPr>
            <w:tcW w:w="7500" w:type="dxa"/>
            <w:vAlign w:val="bottom"/>
          </w:tcPr>
          <w:p>
            <w:pPr>
              <w:ind w:left="400"/>
              <w:spacing w:after="0"/>
              <w:rPr>
                <w:sz w:val="20"/>
                <w:szCs w:val="20"/>
                <w:color w:val="auto"/>
              </w:rPr>
            </w:pPr>
            <w:r>
              <w:rPr>
                <w:rFonts w:ascii="Arial" w:cs="Arial" w:eastAsia="Arial" w:hAnsi="Arial"/>
                <w:sz w:val="18"/>
                <w:szCs w:val="18"/>
                <w:color w:val="auto"/>
              </w:rPr>
              <w:t>Fees</w:t>
            </w:r>
          </w:p>
        </w:tc>
        <w:tc>
          <w:tcPr>
            <w:tcW w:w="2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4.5.</w:t>
            </w:r>
          </w:p>
        </w:tc>
        <w:tc>
          <w:tcPr>
            <w:tcW w:w="7500" w:type="dxa"/>
            <w:vAlign w:val="bottom"/>
          </w:tcPr>
          <w:p>
            <w:pPr>
              <w:ind w:left="400"/>
              <w:spacing w:after="0"/>
              <w:rPr>
                <w:sz w:val="20"/>
                <w:szCs w:val="20"/>
                <w:color w:val="auto"/>
              </w:rPr>
            </w:pPr>
            <w:r>
              <w:rPr>
                <w:rFonts w:ascii="Arial" w:cs="Arial" w:eastAsia="Arial" w:hAnsi="Arial"/>
                <w:sz w:val="18"/>
                <w:szCs w:val="18"/>
                <w:color w:val="auto"/>
              </w:rPr>
              <w:t>Obligations Several</w:t>
            </w:r>
          </w:p>
        </w:tc>
        <w:tc>
          <w:tcPr>
            <w:tcW w:w="2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4.6.</w:t>
            </w:r>
          </w:p>
        </w:tc>
        <w:tc>
          <w:tcPr>
            <w:tcW w:w="7500" w:type="dxa"/>
            <w:vAlign w:val="bottom"/>
          </w:tcPr>
          <w:p>
            <w:pPr>
              <w:ind w:left="400"/>
              <w:spacing w:after="0"/>
              <w:rPr>
                <w:sz w:val="20"/>
                <w:szCs w:val="20"/>
                <w:color w:val="auto"/>
              </w:rPr>
            </w:pPr>
            <w:r>
              <w:rPr>
                <w:rFonts w:ascii="Arial" w:cs="Arial" w:eastAsia="Arial" w:hAnsi="Arial"/>
                <w:sz w:val="18"/>
                <w:szCs w:val="18"/>
                <w:color w:val="auto"/>
              </w:rPr>
              <w:t>Highest Lawful Rate</w:t>
            </w:r>
          </w:p>
        </w:tc>
        <w:tc>
          <w:tcPr>
            <w:tcW w:w="2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4.7.</w:t>
            </w:r>
          </w:p>
        </w:tc>
        <w:tc>
          <w:tcPr>
            <w:tcW w:w="7500" w:type="dxa"/>
            <w:vAlign w:val="bottom"/>
          </w:tcPr>
          <w:p>
            <w:pPr>
              <w:ind w:left="400"/>
              <w:spacing w:after="0"/>
              <w:rPr>
                <w:sz w:val="20"/>
                <w:szCs w:val="20"/>
                <w:color w:val="auto"/>
              </w:rPr>
            </w:pPr>
            <w:r>
              <w:rPr>
                <w:rFonts w:ascii="Arial" w:cs="Arial" w:eastAsia="Arial" w:hAnsi="Arial"/>
                <w:sz w:val="18"/>
                <w:szCs w:val="18"/>
                <w:color w:val="auto"/>
              </w:rPr>
              <w:t>Renewal of Lease</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w:t>
            </w:r>
          </w:p>
        </w:tc>
        <w:tc>
          <w:tcPr>
            <w:tcW w:w="7500" w:type="dxa"/>
            <w:vAlign w:val="bottom"/>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ERTAIN</w:t>
            </w:r>
            <w:r>
              <w:rPr>
                <w:rFonts w:ascii="Arial" w:cs="Arial" w:eastAsia="Arial" w:hAnsi="Arial"/>
                <w:sz w:val="18"/>
                <w:szCs w:val="18"/>
                <w:color w:val="auto"/>
              </w:rPr>
              <w:t xml:space="preserve"> I</w:t>
            </w:r>
            <w:r>
              <w:rPr>
                <w:rFonts w:ascii="Arial" w:cs="Arial" w:eastAsia="Arial" w:hAnsi="Arial"/>
                <w:sz w:val="12"/>
                <w:szCs w:val="12"/>
                <w:color w:val="auto"/>
              </w:rPr>
              <w:t>NTENTIONS OF THE</w:t>
            </w:r>
            <w:r>
              <w:rPr>
                <w:rFonts w:ascii="Arial" w:cs="Arial" w:eastAsia="Arial" w:hAnsi="Arial"/>
                <w:sz w:val="18"/>
                <w:szCs w:val="18"/>
                <w:color w:val="auto"/>
              </w:rPr>
              <w:t xml:space="preserve"> P</w:t>
            </w:r>
            <w:r>
              <w:rPr>
                <w:rFonts w:ascii="Arial" w:cs="Arial" w:eastAsia="Arial" w:hAnsi="Arial"/>
                <w:sz w:val="12"/>
                <w:szCs w:val="12"/>
                <w:color w:val="auto"/>
              </w:rPr>
              <w:t>ARTIES</w:t>
            </w:r>
          </w:p>
        </w:tc>
        <w:tc>
          <w:tcPr>
            <w:tcW w:w="2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5.1.</w:t>
            </w:r>
          </w:p>
        </w:tc>
        <w:tc>
          <w:tcPr>
            <w:tcW w:w="7500" w:type="dxa"/>
            <w:vAlign w:val="bottom"/>
          </w:tcPr>
          <w:p>
            <w:pPr>
              <w:ind w:left="400"/>
              <w:spacing w:after="0"/>
              <w:rPr>
                <w:sz w:val="20"/>
                <w:szCs w:val="20"/>
                <w:color w:val="auto"/>
              </w:rPr>
            </w:pPr>
            <w:r>
              <w:rPr>
                <w:rFonts w:ascii="Arial" w:cs="Arial" w:eastAsia="Arial" w:hAnsi="Arial"/>
                <w:sz w:val="18"/>
                <w:szCs w:val="18"/>
                <w:color w:val="auto"/>
              </w:rPr>
              <w:t>Nature of Transaction</w:t>
            </w:r>
          </w:p>
        </w:tc>
        <w:tc>
          <w:tcPr>
            <w:tcW w:w="2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5.2.</w:t>
            </w:r>
          </w:p>
        </w:tc>
        <w:tc>
          <w:tcPr>
            <w:tcW w:w="7500" w:type="dxa"/>
            <w:vAlign w:val="bottom"/>
          </w:tcPr>
          <w:p>
            <w:pPr>
              <w:ind w:left="400"/>
              <w:spacing w:after="0"/>
              <w:rPr>
                <w:sz w:val="20"/>
                <w:szCs w:val="20"/>
                <w:color w:val="auto"/>
              </w:rPr>
            </w:pPr>
            <w:r>
              <w:rPr>
                <w:rFonts w:ascii="Arial" w:cs="Arial" w:eastAsia="Arial" w:hAnsi="Arial"/>
                <w:sz w:val="18"/>
                <w:szCs w:val="18"/>
                <w:color w:val="auto"/>
              </w:rPr>
              <w:t>Amounts Due Under Lease</w:t>
            </w:r>
          </w:p>
        </w:tc>
        <w:tc>
          <w:tcPr>
            <w:tcW w:w="2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5.3.</w:t>
            </w:r>
          </w:p>
        </w:tc>
        <w:tc>
          <w:tcPr>
            <w:tcW w:w="7500" w:type="dxa"/>
            <w:vAlign w:val="bottom"/>
          </w:tcPr>
          <w:p>
            <w:pPr>
              <w:ind w:left="400"/>
              <w:spacing w:after="0"/>
              <w:rPr>
                <w:sz w:val="20"/>
                <w:szCs w:val="20"/>
                <w:color w:val="auto"/>
              </w:rPr>
            </w:pPr>
            <w:r>
              <w:rPr>
                <w:rFonts w:ascii="Arial" w:cs="Arial" w:eastAsia="Arial" w:hAnsi="Arial"/>
                <w:sz w:val="18"/>
                <w:szCs w:val="18"/>
                <w:color w:val="auto"/>
              </w:rPr>
              <w:t>Distribution</w:t>
            </w:r>
          </w:p>
        </w:tc>
        <w:tc>
          <w:tcPr>
            <w:tcW w:w="2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5.4.</w:t>
            </w:r>
          </w:p>
        </w:tc>
        <w:tc>
          <w:tcPr>
            <w:tcW w:w="7500" w:type="dxa"/>
            <w:vAlign w:val="bottom"/>
          </w:tcPr>
          <w:p>
            <w:pPr>
              <w:ind w:left="400"/>
              <w:spacing w:after="0"/>
              <w:rPr>
                <w:sz w:val="20"/>
                <w:szCs w:val="20"/>
                <w:color w:val="auto"/>
              </w:rPr>
            </w:pPr>
            <w:r>
              <w:rPr>
                <w:rFonts w:ascii="Arial" w:cs="Arial" w:eastAsia="Arial" w:hAnsi="Arial"/>
                <w:sz w:val="18"/>
                <w:szCs w:val="18"/>
                <w:color w:val="auto"/>
              </w:rPr>
              <w:t>Adjustments</w:t>
            </w:r>
          </w:p>
        </w:tc>
        <w:tc>
          <w:tcPr>
            <w:tcW w:w="2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w:t>
            </w:r>
          </w:p>
        </w:tc>
        <w:tc>
          <w:tcPr>
            <w:tcW w:w="7500" w:type="dxa"/>
            <w:vAlign w:val="bottom"/>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w:t>
            </w:r>
            <w:r>
              <w:rPr>
                <w:rFonts w:ascii="Arial" w:cs="Arial" w:eastAsia="Arial" w:hAnsi="Arial"/>
                <w:sz w:val="18"/>
                <w:szCs w:val="18"/>
                <w:color w:val="auto"/>
              </w:rPr>
              <w:t xml:space="preserve"> P</w:t>
            </w:r>
            <w:r>
              <w:rPr>
                <w:rFonts w:ascii="Arial" w:cs="Arial" w:eastAsia="Arial" w:hAnsi="Arial"/>
                <w:sz w:val="12"/>
                <w:szCs w:val="12"/>
                <w:color w:val="auto"/>
              </w:rPr>
              <w:t>RECEDENT</w:t>
            </w:r>
          </w:p>
        </w:tc>
        <w:tc>
          <w:tcPr>
            <w:tcW w:w="2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6.1.</w:t>
            </w:r>
          </w:p>
        </w:tc>
        <w:tc>
          <w:tcPr>
            <w:tcW w:w="7500" w:type="dxa"/>
            <w:vAlign w:val="bottom"/>
          </w:tcPr>
          <w:p>
            <w:pPr>
              <w:ind w:left="400"/>
              <w:spacing w:after="0"/>
              <w:rPr>
                <w:sz w:val="20"/>
                <w:szCs w:val="20"/>
                <w:color w:val="auto"/>
              </w:rPr>
            </w:pPr>
            <w:r>
              <w:rPr>
                <w:rFonts w:ascii="Arial" w:cs="Arial" w:eastAsia="Arial" w:hAnsi="Arial"/>
                <w:sz w:val="18"/>
                <w:szCs w:val="18"/>
                <w:color w:val="auto"/>
              </w:rPr>
              <w:t>Conditions Precedent to the Execution Date</w:t>
            </w:r>
          </w:p>
        </w:tc>
        <w:tc>
          <w:tcPr>
            <w:tcW w:w="2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520" w:type="dxa"/>
            <w:vAlign w:val="bottom"/>
          </w:tcPr>
          <w:p>
            <w:pPr>
              <w:ind w:left="580"/>
              <w:spacing w:after="0"/>
              <w:rPr>
                <w:sz w:val="20"/>
                <w:szCs w:val="20"/>
                <w:color w:val="auto"/>
              </w:rPr>
            </w:pPr>
            <w:r>
              <w:rPr>
                <w:rFonts w:ascii="Arial" w:cs="Arial" w:eastAsia="Arial" w:hAnsi="Arial"/>
                <w:sz w:val="18"/>
                <w:szCs w:val="18"/>
                <w:color w:val="auto"/>
                <w:w w:val="96"/>
              </w:rPr>
              <w:t>Section 6.2.</w:t>
            </w:r>
          </w:p>
        </w:tc>
        <w:tc>
          <w:tcPr>
            <w:tcW w:w="7500" w:type="dxa"/>
            <w:vAlign w:val="bottom"/>
          </w:tcPr>
          <w:p>
            <w:pPr>
              <w:ind w:left="400"/>
              <w:spacing w:after="0"/>
              <w:rPr>
                <w:sz w:val="20"/>
                <w:szCs w:val="20"/>
                <w:color w:val="auto"/>
              </w:rPr>
            </w:pPr>
            <w:r>
              <w:rPr>
                <w:rFonts w:ascii="Arial" w:cs="Arial" w:eastAsia="Arial" w:hAnsi="Arial"/>
                <w:sz w:val="18"/>
                <w:szCs w:val="18"/>
                <w:color w:val="auto"/>
              </w:rPr>
              <w:t>Conditions Precedent to the Restatement Date</w:t>
            </w:r>
          </w:p>
        </w:tc>
        <w:tc>
          <w:tcPr>
            <w:tcW w:w="2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VII</w:t>
            </w:r>
          </w:p>
        </w:tc>
        <w:tc>
          <w:tcPr>
            <w:tcW w:w="7500" w:type="dxa"/>
            <w:vAlign w:val="bottom"/>
          </w:tcPr>
          <w:p>
            <w:pPr>
              <w:ind w:left="10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MITTED</w:t>
            </w: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VIII</w:t>
            </w:r>
          </w:p>
        </w:tc>
        <w:tc>
          <w:tcPr>
            <w:tcW w:w="7600" w:type="dxa"/>
            <w:vAlign w:val="bottom"/>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1660" w:type="dxa"/>
            <w:vAlign w:val="bottom"/>
          </w:tcPr>
          <w:p>
            <w:pPr>
              <w:ind w:left="540"/>
              <w:spacing w:after="0"/>
              <w:rPr>
                <w:sz w:val="20"/>
                <w:szCs w:val="20"/>
                <w:color w:val="auto"/>
              </w:rPr>
            </w:pPr>
            <w:r>
              <w:rPr>
                <w:rFonts w:ascii="Arial" w:cs="Arial" w:eastAsia="Arial" w:hAnsi="Arial"/>
                <w:sz w:val="18"/>
                <w:szCs w:val="18"/>
                <w:color w:val="auto"/>
              </w:rPr>
              <w:t>Section 8.1.</w:t>
            </w:r>
          </w:p>
        </w:tc>
        <w:tc>
          <w:tcPr>
            <w:tcW w:w="7600" w:type="dxa"/>
            <w:vAlign w:val="bottom"/>
          </w:tcPr>
          <w:p>
            <w:pPr>
              <w:ind w:left="380"/>
              <w:spacing w:after="0"/>
              <w:rPr>
                <w:sz w:val="20"/>
                <w:szCs w:val="20"/>
                <w:color w:val="auto"/>
              </w:rPr>
            </w:pPr>
            <w:r>
              <w:rPr>
                <w:rFonts w:ascii="Arial" w:cs="Arial" w:eastAsia="Arial" w:hAnsi="Arial"/>
                <w:sz w:val="18"/>
                <w:szCs w:val="18"/>
                <w:color w:val="auto"/>
              </w:rPr>
              <w:t>Representations of the Participants</w:t>
            </w:r>
          </w:p>
        </w:tc>
        <w:tc>
          <w:tcPr>
            <w:tcW w:w="1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7600" w:type="dxa"/>
            <w:vAlign w:val="bottom"/>
          </w:tcPr>
          <w:p>
            <w:pPr>
              <w:ind w:left="380"/>
              <w:spacing w:after="0"/>
              <w:rPr>
                <w:sz w:val="20"/>
                <w:szCs w:val="20"/>
                <w:color w:val="auto"/>
              </w:rPr>
            </w:pPr>
            <w:r>
              <w:rPr>
                <w:rFonts w:ascii="Arial" w:cs="Arial" w:eastAsia="Arial" w:hAnsi="Arial"/>
                <w:sz w:val="18"/>
                <w:szCs w:val="18"/>
                <w:color w:val="auto"/>
              </w:rPr>
              <w:t>Representations of Lessee</w:t>
            </w:r>
          </w:p>
        </w:tc>
        <w:tc>
          <w:tcPr>
            <w:tcW w:w="1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8.3.</w:t>
            </w:r>
          </w:p>
        </w:tc>
        <w:tc>
          <w:tcPr>
            <w:tcW w:w="7600" w:type="dxa"/>
            <w:vAlign w:val="bottom"/>
          </w:tcPr>
          <w:p>
            <w:pPr>
              <w:ind w:left="380"/>
              <w:spacing w:after="0"/>
              <w:rPr>
                <w:sz w:val="20"/>
                <w:szCs w:val="20"/>
                <w:color w:val="auto"/>
              </w:rPr>
            </w:pPr>
            <w:r>
              <w:rPr>
                <w:rFonts w:ascii="Arial" w:cs="Arial" w:eastAsia="Arial" w:hAnsi="Arial"/>
                <w:sz w:val="18"/>
                <w:szCs w:val="18"/>
                <w:color w:val="auto"/>
              </w:rPr>
              <w:t>Representations and Warranties of Administrative Agent</w:t>
            </w:r>
          </w:p>
        </w:tc>
        <w:tc>
          <w:tcPr>
            <w:tcW w:w="1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IX</w:t>
            </w:r>
          </w:p>
        </w:tc>
        <w:tc>
          <w:tcPr>
            <w:tcW w:w="7600" w:type="dxa"/>
            <w:vAlign w:val="bottom"/>
          </w:tcPr>
          <w:p>
            <w:pPr>
              <w:ind w:left="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 OF</w:t>
            </w:r>
            <w:r>
              <w:rPr>
                <w:rFonts w:ascii="Arial" w:cs="Arial" w:eastAsia="Arial" w:hAnsi="Arial"/>
                <w:sz w:val="18"/>
                <w:szCs w:val="18"/>
                <w:color w:val="auto"/>
              </w:rPr>
              <w:t xml:space="preserve"> L</w:t>
            </w:r>
            <w:r>
              <w:rPr>
                <w:rFonts w:ascii="Arial" w:cs="Arial" w:eastAsia="Arial" w:hAnsi="Arial"/>
                <w:sz w:val="12"/>
                <w:szCs w:val="12"/>
                <w:color w:val="auto"/>
              </w:rPr>
              <w:t>ESSEE</w:t>
            </w:r>
          </w:p>
        </w:tc>
        <w:tc>
          <w:tcPr>
            <w:tcW w:w="1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660" w:type="dxa"/>
            <w:vAlign w:val="bottom"/>
          </w:tcPr>
          <w:p>
            <w:pPr>
              <w:ind w:left="540"/>
              <w:spacing w:after="0"/>
              <w:rPr>
                <w:sz w:val="20"/>
                <w:szCs w:val="20"/>
                <w:color w:val="auto"/>
              </w:rPr>
            </w:pPr>
            <w:r>
              <w:rPr>
                <w:rFonts w:ascii="Arial" w:cs="Arial" w:eastAsia="Arial" w:hAnsi="Arial"/>
                <w:sz w:val="18"/>
                <w:szCs w:val="18"/>
                <w:color w:val="auto"/>
              </w:rPr>
              <w:t>Section 9.1.</w:t>
            </w:r>
          </w:p>
        </w:tc>
        <w:tc>
          <w:tcPr>
            <w:tcW w:w="7600" w:type="dxa"/>
            <w:vAlign w:val="bottom"/>
          </w:tcPr>
          <w:p>
            <w:pPr>
              <w:ind w:left="380"/>
              <w:spacing w:after="0"/>
              <w:rPr>
                <w:sz w:val="20"/>
                <w:szCs w:val="20"/>
                <w:color w:val="auto"/>
              </w:rPr>
            </w:pPr>
            <w:r>
              <w:rPr>
                <w:rFonts w:ascii="Arial" w:cs="Arial" w:eastAsia="Arial" w:hAnsi="Arial"/>
                <w:sz w:val="18"/>
                <w:szCs w:val="18"/>
                <w:color w:val="auto"/>
              </w:rPr>
              <w:t>Affirmative Covenants of Lessee</w:t>
            </w:r>
          </w:p>
        </w:tc>
        <w:tc>
          <w:tcPr>
            <w:tcW w:w="1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9.2.</w:t>
            </w:r>
          </w:p>
        </w:tc>
        <w:tc>
          <w:tcPr>
            <w:tcW w:w="7600" w:type="dxa"/>
            <w:vAlign w:val="bottom"/>
          </w:tcPr>
          <w:p>
            <w:pPr>
              <w:ind w:left="380"/>
              <w:spacing w:after="0"/>
              <w:rPr>
                <w:sz w:val="20"/>
                <w:szCs w:val="20"/>
                <w:color w:val="auto"/>
              </w:rPr>
            </w:pPr>
            <w:r>
              <w:rPr>
                <w:rFonts w:ascii="Arial" w:cs="Arial" w:eastAsia="Arial" w:hAnsi="Arial"/>
                <w:sz w:val="18"/>
                <w:szCs w:val="18"/>
                <w:color w:val="auto"/>
              </w:rPr>
              <w:t>Negative Covenants of Lessee</w:t>
            </w:r>
          </w:p>
        </w:tc>
        <w:tc>
          <w:tcPr>
            <w:tcW w:w="1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w:t>
            </w:r>
          </w:p>
        </w:tc>
        <w:tc>
          <w:tcPr>
            <w:tcW w:w="7600" w:type="dxa"/>
            <w:vAlign w:val="bottom"/>
          </w:tcPr>
          <w:p>
            <w:pPr>
              <w:ind w:left="8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THER</w:t>
            </w:r>
            <w:r>
              <w:rPr>
                <w:rFonts w:ascii="Arial" w:cs="Arial" w:eastAsia="Arial" w:hAnsi="Arial"/>
                <w:sz w:val="18"/>
                <w:szCs w:val="18"/>
                <w:color w:val="auto"/>
              </w:rPr>
              <w:t xml:space="preserve"> C</w:t>
            </w:r>
            <w:r>
              <w:rPr>
                <w:rFonts w:ascii="Arial" w:cs="Arial" w:eastAsia="Arial" w:hAnsi="Arial"/>
                <w:sz w:val="12"/>
                <w:szCs w:val="12"/>
                <w:color w:val="auto"/>
              </w:rPr>
              <w:t>OVENANTS AND</w:t>
            </w:r>
            <w:r>
              <w:rPr>
                <w:rFonts w:ascii="Arial" w:cs="Arial" w:eastAsia="Arial" w:hAnsi="Arial"/>
                <w:sz w:val="18"/>
                <w:szCs w:val="18"/>
                <w:color w:val="auto"/>
              </w:rPr>
              <w:t xml:space="preserve"> A</w:t>
            </w:r>
            <w:r>
              <w:rPr>
                <w:rFonts w:ascii="Arial" w:cs="Arial" w:eastAsia="Arial" w:hAnsi="Arial"/>
                <w:sz w:val="12"/>
                <w:szCs w:val="12"/>
                <w:color w:val="auto"/>
              </w:rPr>
              <w:t>GREEMENTS</w:t>
            </w:r>
          </w:p>
        </w:tc>
        <w:tc>
          <w:tcPr>
            <w:tcW w:w="1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660" w:type="dxa"/>
            <w:vAlign w:val="bottom"/>
          </w:tcPr>
          <w:p>
            <w:pPr>
              <w:ind w:left="540"/>
              <w:spacing w:after="0"/>
              <w:rPr>
                <w:sz w:val="20"/>
                <w:szCs w:val="20"/>
                <w:color w:val="auto"/>
              </w:rPr>
            </w:pPr>
            <w:r>
              <w:rPr>
                <w:rFonts w:ascii="Arial" w:cs="Arial" w:eastAsia="Arial" w:hAnsi="Arial"/>
                <w:sz w:val="18"/>
                <w:szCs w:val="18"/>
                <w:color w:val="auto"/>
              </w:rPr>
              <w:t>Section 10.1.</w:t>
            </w:r>
          </w:p>
        </w:tc>
        <w:tc>
          <w:tcPr>
            <w:tcW w:w="7600" w:type="dxa"/>
            <w:vAlign w:val="bottom"/>
          </w:tcPr>
          <w:p>
            <w:pPr>
              <w:ind w:left="380"/>
              <w:spacing w:after="0"/>
              <w:rPr>
                <w:sz w:val="20"/>
                <w:szCs w:val="20"/>
                <w:color w:val="auto"/>
              </w:rPr>
            </w:pPr>
            <w:r>
              <w:rPr>
                <w:rFonts w:ascii="Arial" w:cs="Arial" w:eastAsia="Arial" w:hAnsi="Arial"/>
                <w:sz w:val="18"/>
                <w:szCs w:val="18"/>
                <w:color w:val="auto"/>
              </w:rPr>
              <w:t>Covenants of the Administrative Agent and the Participants</w:t>
            </w:r>
          </w:p>
        </w:tc>
        <w:tc>
          <w:tcPr>
            <w:tcW w:w="1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w:t>
            </w:r>
          </w:p>
        </w:tc>
        <w:tc>
          <w:tcPr>
            <w:tcW w:w="7600" w:type="dxa"/>
            <w:vAlign w:val="bottom"/>
          </w:tcPr>
          <w:p>
            <w:pPr>
              <w:ind w:left="8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ESSEE</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R</w:t>
            </w:r>
            <w:r>
              <w:rPr>
                <w:rFonts w:ascii="Arial" w:cs="Arial" w:eastAsia="Arial" w:hAnsi="Arial"/>
                <w:sz w:val="12"/>
                <w:szCs w:val="12"/>
                <w:color w:val="auto"/>
              </w:rPr>
              <w:t>IGHT OF</w:t>
            </w:r>
            <w:r>
              <w:rPr>
                <w:rFonts w:ascii="Arial" w:cs="Arial" w:eastAsia="Arial" w:hAnsi="Arial"/>
                <w:sz w:val="18"/>
                <w:szCs w:val="18"/>
                <w:color w:val="auto"/>
              </w:rPr>
              <w:t xml:space="preserve"> Q</w:t>
            </w:r>
            <w:r>
              <w:rPr>
                <w:rFonts w:ascii="Arial" w:cs="Arial" w:eastAsia="Arial" w:hAnsi="Arial"/>
                <w:sz w:val="12"/>
                <w:szCs w:val="12"/>
                <w:color w:val="auto"/>
              </w:rPr>
              <w:t>UIET</w:t>
            </w:r>
            <w:r>
              <w:rPr>
                <w:rFonts w:ascii="Arial" w:cs="Arial" w:eastAsia="Arial" w:hAnsi="Arial"/>
                <w:sz w:val="18"/>
                <w:szCs w:val="18"/>
                <w:color w:val="auto"/>
              </w:rPr>
              <w:t xml:space="preserve"> E</w:t>
            </w:r>
            <w:r>
              <w:rPr>
                <w:rFonts w:ascii="Arial" w:cs="Arial" w:eastAsia="Arial" w:hAnsi="Arial"/>
                <w:sz w:val="12"/>
                <w:szCs w:val="12"/>
                <w:color w:val="auto"/>
              </w:rPr>
              <w:t>NJOYMENT</w:t>
            </w:r>
          </w:p>
        </w:tc>
        <w:tc>
          <w:tcPr>
            <w:tcW w:w="1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XII</w:t>
            </w:r>
          </w:p>
        </w:tc>
        <w:tc>
          <w:tcPr>
            <w:tcW w:w="7600" w:type="dxa"/>
            <w:vAlign w:val="bottom"/>
          </w:tcPr>
          <w:p>
            <w:pPr>
              <w:ind w:left="8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RANSFERS OF</w:t>
            </w:r>
            <w:r>
              <w:rPr>
                <w:rFonts w:ascii="Arial" w:cs="Arial" w:eastAsia="Arial" w:hAnsi="Arial"/>
                <w:sz w:val="18"/>
                <w:szCs w:val="18"/>
                <w:color w:val="auto"/>
              </w:rPr>
              <w:t xml:space="preserve"> P</w:t>
            </w:r>
            <w:r>
              <w:rPr>
                <w:rFonts w:ascii="Arial" w:cs="Arial" w:eastAsia="Arial" w:hAnsi="Arial"/>
                <w:sz w:val="12"/>
                <w:szCs w:val="12"/>
                <w:color w:val="auto"/>
              </w:rPr>
              <w:t>ARTICIPANTS</w:t>
            </w:r>
            <w:r>
              <w:rPr>
                <w:rFonts w:ascii="Arial" w:cs="Arial" w:eastAsia="Arial" w:hAnsi="Arial"/>
                <w:sz w:val="18"/>
                <w:szCs w:val="18"/>
                <w:color w:val="auto"/>
              </w:rPr>
              <w:t>’ I</w:t>
            </w:r>
            <w:r>
              <w:rPr>
                <w:rFonts w:ascii="Arial" w:cs="Arial" w:eastAsia="Arial" w:hAnsi="Arial"/>
                <w:sz w:val="12"/>
                <w:szCs w:val="12"/>
                <w:color w:val="auto"/>
              </w:rPr>
              <w:t>NTERESTS</w:t>
            </w: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1660" w:type="dxa"/>
            <w:vAlign w:val="bottom"/>
          </w:tcPr>
          <w:p>
            <w:pPr>
              <w:ind w:left="540"/>
              <w:spacing w:after="0"/>
              <w:rPr>
                <w:sz w:val="20"/>
                <w:szCs w:val="20"/>
                <w:color w:val="auto"/>
              </w:rPr>
            </w:pPr>
            <w:r>
              <w:rPr>
                <w:rFonts w:ascii="Arial" w:cs="Arial" w:eastAsia="Arial" w:hAnsi="Arial"/>
                <w:sz w:val="18"/>
                <w:szCs w:val="18"/>
                <w:color w:val="auto"/>
              </w:rPr>
              <w:t>Section 12.1.</w:t>
            </w:r>
          </w:p>
        </w:tc>
        <w:tc>
          <w:tcPr>
            <w:tcW w:w="7600" w:type="dxa"/>
            <w:vAlign w:val="bottom"/>
          </w:tcPr>
          <w:p>
            <w:pPr>
              <w:ind w:left="380"/>
              <w:spacing w:after="0"/>
              <w:rPr>
                <w:sz w:val="20"/>
                <w:szCs w:val="20"/>
                <w:color w:val="auto"/>
              </w:rPr>
            </w:pPr>
            <w:r>
              <w:rPr>
                <w:rFonts w:ascii="Arial" w:cs="Arial" w:eastAsia="Arial" w:hAnsi="Arial"/>
                <w:sz w:val="18"/>
                <w:szCs w:val="18"/>
                <w:color w:val="auto"/>
              </w:rPr>
              <w:t>Assignments</w:t>
            </w: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12.2.</w:t>
            </w:r>
          </w:p>
        </w:tc>
        <w:tc>
          <w:tcPr>
            <w:tcW w:w="7600" w:type="dxa"/>
            <w:vAlign w:val="bottom"/>
          </w:tcPr>
          <w:p>
            <w:pPr>
              <w:ind w:left="380"/>
              <w:spacing w:after="0"/>
              <w:rPr>
                <w:sz w:val="20"/>
                <w:szCs w:val="20"/>
                <w:color w:val="auto"/>
              </w:rPr>
            </w:pPr>
            <w:r>
              <w:rPr>
                <w:rFonts w:ascii="Arial" w:cs="Arial" w:eastAsia="Arial" w:hAnsi="Arial"/>
                <w:sz w:val="18"/>
                <w:szCs w:val="18"/>
                <w:color w:val="auto"/>
              </w:rPr>
              <w:t>Participations</w:t>
            </w:r>
          </w:p>
        </w:tc>
        <w:tc>
          <w:tcPr>
            <w:tcW w:w="1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12.3.</w:t>
            </w:r>
          </w:p>
        </w:tc>
        <w:tc>
          <w:tcPr>
            <w:tcW w:w="7600" w:type="dxa"/>
            <w:vAlign w:val="bottom"/>
          </w:tcPr>
          <w:p>
            <w:pPr>
              <w:ind w:left="380"/>
              <w:spacing w:after="0"/>
              <w:rPr>
                <w:sz w:val="20"/>
                <w:szCs w:val="20"/>
                <w:color w:val="auto"/>
              </w:rPr>
            </w:pPr>
            <w:r>
              <w:rPr>
                <w:rFonts w:ascii="Arial" w:cs="Arial" w:eastAsia="Arial" w:hAnsi="Arial"/>
                <w:sz w:val="18"/>
                <w:szCs w:val="18"/>
                <w:color w:val="auto"/>
              </w:rPr>
              <w:t>Withholding Taxes; Disclosure of Information; Pledge Under Regulation A</w:t>
            </w:r>
          </w:p>
        </w:tc>
        <w:tc>
          <w:tcPr>
            <w:tcW w:w="1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XIII</w:t>
            </w:r>
          </w:p>
        </w:tc>
        <w:tc>
          <w:tcPr>
            <w:tcW w:w="7600" w:type="dxa"/>
            <w:vAlign w:val="bottom"/>
          </w:tcPr>
          <w:p>
            <w:pPr>
              <w:ind w:left="8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NDEMNIFICATION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660" w:type="dxa"/>
            <w:vAlign w:val="bottom"/>
          </w:tcPr>
          <w:p>
            <w:pPr>
              <w:ind w:left="540"/>
              <w:spacing w:after="0"/>
              <w:rPr>
                <w:sz w:val="20"/>
                <w:szCs w:val="20"/>
                <w:color w:val="auto"/>
              </w:rPr>
            </w:pPr>
            <w:r>
              <w:rPr>
                <w:rFonts w:ascii="Arial" w:cs="Arial" w:eastAsia="Arial" w:hAnsi="Arial"/>
                <w:sz w:val="18"/>
                <w:szCs w:val="18"/>
                <w:color w:val="auto"/>
              </w:rPr>
              <w:t>Section 13.1.</w:t>
            </w:r>
          </w:p>
        </w:tc>
        <w:tc>
          <w:tcPr>
            <w:tcW w:w="7600" w:type="dxa"/>
            <w:vAlign w:val="bottom"/>
          </w:tcPr>
          <w:p>
            <w:pPr>
              <w:ind w:left="380"/>
              <w:spacing w:after="0"/>
              <w:rPr>
                <w:sz w:val="20"/>
                <w:szCs w:val="20"/>
                <w:color w:val="auto"/>
              </w:rPr>
            </w:pPr>
            <w:r>
              <w:rPr>
                <w:rFonts w:ascii="Arial" w:cs="Arial" w:eastAsia="Arial" w:hAnsi="Arial"/>
                <w:sz w:val="18"/>
                <w:szCs w:val="18"/>
                <w:color w:val="auto"/>
              </w:rPr>
              <w:t>Indemnification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13.2.</w:t>
            </w:r>
          </w:p>
        </w:tc>
        <w:tc>
          <w:tcPr>
            <w:tcW w:w="7600" w:type="dxa"/>
            <w:vAlign w:val="bottom"/>
          </w:tcPr>
          <w:p>
            <w:pPr>
              <w:ind w:left="380"/>
              <w:spacing w:after="0"/>
              <w:rPr>
                <w:sz w:val="20"/>
                <w:szCs w:val="20"/>
                <w:color w:val="auto"/>
              </w:rPr>
            </w:pPr>
            <w:r>
              <w:rPr>
                <w:rFonts w:ascii="Arial" w:cs="Arial" w:eastAsia="Arial" w:hAnsi="Arial"/>
                <w:sz w:val="18"/>
                <w:szCs w:val="18"/>
                <w:color w:val="auto"/>
              </w:rPr>
              <w:t>Nonconformance</w:t>
            </w:r>
          </w:p>
        </w:tc>
        <w:tc>
          <w:tcPr>
            <w:tcW w:w="1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13.3.</w:t>
            </w:r>
          </w:p>
        </w:tc>
        <w:tc>
          <w:tcPr>
            <w:tcW w:w="7600" w:type="dxa"/>
            <w:vAlign w:val="bottom"/>
          </w:tcPr>
          <w:p>
            <w:pPr>
              <w:ind w:left="380"/>
              <w:spacing w:after="0"/>
              <w:rPr>
                <w:sz w:val="20"/>
                <w:szCs w:val="20"/>
                <w:color w:val="auto"/>
              </w:rPr>
            </w:pPr>
            <w:r>
              <w:rPr>
                <w:rFonts w:ascii="Arial" w:cs="Arial" w:eastAsia="Arial" w:hAnsi="Arial"/>
                <w:sz w:val="18"/>
                <w:szCs w:val="18"/>
                <w:color w:val="auto"/>
              </w:rPr>
              <w:t>Proceedings in Respect of Claims</w:t>
            </w:r>
          </w:p>
        </w:tc>
        <w:tc>
          <w:tcPr>
            <w:tcW w:w="1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13.4.</w:t>
            </w:r>
          </w:p>
        </w:tc>
        <w:tc>
          <w:tcPr>
            <w:tcW w:w="7600" w:type="dxa"/>
            <w:vAlign w:val="bottom"/>
          </w:tcPr>
          <w:p>
            <w:pPr>
              <w:ind w:left="380"/>
              <w:spacing w:after="0"/>
              <w:rPr>
                <w:sz w:val="20"/>
                <w:szCs w:val="20"/>
                <w:color w:val="auto"/>
              </w:rPr>
            </w:pPr>
            <w:r>
              <w:rPr>
                <w:rFonts w:ascii="Arial" w:cs="Arial" w:eastAsia="Arial" w:hAnsi="Arial"/>
                <w:sz w:val="18"/>
                <w:szCs w:val="18"/>
                <w:color w:val="auto"/>
              </w:rPr>
              <w:t>General Tax Indemnity</w:t>
            </w:r>
          </w:p>
        </w:tc>
        <w:tc>
          <w:tcPr>
            <w:tcW w:w="1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13.5.</w:t>
            </w:r>
          </w:p>
        </w:tc>
        <w:tc>
          <w:tcPr>
            <w:tcW w:w="7600" w:type="dxa"/>
            <w:vAlign w:val="bottom"/>
          </w:tcPr>
          <w:p>
            <w:pPr>
              <w:ind w:left="380"/>
              <w:spacing w:after="0"/>
              <w:rPr>
                <w:sz w:val="20"/>
                <w:szCs w:val="20"/>
                <w:color w:val="auto"/>
              </w:rPr>
            </w:pPr>
            <w:r>
              <w:rPr>
                <w:rFonts w:ascii="Arial" w:cs="Arial" w:eastAsia="Arial" w:hAnsi="Arial"/>
                <w:sz w:val="18"/>
                <w:szCs w:val="18"/>
                <w:color w:val="auto"/>
              </w:rPr>
              <w:t>After Tax Basis</w:t>
            </w:r>
          </w:p>
        </w:tc>
        <w:tc>
          <w:tcPr>
            <w:tcW w:w="1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13.6.</w:t>
            </w:r>
          </w:p>
        </w:tc>
        <w:tc>
          <w:tcPr>
            <w:tcW w:w="7600" w:type="dxa"/>
            <w:vAlign w:val="bottom"/>
          </w:tcPr>
          <w:p>
            <w:pPr>
              <w:ind w:left="380"/>
              <w:spacing w:after="0"/>
              <w:rPr>
                <w:sz w:val="20"/>
                <w:szCs w:val="20"/>
                <w:color w:val="auto"/>
              </w:rPr>
            </w:pPr>
            <w:r>
              <w:rPr>
                <w:rFonts w:ascii="Arial" w:cs="Arial" w:eastAsia="Arial" w:hAnsi="Arial"/>
                <w:sz w:val="18"/>
                <w:szCs w:val="18"/>
                <w:color w:val="auto"/>
              </w:rPr>
              <w:t>[Reserved]</w:t>
            </w:r>
          </w:p>
        </w:tc>
        <w:tc>
          <w:tcPr>
            <w:tcW w:w="1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13.7.</w:t>
            </w:r>
          </w:p>
        </w:tc>
        <w:tc>
          <w:tcPr>
            <w:tcW w:w="7600" w:type="dxa"/>
            <w:vAlign w:val="bottom"/>
          </w:tcPr>
          <w:p>
            <w:pPr>
              <w:ind w:left="380"/>
              <w:spacing w:after="0"/>
              <w:rPr>
                <w:sz w:val="20"/>
                <w:szCs w:val="20"/>
                <w:color w:val="auto"/>
              </w:rPr>
            </w:pPr>
            <w:r>
              <w:rPr>
                <w:rFonts w:ascii="Arial" w:cs="Arial" w:eastAsia="Arial" w:hAnsi="Arial"/>
                <w:sz w:val="18"/>
                <w:szCs w:val="18"/>
                <w:color w:val="auto"/>
              </w:rPr>
              <w:t>Environmental Indemnity</w:t>
            </w:r>
          </w:p>
        </w:tc>
        <w:tc>
          <w:tcPr>
            <w:tcW w:w="1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XIV</w:t>
            </w:r>
          </w:p>
        </w:tc>
        <w:tc>
          <w:tcPr>
            <w:tcW w:w="7600" w:type="dxa"/>
            <w:vAlign w:val="bottom"/>
          </w:tcPr>
          <w:p>
            <w:pPr>
              <w:ind w:left="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ONTINGENT</w:t>
            </w:r>
            <w:r>
              <w:rPr>
                <w:rFonts w:ascii="Arial" w:cs="Arial" w:eastAsia="Arial" w:hAnsi="Arial"/>
                <w:sz w:val="18"/>
                <w:szCs w:val="18"/>
                <w:color w:val="auto"/>
              </w:rPr>
              <w:t xml:space="preserve"> T</w:t>
            </w:r>
            <w:r>
              <w:rPr>
                <w:rFonts w:ascii="Arial" w:cs="Arial" w:eastAsia="Arial" w:hAnsi="Arial"/>
                <w:sz w:val="12"/>
                <w:szCs w:val="12"/>
                <w:color w:val="auto"/>
              </w:rPr>
              <w:t>ERM</w:t>
            </w:r>
            <w:r>
              <w:rPr>
                <w:rFonts w:ascii="Arial" w:cs="Arial" w:eastAsia="Arial" w:hAnsi="Arial"/>
                <w:sz w:val="18"/>
                <w:szCs w:val="18"/>
                <w:color w:val="auto"/>
              </w:rPr>
              <w:t xml:space="preserve"> SOFR </w:t>
            </w:r>
            <w:r>
              <w:rPr>
                <w:rFonts w:ascii="Arial" w:cs="Arial" w:eastAsia="Arial" w:hAnsi="Arial"/>
                <w:sz w:val="12"/>
                <w:szCs w:val="12"/>
                <w:color w:val="auto"/>
              </w:rPr>
              <w:t>AND</w:t>
            </w:r>
            <w:r>
              <w:rPr>
                <w:rFonts w:ascii="Arial" w:cs="Arial" w:eastAsia="Arial" w:hAnsi="Arial"/>
                <w:sz w:val="18"/>
                <w:szCs w:val="18"/>
                <w:color w:val="auto"/>
              </w:rPr>
              <w:t xml:space="preserve"> O</w:t>
            </w:r>
            <w:r>
              <w:rPr>
                <w:rFonts w:ascii="Arial" w:cs="Arial" w:eastAsia="Arial" w:hAnsi="Arial"/>
                <w:sz w:val="12"/>
                <w:szCs w:val="12"/>
                <w:color w:val="auto"/>
              </w:rPr>
              <w:t>THER</w:t>
            </w:r>
            <w:r>
              <w:rPr>
                <w:rFonts w:ascii="Arial" w:cs="Arial" w:eastAsia="Arial" w:hAnsi="Arial"/>
                <w:sz w:val="18"/>
                <w:szCs w:val="18"/>
                <w:color w:val="auto"/>
              </w:rPr>
              <w:t xml:space="preserve"> C</w:t>
            </w:r>
            <w:r>
              <w:rPr>
                <w:rFonts w:ascii="Arial" w:cs="Arial" w:eastAsia="Arial" w:hAnsi="Arial"/>
                <w:sz w:val="12"/>
                <w:szCs w:val="12"/>
                <w:color w:val="auto"/>
              </w:rPr>
              <w:t>OSTS</w:t>
            </w:r>
          </w:p>
        </w:tc>
        <w:tc>
          <w:tcPr>
            <w:tcW w:w="1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660" w:type="dxa"/>
            <w:vAlign w:val="bottom"/>
          </w:tcPr>
          <w:p>
            <w:pPr>
              <w:ind w:left="540"/>
              <w:spacing w:after="0"/>
              <w:rPr>
                <w:sz w:val="20"/>
                <w:szCs w:val="20"/>
                <w:color w:val="auto"/>
              </w:rPr>
            </w:pPr>
            <w:r>
              <w:rPr>
                <w:rFonts w:ascii="Arial" w:cs="Arial" w:eastAsia="Arial" w:hAnsi="Arial"/>
                <w:sz w:val="18"/>
                <w:szCs w:val="18"/>
                <w:color w:val="auto"/>
              </w:rPr>
              <w:t>Section 14.1.</w:t>
            </w:r>
          </w:p>
        </w:tc>
        <w:tc>
          <w:tcPr>
            <w:tcW w:w="7600" w:type="dxa"/>
            <w:vAlign w:val="bottom"/>
          </w:tcPr>
          <w:p>
            <w:pPr>
              <w:ind w:left="380"/>
              <w:spacing w:after="0"/>
              <w:rPr>
                <w:sz w:val="20"/>
                <w:szCs w:val="20"/>
                <w:color w:val="auto"/>
              </w:rPr>
            </w:pPr>
            <w:r>
              <w:rPr>
                <w:rFonts w:ascii="Arial" w:cs="Arial" w:eastAsia="Arial" w:hAnsi="Arial"/>
                <w:sz w:val="18"/>
                <w:szCs w:val="18"/>
                <w:color w:val="auto"/>
              </w:rPr>
              <w:t>Term SOFR Rate Lending Unlawful</w:t>
            </w:r>
          </w:p>
        </w:tc>
        <w:tc>
          <w:tcPr>
            <w:tcW w:w="1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14.2.</w:t>
            </w:r>
          </w:p>
        </w:tc>
        <w:tc>
          <w:tcPr>
            <w:tcW w:w="7600" w:type="dxa"/>
            <w:vAlign w:val="bottom"/>
          </w:tcPr>
          <w:p>
            <w:pPr>
              <w:ind w:left="380"/>
              <w:spacing w:after="0"/>
              <w:rPr>
                <w:sz w:val="20"/>
                <w:szCs w:val="20"/>
                <w:color w:val="auto"/>
              </w:rPr>
            </w:pPr>
            <w:r>
              <w:rPr>
                <w:rFonts w:ascii="Arial" w:cs="Arial" w:eastAsia="Arial" w:hAnsi="Arial"/>
                <w:sz w:val="18"/>
                <w:szCs w:val="18"/>
                <w:color w:val="auto"/>
              </w:rPr>
              <w:t>[Reserved]</w:t>
            </w:r>
          </w:p>
        </w:tc>
        <w:tc>
          <w:tcPr>
            <w:tcW w:w="1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14.3.</w:t>
            </w:r>
          </w:p>
        </w:tc>
        <w:tc>
          <w:tcPr>
            <w:tcW w:w="7600" w:type="dxa"/>
            <w:vAlign w:val="bottom"/>
          </w:tcPr>
          <w:p>
            <w:pPr>
              <w:ind w:left="380"/>
              <w:spacing w:after="0"/>
              <w:rPr>
                <w:sz w:val="20"/>
                <w:szCs w:val="20"/>
                <w:color w:val="auto"/>
              </w:rPr>
            </w:pPr>
            <w:r>
              <w:rPr>
                <w:rFonts w:ascii="Arial" w:cs="Arial" w:eastAsia="Arial" w:hAnsi="Arial"/>
                <w:sz w:val="18"/>
                <w:szCs w:val="18"/>
                <w:color w:val="auto"/>
              </w:rPr>
              <w:t>Increased Costs, etc.</w:t>
            </w:r>
          </w:p>
        </w:tc>
        <w:tc>
          <w:tcPr>
            <w:tcW w:w="1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14.4.</w:t>
            </w:r>
          </w:p>
        </w:tc>
        <w:tc>
          <w:tcPr>
            <w:tcW w:w="7600" w:type="dxa"/>
            <w:vAlign w:val="bottom"/>
          </w:tcPr>
          <w:p>
            <w:pPr>
              <w:ind w:left="380"/>
              <w:spacing w:after="0"/>
              <w:rPr>
                <w:sz w:val="20"/>
                <w:szCs w:val="20"/>
                <w:color w:val="auto"/>
              </w:rPr>
            </w:pPr>
            <w:r>
              <w:rPr>
                <w:rFonts w:ascii="Arial" w:cs="Arial" w:eastAsia="Arial" w:hAnsi="Arial"/>
                <w:sz w:val="18"/>
                <w:szCs w:val="18"/>
                <w:color w:val="auto"/>
              </w:rPr>
              <w:t>Funding Losses</w:t>
            </w:r>
          </w:p>
        </w:tc>
        <w:tc>
          <w:tcPr>
            <w:tcW w:w="1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14.5.</w:t>
            </w:r>
          </w:p>
        </w:tc>
        <w:tc>
          <w:tcPr>
            <w:tcW w:w="7600" w:type="dxa"/>
            <w:vAlign w:val="bottom"/>
          </w:tcPr>
          <w:p>
            <w:pPr>
              <w:ind w:left="380"/>
              <w:spacing w:after="0"/>
              <w:rPr>
                <w:sz w:val="20"/>
                <w:szCs w:val="20"/>
                <w:color w:val="auto"/>
              </w:rPr>
            </w:pPr>
            <w:r>
              <w:rPr>
                <w:rFonts w:ascii="Arial" w:cs="Arial" w:eastAsia="Arial" w:hAnsi="Arial"/>
                <w:sz w:val="18"/>
                <w:szCs w:val="18"/>
                <w:color w:val="auto"/>
              </w:rPr>
              <w:t>Increased Capital Costs</w:t>
            </w:r>
          </w:p>
        </w:tc>
        <w:tc>
          <w:tcPr>
            <w:tcW w:w="1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14.6.</w:t>
            </w:r>
          </w:p>
        </w:tc>
        <w:tc>
          <w:tcPr>
            <w:tcW w:w="7600" w:type="dxa"/>
            <w:vAlign w:val="bottom"/>
          </w:tcPr>
          <w:p>
            <w:pPr>
              <w:ind w:left="380"/>
              <w:spacing w:after="0"/>
              <w:rPr>
                <w:sz w:val="20"/>
                <w:szCs w:val="20"/>
                <w:color w:val="auto"/>
              </w:rPr>
            </w:pPr>
            <w:r>
              <w:rPr>
                <w:rFonts w:ascii="Arial" w:cs="Arial" w:eastAsia="Arial" w:hAnsi="Arial"/>
                <w:sz w:val="18"/>
                <w:szCs w:val="18"/>
                <w:color w:val="auto"/>
              </w:rPr>
              <w:t>After Tax Basis</w:t>
            </w:r>
          </w:p>
        </w:tc>
        <w:tc>
          <w:tcPr>
            <w:tcW w:w="1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14.7.</w:t>
            </w:r>
          </w:p>
        </w:tc>
        <w:tc>
          <w:tcPr>
            <w:tcW w:w="7600" w:type="dxa"/>
            <w:vAlign w:val="bottom"/>
          </w:tcPr>
          <w:p>
            <w:pPr>
              <w:ind w:left="380"/>
              <w:spacing w:after="0"/>
              <w:rPr>
                <w:sz w:val="20"/>
                <w:szCs w:val="20"/>
                <w:color w:val="auto"/>
              </w:rPr>
            </w:pPr>
            <w:r>
              <w:rPr>
                <w:rFonts w:ascii="Arial" w:cs="Arial" w:eastAsia="Arial" w:hAnsi="Arial"/>
                <w:sz w:val="18"/>
                <w:szCs w:val="18"/>
                <w:color w:val="auto"/>
              </w:rPr>
              <w:t>Applicability of Certain Sections</w:t>
            </w:r>
          </w:p>
        </w:tc>
        <w:tc>
          <w:tcPr>
            <w:tcW w:w="1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14.8.</w:t>
            </w:r>
          </w:p>
        </w:tc>
        <w:tc>
          <w:tcPr>
            <w:tcW w:w="7600" w:type="dxa"/>
            <w:vAlign w:val="bottom"/>
          </w:tcPr>
          <w:p>
            <w:pPr>
              <w:ind w:left="380"/>
              <w:spacing w:after="0"/>
              <w:rPr>
                <w:sz w:val="20"/>
                <w:szCs w:val="20"/>
                <w:color w:val="auto"/>
              </w:rPr>
            </w:pPr>
            <w:r>
              <w:rPr>
                <w:rFonts w:ascii="Arial" w:cs="Arial" w:eastAsia="Arial" w:hAnsi="Arial"/>
                <w:sz w:val="18"/>
                <w:szCs w:val="18"/>
                <w:color w:val="auto"/>
              </w:rPr>
              <w:t>Funding Office</w:t>
            </w:r>
          </w:p>
        </w:tc>
        <w:tc>
          <w:tcPr>
            <w:tcW w:w="1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14.9.</w:t>
            </w:r>
          </w:p>
        </w:tc>
        <w:tc>
          <w:tcPr>
            <w:tcW w:w="7600" w:type="dxa"/>
            <w:vAlign w:val="bottom"/>
          </w:tcPr>
          <w:p>
            <w:pPr>
              <w:ind w:left="380"/>
              <w:spacing w:after="0"/>
              <w:rPr>
                <w:sz w:val="20"/>
                <w:szCs w:val="20"/>
                <w:color w:val="auto"/>
              </w:rPr>
            </w:pPr>
            <w:r>
              <w:rPr>
                <w:rFonts w:ascii="Arial" w:cs="Arial" w:eastAsia="Arial" w:hAnsi="Arial"/>
                <w:sz w:val="18"/>
                <w:szCs w:val="18"/>
                <w:color w:val="auto"/>
              </w:rPr>
              <w:t>Replacement of Participants</w:t>
            </w:r>
          </w:p>
        </w:tc>
        <w:tc>
          <w:tcPr>
            <w:tcW w:w="1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14.10.</w:t>
            </w:r>
          </w:p>
        </w:tc>
        <w:tc>
          <w:tcPr>
            <w:tcW w:w="7600" w:type="dxa"/>
            <w:vAlign w:val="bottom"/>
          </w:tcPr>
          <w:p>
            <w:pPr>
              <w:ind w:left="380"/>
              <w:spacing w:after="0"/>
              <w:rPr>
                <w:sz w:val="20"/>
                <w:szCs w:val="20"/>
                <w:color w:val="auto"/>
              </w:rPr>
            </w:pPr>
            <w:r>
              <w:rPr>
                <w:rFonts w:ascii="Arial" w:cs="Arial" w:eastAsia="Arial" w:hAnsi="Arial"/>
                <w:sz w:val="18"/>
                <w:szCs w:val="18"/>
                <w:color w:val="auto"/>
              </w:rPr>
              <w:t>Inability to Determine Rates</w:t>
            </w:r>
          </w:p>
        </w:tc>
        <w:tc>
          <w:tcPr>
            <w:tcW w:w="198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w:t>
            </w:r>
          </w:p>
        </w:tc>
        <w:tc>
          <w:tcPr>
            <w:tcW w:w="6700" w:type="dxa"/>
            <w:vAlign w:val="bottom"/>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tc>
        <w:tc>
          <w:tcPr>
            <w:tcW w:w="2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1660" w:type="dxa"/>
            <w:vAlign w:val="bottom"/>
          </w:tcPr>
          <w:p>
            <w:pPr>
              <w:ind w:left="540"/>
              <w:spacing w:after="0"/>
              <w:rPr>
                <w:sz w:val="20"/>
                <w:szCs w:val="20"/>
                <w:color w:val="auto"/>
              </w:rPr>
            </w:pPr>
            <w:r>
              <w:rPr>
                <w:rFonts w:ascii="Arial" w:cs="Arial" w:eastAsia="Arial" w:hAnsi="Arial"/>
                <w:sz w:val="18"/>
                <w:szCs w:val="18"/>
                <w:color w:val="auto"/>
              </w:rPr>
              <w:t>Section 15.1.</w:t>
            </w:r>
          </w:p>
        </w:tc>
        <w:tc>
          <w:tcPr>
            <w:tcW w:w="6700" w:type="dxa"/>
            <w:vAlign w:val="bottom"/>
          </w:tcPr>
          <w:p>
            <w:pPr>
              <w:ind w:left="380"/>
              <w:spacing w:after="0"/>
              <w:rPr>
                <w:sz w:val="20"/>
                <w:szCs w:val="20"/>
                <w:color w:val="auto"/>
              </w:rPr>
            </w:pPr>
            <w:r>
              <w:rPr>
                <w:rFonts w:ascii="Arial" w:cs="Arial" w:eastAsia="Arial" w:hAnsi="Arial"/>
                <w:sz w:val="18"/>
                <w:szCs w:val="18"/>
                <w:color w:val="auto"/>
              </w:rPr>
              <w:t>Survival of Agreements</w:t>
            </w:r>
          </w:p>
        </w:tc>
        <w:tc>
          <w:tcPr>
            <w:tcW w:w="2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15.2.</w:t>
            </w:r>
          </w:p>
        </w:tc>
        <w:tc>
          <w:tcPr>
            <w:tcW w:w="6700" w:type="dxa"/>
            <w:vAlign w:val="bottom"/>
          </w:tcPr>
          <w:p>
            <w:pPr>
              <w:ind w:left="380"/>
              <w:spacing w:after="0"/>
              <w:rPr>
                <w:sz w:val="20"/>
                <w:szCs w:val="20"/>
                <w:color w:val="auto"/>
              </w:rPr>
            </w:pPr>
            <w:r>
              <w:rPr>
                <w:rFonts w:ascii="Arial" w:cs="Arial" w:eastAsia="Arial" w:hAnsi="Arial"/>
                <w:sz w:val="18"/>
                <w:szCs w:val="18"/>
                <w:color w:val="auto"/>
              </w:rPr>
              <w:t>No Broker, Etc.</w:t>
            </w:r>
          </w:p>
        </w:tc>
        <w:tc>
          <w:tcPr>
            <w:tcW w:w="2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15.3.</w:t>
            </w:r>
          </w:p>
        </w:tc>
        <w:tc>
          <w:tcPr>
            <w:tcW w:w="6700" w:type="dxa"/>
            <w:vAlign w:val="bottom"/>
          </w:tcPr>
          <w:p>
            <w:pPr>
              <w:ind w:left="380"/>
              <w:spacing w:after="0"/>
              <w:rPr>
                <w:sz w:val="20"/>
                <w:szCs w:val="20"/>
                <w:color w:val="auto"/>
              </w:rPr>
            </w:pPr>
            <w:r>
              <w:rPr>
                <w:rFonts w:ascii="Arial" w:cs="Arial" w:eastAsia="Arial" w:hAnsi="Arial"/>
                <w:sz w:val="18"/>
                <w:szCs w:val="18"/>
                <w:color w:val="auto"/>
              </w:rPr>
              <w:t>Notices</w:t>
            </w:r>
          </w:p>
        </w:tc>
        <w:tc>
          <w:tcPr>
            <w:tcW w:w="2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15.4.</w:t>
            </w:r>
          </w:p>
        </w:tc>
        <w:tc>
          <w:tcPr>
            <w:tcW w:w="6700" w:type="dxa"/>
            <w:vAlign w:val="bottom"/>
          </w:tcPr>
          <w:p>
            <w:pPr>
              <w:ind w:left="380"/>
              <w:spacing w:after="0"/>
              <w:rPr>
                <w:sz w:val="20"/>
                <w:szCs w:val="20"/>
                <w:color w:val="auto"/>
              </w:rPr>
            </w:pPr>
            <w:r>
              <w:rPr>
                <w:rFonts w:ascii="Arial" w:cs="Arial" w:eastAsia="Arial" w:hAnsi="Arial"/>
                <w:sz w:val="18"/>
                <w:szCs w:val="18"/>
                <w:color w:val="auto"/>
              </w:rPr>
              <w:t>Counterparts</w:t>
            </w:r>
          </w:p>
        </w:tc>
        <w:tc>
          <w:tcPr>
            <w:tcW w:w="2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15.5.</w:t>
            </w:r>
          </w:p>
        </w:tc>
        <w:tc>
          <w:tcPr>
            <w:tcW w:w="6700" w:type="dxa"/>
            <w:vAlign w:val="bottom"/>
          </w:tcPr>
          <w:p>
            <w:pPr>
              <w:ind w:left="380"/>
              <w:spacing w:after="0"/>
              <w:rPr>
                <w:sz w:val="20"/>
                <w:szCs w:val="20"/>
                <w:color w:val="auto"/>
              </w:rPr>
            </w:pPr>
            <w:r>
              <w:rPr>
                <w:rFonts w:ascii="Arial" w:cs="Arial" w:eastAsia="Arial" w:hAnsi="Arial"/>
                <w:sz w:val="18"/>
                <w:szCs w:val="18"/>
                <w:color w:val="auto"/>
              </w:rPr>
              <w:t>Amendments</w:t>
            </w:r>
          </w:p>
        </w:tc>
        <w:tc>
          <w:tcPr>
            <w:tcW w:w="2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15.6.</w:t>
            </w:r>
          </w:p>
        </w:tc>
        <w:tc>
          <w:tcPr>
            <w:tcW w:w="6700" w:type="dxa"/>
            <w:vAlign w:val="bottom"/>
          </w:tcPr>
          <w:p>
            <w:pPr>
              <w:ind w:left="380"/>
              <w:spacing w:after="0"/>
              <w:rPr>
                <w:sz w:val="20"/>
                <w:szCs w:val="20"/>
                <w:color w:val="auto"/>
              </w:rPr>
            </w:pPr>
            <w:r>
              <w:rPr>
                <w:rFonts w:ascii="Arial" w:cs="Arial" w:eastAsia="Arial" w:hAnsi="Arial"/>
                <w:sz w:val="18"/>
                <w:szCs w:val="18"/>
                <w:color w:val="auto"/>
              </w:rPr>
              <w:t>Obligations</w:t>
            </w:r>
          </w:p>
        </w:tc>
        <w:tc>
          <w:tcPr>
            <w:tcW w:w="2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15.7.</w:t>
            </w:r>
          </w:p>
        </w:tc>
        <w:tc>
          <w:tcPr>
            <w:tcW w:w="6700" w:type="dxa"/>
            <w:vAlign w:val="bottom"/>
          </w:tcPr>
          <w:p>
            <w:pPr>
              <w:ind w:left="380"/>
              <w:spacing w:after="0"/>
              <w:rPr>
                <w:sz w:val="20"/>
                <w:szCs w:val="20"/>
                <w:color w:val="auto"/>
              </w:rPr>
            </w:pPr>
            <w:r>
              <w:rPr>
                <w:rFonts w:ascii="Arial" w:cs="Arial" w:eastAsia="Arial" w:hAnsi="Arial"/>
                <w:sz w:val="18"/>
                <w:szCs w:val="18"/>
                <w:color w:val="auto"/>
              </w:rPr>
              <w:t>Headings, Etc.</w:t>
            </w:r>
          </w:p>
        </w:tc>
        <w:tc>
          <w:tcPr>
            <w:tcW w:w="2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15.8.</w:t>
            </w:r>
          </w:p>
        </w:tc>
        <w:tc>
          <w:tcPr>
            <w:tcW w:w="6700" w:type="dxa"/>
            <w:vAlign w:val="bottom"/>
          </w:tcPr>
          <w:p>
            <w:pPr>
              <w:ind w:left="380"/>
              <w:spacing w:after="0"/>
              <w:rPr>
                <w:sz w:val="20"/>
                <w:szCs w:val="20"/>
                <w:color w:val="auto"/>
              </w:rPr>
            </w:pPr>
            <w:r>
              <w:rPr>
                <w:rFonts w:ascii="Arial" w:cs="Arial" w:eastAsia="Arial" w:hAnsi="Arial"/>
                <w:sz w:val="18"/>
                <w:szCs w:val="18"/>
                <w:color w:val="auto"/>
              </w:rPr>
              <w:t>Parties in Interest</w:t>
            </w:r>
          </w:p>
        </w:tc>
        <w:tc>
          <w:tcPr>
            <w:tcW w:w="2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15.9.</w:t>
            </w:r>
          </w:p>
        </w:tc>
        <w:tc>
          <w:tcPr>
            <w:tcW w:w="6700" w:type="dxa"/>
            <w:vAlign w:val="bottom"/>
          </w:tcPr>
          <w:p>
            <w:pPr>
              <w:ind w:left="380"/>
              <w:spacing w:after="0"/>
              <w:rPr>
                <w:sz w:val="20"/>
                <w:szCs w:val="20"/>
                <w:color w:val="auto"/>
              </w:rPr>
            </w:pPr>
            <w:r>
              <w:rPr>
                <w:rFonts w:ascii="Arial" w:cs="Arial" w:eastAsia="Arial" w:hAnsi="Arial"/>
                <w:sz w:val="18"/>
                <w:szCs w:val="18"/>
                <w:color w:val="auto"/>
              </w:rPr>
              <w:t>Governing Law</w:t>
            </w:r>
          </w:p>
        </w:tc>
        <w:tc>
          <w:tcPr>
            <w:tcW w:w="2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15.10.</w:t>
            </w:r>
          </w:p>
        </w:tc>
        <w:tc>
          <w:tcPr>
            <w:tcW w:w="6700" w:type="dxa"/>
            <w:vAlign w:val="bottom"/>
          </w:tcPr>
          <w:p>
            <w:pPr>
              <w:ind w:left="380"/>
              <w:spacing w:after="0"/>
              <w:rPr>
                <w:sz w:val="20"/>
                <w:szCs w:val="20"/>
                <w:color w:val="auto"/>
              </w:rPr>
            </w:pPr>
            <w:r>
              <w:rPr>
                <w:rFonts w:ascii="Arial" w:cs="Arial" w:eastAsia="Arial" w:hAnsi="Arial"/>
                <w:sz w:val="18"/>
                <w:szCs w:val="18"/>
                <w:color w:val="auto"/>
              </w:rPr>
              <w:t>Severability</w:t>
            </w:r>
          </w:p>
        </w:tc>
        <w:tc>
          <w:tcPr>
            <w:tcW w:w="2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15.11.</w:t>
            </w:r>
          </w:p>
        </w:tc>
        <w:tc>
          <w:tcPr>
            <w:tcW w:w="6700" w:type="dxa"/>
            <w:vAlign w:val="bottom"/>
          </w:tcPr>
          <w:p>
            <w:pPr>
              <w:ind w:left="380"/>
              <w:spacing w:after="0"/>
              <w:rPr>
                <w:sz w:val="20"/>
                <w:szCs w:val="20"/>
                <w:color w:val="auto"/>
              </w:rPr>
            </w:pPr>
            <w:r>
              <w:rPr>
                <w:rFonts w:ascii="Arial" w:cs="Arial" w:eastAsia="Arial" w:hAnsi="Arial"/>
                <w:sz w:val="18"/>
                <w:szCs w:val="18"/>
                <w:color w:val="auto"/>
              </w:rPr>
              <w:t>Further Assurances</w:t>
            </w:r>
          </w:p>
        </w:tc>
        <w:tc>
          <w:tcPr>
            <w:tcW w:w="2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15.12.</w:t>
            </w:r>
          </w:p>
        </w:tc>
        <w:tc>
          <w:tcPr>
            <w:tcW w:w="6700" w:type="dxa"/>
            <w:vAlign w:val="bottom"/>
          </w:tcPr>
          <w:p>
            <w:pPr>
              <w:ind w:left="380"/>
              <w:spacing w:after="0"/>
              <w:rPr>
                <w:sz w:val="20"/>
                <w:szCs w:val="20"/>
                <w:color w:val="auto"/>
              </w:rPr>
            </w:pPr>
            <w:r>
              <w:rPr>
                <w:rFonts w:ascii="Arial" w:cs="Arial" w:eastAsia="Arial" w:hAnsi="Arial"/>
                <w:sz w:val="18"/>
                <w:szCs w:val="18"/>
                <w:color w:val="auto"/>
              </w:rPr>
              <w:t>Submission to Jurisdiction</w:t>
            </w:r>
          </w:p>
        </w:tc>
        <w:tc>
          <w:tcPr>
            <w:tcW w:w="2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15.13.</w:t>
            </w:r>
          </w:p>
        </w:tc>
        <w:tc>
          <w:tcPr>
            <w:tcW w:w="6700" w:type="dxa"/>
            <w:vAlign w:val="bottom"/>
          </w:tcPr>
          <w:p>
            <w:pPr>
              <w:ind w:left="380"/>
              <w:spacing w:after="0"/>
              <w:rPr>
                <w:sz w:val="20"/>
                <w:szCs w:val="20"/>
                <w:color w:val="auto"/>
              </w:rPr>
            </w:pPr>
            <w:r>
              <w:rPr>
                <w:rFonts w:ascii="Arial" w:cs="Arial" w:eastAsia="Arial" w:hAnsi="Arial"/>
                <w:sz w:val="18"/>
                <w:szCs w:val="18"/>
                <w:color w:val="auto"/>
              </w:rPr>
              <w:t>Waiver of Jury Trial</w:t>
            </w:r>
          </w:p>
        </w:tc>
        <w:tc>
          <w:tcPr>
            <w:tcW w:w="2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15.14.</w:t>
            </w:r>
          </w:p>
        </w:tc>
        <w:tc>
          <w:tcPr>
            <w:tcW w:w="6700" w:type="dxa"/>
            <w:vAlign w:val="bottom"/>
          </w:tcPr>
          <w:p>
            <w:pPr>
              <w:ind w:left="380"/>
              <w:spacing w:after="0"/>
              <w:rPr>
                <w:sz w:val="20"/>
                <w:szCs w:val="20"/>
                <w:color w:val="auto"/>
              </w:rPr>
            </w:pPr>
            <w:r>
              <w:rPr>
                <w:rFonts w:ascii="Arial" w:cs="Arial" w:eastAsia="Arial" w:hAnsi="Arial"/>
                <w:sz w:val="18"/>
                <w:szCs w:val="18"/>
                <w:color w:val="auto"/>
              </w:rPr>
              <w:t>Confidentiality</w:t>
            </w:r>
          </w:p>
        </w:tc>
        <w:tc>
          <w:tcPr>
            <w:tcW w:w="2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15.15.</w:t>
            </w:r>
          </w:p>
        </w:tc>
        <w:tc>
          <w:tcPr>
            <w:tcW w:w="6700" w:type="dxa"/>
            <w:vAlign w:val="bottom"/>
          </w:tcPr>
          <w:p>
            <w:pPr>
              <w:ind w:left="380"/>
              <w:spacing w:after="0"/>
              <w:rPr>
                <w:sz w:val="20"/>
                <w:szCs w:val="20"/>
                <w:color w:val="auto"/>
              </w:rPr>
            </w:pPr>
            <w:r>
              <w:rPr>
                <w:rFonts w:ascii="Arial" w:cs="Arial" w:eastAsia="Arial" w:hAnsi="Arial"/>
                <w:sz w:val="18"/>
                <w:szCs w:val="18"/>
                <w:color w:val="auto"/>
              </w:rPr>
              <w:t>Limited Liability of Lessor</w:t>
            </w:r>
          </w:p>
        </w:tc>
        <w:tc>
          <w:tcPr>
            <w:tcW w:w="2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15.16.</w:t>
            </w:r>
          </w:p>
        </w:tc>
        <w:tc>
          <w:tcPr>
            <w:tcW w:w="6700" w:type="dxa"/>
            <w:vAlign w:val="bottom"/>
          </w:tcPr>
          <w:p>
            <w:pPr>
              <w:ind w:left="380"/>
              <w:spacing w:after="0"/>
              <w:rPr>
                <w:sz w:val="20"/>
                <w:szCs w:val="20"/>
                <w:color w:val="auto"/>
              </w:rPr>
            </w:pPr>
            <w:r>
              <w:rPr>
                <w:rFonts w:ascii="Arial" w:cs="Arial" w:eastAsia="Arial" w:hAnsi="Arial"/>
                <w:sz w:val="18"/>
                <w:szCs w:val="18"/>
                <w:color w:val="auto"/>
              </w:rPr>
              <w:t>Limited Liability of Administrative Agent</w:t>
            </w:r>
          </w:p>
        </w:tc>
        <w:tc>
          <w:tcPr>
            <w:tcW w:w="2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15.17.</w:t>
            </w:r>
          </w:p>
        </w:tc>
        <w:tc>
          <w:tcPr>
            <w:tcW w:w="6700" w:type="dxa"/>
            <w:vAlign w:val="bottom"/>
          </w:tcPr>
          <w:p>
            <w:pPr>
              <w:ind w:left="380"/>
              <w:spacing w:after="0"/>
              <w:rPr>
                <w:sz w:val="20"/>
                <w:szCs w:val="20"/>
                <w:color w:val="auto"/>
              </w:rPr>
            </w:pPr>
            <w:r>
              <w:rPr>
                <w:rFonts w:ascii="Arial" w:cs="Arial" w:eastAsia="Arial" w:hAnsi="Arial"/>
                <w:sz w:val="18"/>
                <w:szCs w:val="18"/>
                <w:color w:val="auto"/>
              </w:rPr>
              <w:t>Payment of Transaction Expenses and Other Costs</w:t>
            </w:r>
          </w:p>
        </w:tc>
        <w:tc>
          <w:tcPr>
            <w:tcW w:w="2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15.18.</w:t>
            </w:r>
          </w:p>
        </w:tc>
        <w:tc>
          <w:tcPr>
            <w:tcW w:w="6700" w:type="dxa"/>
            <w:vAlign w:val="bottom"/>
          </w:tcPr>
          <w:p>
            <w:pPr>
              <w:ind w:left="380"/>
              <w:spacing w:after="0"/>
              <w:rPr>
                <w:sz w:val="20"/>
                <w:szCs w:val="20"/>
                <w:color w:val="auto"/>
              </w:rPr>
            </w:pPr>
            <w:r>
              <w:rPr>
                <w:rFonts w:ascii="Arial" w:cs="Arial" w:eastAsia="Arial" w:hAnsi="Arial"/>
                <w:sz w:val="18"/>
                <w:szCs w:val="18"/>
                <w:color w:val="auto"/>
              </w:rPr>
              <w:t>Reproduction of Documents</w:t>
            </w:r>
          </w:p>
        </w:tc>
        <w:tc>
          <w:tcPr>
            <w:tcW w:w="2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15.19.</w:t>
            </w:r>
          </w:p>
        </w:tc>
        <w:tc>
          <w:tcPr>
            <w:tcW w:w="6700" w:type="dxa"/>
            <w:vAlign w:val="bottom"/>
          </w:tcPr>
          <w:p>
            <w:pPr>
              <w:ind w:left="380"/>
              <w:spacing w:after="0"/>
              <w:rPr>
                <w:sz w:val="20"/>
                <w:szCs w:val="20"/>
                <w:color w:val="auto"/>
              </w:rPr>
            </w:pPr>
            <w:r>
              <w:rPr>
                <w:rFonts w:ascii="Arial" w:cs="Arial" w:eastAsia="Arial" w:hAnsi="Arial"/>
                <w:sz w:val="18"/>
                <w:szCs w:val="18"/>
                <w:color w:val="auto"/>
              </w:rPr>
              <w:t>Role of Arranger</w:t>
            </w:r>
          </w:p>
        </w:tc>
        <w:tc>
          <w:tcPr>
            <w:tcW w:w="2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15.20.</w:t>
            </w:r>
          </w:p>
        </w:tc>
        <w:tc>
          <w:tcPr>
            <w:tcW w:w="6700" w:type="dxa"/>
            <w:vAlign w:val="bottom"/>
          </w:tcPr>
          <w:p>
            <w:pPr>
              <w:ind w:left="380"/>
              <w:spacing w:after="0"/>
              <w:rPr>
                <w:sz w:val="20"/>
                <w:szCs w:val="20"/>
                <w:color w:val="auto"/>
              </w:rPr>
            </w:pPr>
            <w:r>
              <w:rPr>
                <w:rFonts w:ascii="Arial" w:cs="Arial" w:eastAsia="Arial" w:hAnsi="Arial"/>
                <w:sz w:val="18"/>
                <w:szCs w:val="18"/>
                <w:color w:val="auto"/>
              </w:rPr>
              <w:t>Retention of Consultants</w:t>
            </w:r>
          </w:p>
        </w:tc>
        <w:tc>
          <w:tcPr>
            <w:tcW w:w="2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15.21.</w:t>
            </w:r>
          </w:p>
        </w:tc>
        <w:tc>
          <w:tcPr>
            <w:tcW w:w="6700" w:type="dxa"/>
            <w:vAlign w:val="bottom"/>
          </w:tcPr>
          <w:p>
            <w:pPr>
              <w:ind w:left="380"/>
              <w:spacing w:after="0"/>
              <w:rPr>
                <w:sz w:val="20"/>
                <w:szCs w:val="20"/>
                <w:color w:val="auto"/>
              </w:rPr>
            </w:pPr>
            <w:r>
              <w:rPr>
                <w:rFonts w:ascii="Arial" w:cs="Arial" w:eastAsia="Arial" w:hAnsi="Arial"/>
                <w:sz w:val="18"/>
                <w:szCs w:val="18"/>
                <w:color w:val="auto"/>
              </w:rPr>
              <w:t>Liability Limited</w:t>
            </w:r>
          </w:p>
        </w:tc>
        <w:tc>
          <w:tcPr>
            <w:tcW w:w="2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15.22.</w:t>
            </w:r>
          </w:p>
        </w:tc>
        <w:tc>
          <w:tcPr>
            <w:tcW w:w="6700" w:type="dxa"/>
            <w:vAlign w:val="bottom"/>
          </w:tcPr>
          <w:p>
            <w:pPr>
              <w:ind w:left="380"/>
              <w:spacing w:after="0"/>
              <w:rPr>
                <w:sz w:val="20"/>
                <w:szCs w:val="20"/>
                <w:color w:val="auto"/>
              </w:rPr>
            </w:pPr>
            <w:r>
              <w:rPr>
                <w:rFonts w:ascii="Arial" w:cs="Arial" w:eastAsia="Arial" w:hAnsi="Arial"/>
                <w:sz w:val="18"/>
                <w:szCs w:val="18"/>
                <w:color w:val="auto"/>
              </w:rPr>
              <w:t>Deliveries to Participants</w:t>
            </w:r>
          </w:p>
        </w:tc>
        <w:tc>
          <w:tcPr>
            <w:tcW w:w="2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15.23.</w:t>
            </w:r>
          </w:p>
        </w:tc>
        <w:tc>
          <w:tcPr>
            <w:tcW w:w="6700" w:type="dxa"/>
            <w:vAlign w:val="bottom"/>
          </w:tcPr>
          <w:p>
            <w:pPr>
              <w:ind w:left="380"/>
              <w:spacing w:after="0"/>
              <w:rPr>
                <w:sz w:val="20"/>
                <w:szCs w:val="20"/>
                <w:color w:val="auto"/>
              </w:rPr>
            </w:pPr>
            <w:r>
              <w:rPr>
                <w:rFonts w:ascii="Arial" w:cs="Arial" w:eastAsia="Arial" w:hAnsi="Arial"/>
                <w:sz w:val="18"/>
                <w:szCs w:val="18"/>
                <w:color w:val="auto"/>
              </w:rPr>
              <w:t>USA patriot Act Notice</w:t>
            </w:r>
          </w:p>
        </w:tc>
        <w:tc>
          <w:tcPr>
            <w:tcW w:w="2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15.24.</w:t>
            </w:r>
          </w:p>
        </w:tc>
        <w:tc>
          <w:tcPr>
            <w:tcW w:w="6700" w:type="dxa"/>
            <w:vAlign w:val="bottom"/>
          </w:tcPr>
          <w:p>
            <w:pPr>
              <w:ind w:left="380"/>
              <w:spacing w:after="0"/>
              <w:rPr>
                <w:sz w:val="20"/>
                <w:szCs w:val="20"/>
                <w:color w:val="auto"/>
              </w:rPr>
            </w:pPr>
            <w:r>
              <w:rPr>
                <w:rFonts w:ascii="Arial" w:cs="Arial" w:eastAsia="Arial" w:hAnsi="Arial"/>
                <w:sz w:val="18"/>
                <w:szCs w:val="18"/>
                <w:color w:val="auto"/>
              </w:rPr>
              <w:t>No Advisory or Fiduciary Responsibility</w:t>
            </w:r>
          </w:p>
        </w:tc>
        <w:tc>
          <w:tcPr>
            <w:tcW w:w="2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15.25.</w:t>
            </w:r>
          </w:p>
        </w:tc>
        <w:tc>
          <w:tcPr>
            <w:tcW w:w="6700" w:type="dxa"/>
            <w:vAlign w:val="bottom"/>
          </w:tcPr>
          <w:p>
            <w:pPr>
              <w:ind w:left="380"/>
              <w:spacing w:after="0"/>
              <w:rPr>
                <w:sz w:val="20"/>
                <w:szCs w:val="20"/>
                <w:color w:val="auto"/>
              </w:rPr>
            </w:pPr>
            <w:r>
              <w:rPr>
                <w:rFonts w:ascii="Arial" w:cs="Arial" w:eastAsia="Arial" w:hAnsi="Arial"/>
                <w:sz w:val="18"/>
                <w:szCs w:val="18"/>
                <w:color w:val="auto"/>
              </w:rPr>
              <w:t>Certain Confidentiality Obligations of Lessee</w:t>
            </w:r>
          </w:p>
        </w:tc>
        <w:tc>
          <w:tcPr>
            <w:tcW w:w="2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15.26.</w:t>
            </w:r>
          </w:p>
        </w:tc>
        <w:tc>
          <w:tcPr>
            <w:tcW w:w="6700" w:type="dxa"/>
            <w:vAlign w:val="bottom"/>
          </w:tcPr>
          <w:p>
            <w:pPr>
              <w:ind w:left="380"/>
              <w:spacing w:after="0"/>
              <w:rPr>
                <w:sz w:val="20"/>
                <w:szCs w:val="20"/>
                <w:color w:val="auto"/>
              </w:rPr>
            </w:pPr>
            <w:r>
              <w:rPr>
                <w:rFonts w:ascii="Arial" w:cs="Arial" w:eastAsia="Arial" w:hAnsi="Arial"/>
                <w:sz w:val="18"/>
                <w:szCs w:val="18"/>
                <w:color w:val="auto"/>
              </w:rPr>
              <w:t>Effect of Restatement</w:t>
            </w:r>
          </w:p>
        </w:tc>
        <w:tc>
          <w:tcPr>
            <w:tcW w:w="2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XVI</w:t>
            </w:r>
          </w:p>
        </w:tc>
        <w:tc>
          <w:tcPr>
            <w:tcW w:w="6700" w:type="dxa"/>
            <w:vAlign w:val="bottom"/>
          </w:tcPr>
          <w:p>
            <w:pPr>
              <w:ind w:left="8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2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8"/>
        </w:trPr>
        <w:tc>
          <w:tcPr>
            <w:tcW w:w="1660" w:type="dxa"/>
            <w:vAlign w:val="bottom"/>
          </w:tcPr>
          <w:p>
            <w:pPr>
              <w:ind w:left="540"/>
              <w:spacing w:after="0"/>
              <w:rPr>
                <w:sz w:val="20"/>
                <w:szCs w:val="20"/>
                <w:color w:val="auto"/>
              </w:rPr>
            </w:pPr>
            <w:r>
              <w:rPr>
                <w:rFonts w:ascii="Arial" w:cs="Arial" w:eastAsia="Arial" w:hAnsi="Arial"/>
                <w:sz w:val="18"/>
                <w:szCs w:val="18"/>
                <w:color w:val="auto"/>
              </w:rPr>
              <w:t>Section 16.1.</w:t>
            </w:r>
          </w:p>
        </w:tc>
        <w:tc>
          <w:tcPr>
            <w:tcW w:w="6700" w:type="dxa"/>
            <w:vAlign w:val="bottom"/>
          </w:tcPr>
          <w:p>
            <w:pPr>
              <w:ind w:left="380"/>
              <w:spacing w:after="0"/>
              <w:rPr>
                <w:sz w:val="20"/>
                <w:szCs w:val="20"/>
                <w:color w:val="auto"/>
              </w:rPr>
            </w:pPr>
            <w:r>
              <w:rPr>
                <w:rFonts w:ascii="Arial" w:cs="Arial" w:eastAsia="Arial" w:hAnsi="Arial"/>
                <w:sz w:val="18"/>
                <w:szCs w:val="18"/>
                <w:color w:val="auto"/>
              </w:rPr>
              <w:t>Appointment</w:t>
            </w:r>
          </w:p>
        </w:tc>
        <w:tc>
          <w:tcPr>
            <w:tcW w:w="2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16.2.</w:t>
            </w:r>
          </w:p>
        </w:tc>
        <w:tc>
          <w:tcPr>
            <w:tcW w:w="6700" w:type="dxa"/>
            <w:vAlign w:val="bottom"/>
          </w:tcPr>
          <w:p>
            <w:pPr>
              <w:ind w:left="380"/>
              <w:spacing w:after="0"/>
              <w:rPr>
                <w:sz w:val="20"/>
                <w:szCs w:val="20"/>
                <w:color w:val="auto"/>
              </w:rPr>
            </w:pPr>
            <w:r>
              <w:rPr>
                <w:rFonts w:ascii="Arial" w:cs="Arial" w:eastAsia="Arial" w:hAnsi="Arial"/>
                <w:sz w:val="18"/>
                <w:szCs w:val="18"/>
                <w:color w:val="auto"/>
              </w:rPr>
              <w:t>Delegation of Duties</w:t>
            </w:r>
          </w:p>
        </w:tc>
        <w:tc>
          <w:tcPr>
            <w:tcW w:w="2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16.3.</w:t>
            </w:r>
          </w:p>
        </w:tc>
        <w:tc>
          <w:tcPr>
            <w:tcW w:w="6700" w:type="dxa"/>
            <w:vAlign w:val="bottom"/>
          </w:tcPr>
          <w:p>
            <w:pPr>
              <w:ind w:left="380"/>
              <w:spacing w:after="0"/>
              <w:rPr>
                <w:sz w:val="20"/>
                <w:szCs w:val="20"/>
                <w:color w:val="auto"/>
              </w:rPr>
            </w:pPr>
            <w:r>
              <w:rPr>
                <w:rFonts w:ascii="Arial" w:cs="Arial" w:eastAsia="Arial" w:hAnsi="Arial"/>
                <w:sz w:val="18"/>
                <w:szCs w:val="18"/>
                <w:color w:val="auto"/>
              </w:rPr>
              <w:t>Exculpatory Provisions</w:t>
            </w:r>
          </w:p>
        </w:tc>
        <w:tc>
          <w:tcPr>
            <w:tcW w:w="2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16.4.</w:t>
            </w:r>
          </w:p>
        </w:tc>
        <w:tc>
          <w:tcPr>
            <w:tcW w:w="6700" w:type="dxa"/>
            <w:vAlign w:val="bottom"/>
          </w:tcPr>
          <w:p>
            <w:pPr>
              <w:ind w:left="380"/>
              <w:spacing w:after="0"/>
              <w:rPr>
                <w:sz w:val="20"/>
                <w:szCs w:val="20"/>
                <w:color w:val="auto"/>
              </w:rPr>
            </w:pPr>
            <w:r>
              <w:rPr>
                <w:rFonts w:ascii="Arial" w:cs="Arial" w:eastAsia="Arial" w:hAnsi="Arial"/>
                <w:sz w:val="18"/>
                <w:szCs w:val="18"/>
                <w:color w:val="auto"/>
              </w:rPr>
              <w:t>Reliance by Administrative Agent</w:t>
            </w:r>
          </w:p>
        </w:tc>
        <w:tc>
          <w:tcPr>
            <w:tcW w:w="2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16.5.</w:t>
            </w:r>
          </w:p>
        </w:tc>
        <w:tc>
          <w:tcPr>
            <w:tcW w:w="6700" w:type="dxa"/>
            <w:vAlign w:val="bottom"/>
          </w:tcPr>
          <w:p>
            <w:pPr>
              <w:ind w:left="380"/>
              <w:spacing w:after="0"/>
              <w:rPr>
                <w:sz w:val="20"/>
                <w:szCs w:val="20"/>
                <w:color w:val="auto"/>
              </w:rPr>
            </w:pPr>
            <w:r>
              <w:rPr>
                <w:rFonts w:ascii="Arial" w:cs="Arial" w:eastAsia="Arial" w:hAnsi="Arial"/>
                <w:sz w:val="18"/>
                <w:szCs w:val="18"/>
                <w:color w:val="auto"/>
              </w:rPr>
              <w:t>Notice of Default</w:t>
            </w:r>
          </w:p>
        </w:tc>
        <w:tc>
          <w:tcPr>
            <w:tcW w:w="2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16.6.</w:t>
            </w:r>
          </w:p>
        </w:tc>
        <w:tc>
          <w:tcPr>
            <w:tcW w:w="6700" w:type="dxa"/>
            <w:vAlign w:val="bottom"/>
          </w:tcPr>
          <w:p>
            <w:pPr>
              <w:ind w:left="380"/>
              <w:spacing w:after="0"/>
              <w:rPr>
                <w:sz w:val="20"/>
                <w:szCs w:val="20"/>
                <w:color w:val="auto"/>
              </w:rPr>
            </w:pPr>
            <w:r>
              <w:rPr>
                <w:rFonts w:ascii="Arial" w:cs="Arial" w:eastAsia="Arial" w:hAnsi="Arial"/>
                <w:sz w:val="18"/>
                <w:szCs w:val="18"/>
                <w:color w:val="auto"/>
              </w:rPr>
              <w:t>[Reserved]</w:t>
            </w:r>
          </w:p>
        </w:tc>
        <w:tc>
          <w:tcPr>
            <w:tcW w:w="2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16.7.</w:t>
            </w:r>
          </w:p>
        </w:tc>
        <w:tc>
          <w:tcPr>
            <w:tcW w:w="6700" w:type="dxa"/>
            <w:vAlign w:val="bottom"/>
          </w:tcPr>
          <w:p>
            <w:pPr>
              <w:ind w:left="380"/>
              <w:spacing w:after="0"/>
              <w:rPr>
                <w:sz w:val="20"/>
                <w:szCs w:val="20"/>
                <w:color w:val="auto"/>
              </w:rPr>
            </w:pPr>
            <w:r>
              <w:rPr>
                <w:rFonts w:ascii="Arial" w:cs="Arial" w:eastAsia="Arial" w:hAnsi="Arial"/>
                <w:sz w:val="18"/>
                <w:szCs w:val="18"/>
                <w:color w:val="auto"/>
              </w:rPr>
              <w:t>Administrative Agent in Its Individual Capacity</w:t>
            </w:r>
          </w:p>
        </w:tc>
        <w:tc>
          <w:tcPr>
            <w:tcW w:w="2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16.8.</w:t>
            </w:r>
          </w:p>
        </w:tc>
        <w:tc>
          <w:tcPr>
            <w:tcW w:w="6700" w:type="dxa"/>
            <w:vAlign w:val="bottom"/>
          </w:tcPr>
          <w:p>
            <w:pPr>
              <w:ind w:left="380"/>
              <w:spacing w:after="0"/>
              <w:rPr>
                <w:sz w:val="20"/>
                <w:szCs w:val="20"/>
                <w:color w:val="auto"/>
              </w:rPr>
            </w:pPr>
            <w:r>
              <w:rPr>
                <w:rFonts w:ascii="Arial" w:cs="Arial" w:eastAsia="Arial" w:hAnsi="Arial"/>
                <w:sz w:val="18"/>
                <w:szCs w:val="18"/>
                <w:color w:val="auto"/>
              </w:rPr>
              <w:t>Successor Administrative Agent</w:t>
            </w:r>
          </w:p>
        </w:tc>
        <w:tc>
          <w:tcPr>
            <w:tcW w:w="2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16.9.</w:t>
            </w:r>
          </w:p>
        </w:tc>
        <w:tc>
          <w:tcPr>
            <w:tcW w:w="6700" w:type="dxa"/>
            <w:vAlign w:val="bottom"/>
          </w:tcPr>
          <w:p>
            <w:pPr>
              <w:ind w:left="380"/>
              <w:spacing w:after="0"/>
              <w:rPr>
                <w:sz w:val="20"/>
                <w:szCs w:val="20"/>
                <w:color w:val="auto"/>
              </w:rPr>
            </w:pPr>
            <w:r>
              <w:rPr>
                <w:rFonts w:ascii="Arial" w:cs="Arial" w:eastAsia="Arial" w:hAnsi="Arial"/>
                <w:sz w:val="18"/>
                <w:szCs w:val="18"/>
                <w:color w:val="auto"/>
              </w:rPr>
              <w:t>Non-Reliance on Administrative Agent</w:t>
            </w:r>
          </w:p>
        </w:tc>
        <w:tc>
          <w:tcPr>
            <w:tcW w:w="2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16.10.</w:t>
            </w:r>
          </w:p>
        </w:tc>
        <w:tc>
          <w:tcPr>
            <w:tcW w:w="6700" w:type="dxa"/>
            <w:vAlign w:val="bottom"/>
          </w:tcPr>
          <w:p>
            <w:pPr>
              <w:ind w:left="380"/>
              <w:spacing w:after="0"/>
              <w:rPr>
                <w:sz w:val="20"/>
                <w:szCs w:val="20"/>
                <w:color w:val="auto"/>
              </w:rPr>
            </w:pPr>
            <w:r>
              <w:rPr>
                <w:rFonts w:ascii="Arial" w:cs="Arial" w:eastAsia="Arial" w:hAnsi="Arial"/>
                <w:sz w:val="18"/>
                <w:szCs w:val="18"/>
                <w:color w:val="auto"/>
              </w:rPr>
              <w:t>Release of Collateral and Guarantors</w:t>
            </w:r>
          </w:p>
        </w:tc>
        <w:tc>
          <w:tcPr>
            <w:tcW w:w="2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w w:val="95"/>
              </w:rPr>
              <w:t>Section 16.11.</w:t>
            </w:r>
          </w:p>
        </w:tc>
        <w:tc>
          <w:tcPr>
            <w:tcW w:w="6700" w:type="dxa"/>
            <w:vAlign w:val="bottom"/>
          </w:tcPr>
          <w:p>
            <w:pPr>
              <w:ind w:left="380"/>
              <w:spacing w:after="0"/>
              <w:rPr>
                <w:sz w:val="20"/>
                <w:szCs w:val="20"/>
                <w:color w:val="auto"/>
              </w:rPr>
            </w:pPr>
            <w:r>
              <w:rPr>
                <w:rFonts w:ascii="Arial" w:cs="Arial" w:eastAsia="Arial" w:hAnsi="Arial"/>
                <w:sz w:val="18"/>
                <w:szCs w:val="18"/>
                <w:color w:val="auto"/>
              </w:rPr>
              <w:t>Recovery of Erroneous Payments</w:t>
            </w:r>
          </w:p>
        </w:tc>
        <w:tc>
          <w:tcPr>
            <w:tcW w:w="288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PPENDICES</w:t>
            </w:r>
          </w:p>
        </w:tc>
        <w:tc>
          <w:tcPr>
            <w:tcW w:w="500" w:type="dxa"/>
            <w:vAlign w:val="bottom"/>
          </w:tcPr>
          <w:p>
            <w:pPr>
              <w:spacing w:after="0"/>
              <w:rPr>
                <w:sz w:val="17"/>
                <w:szCs w:val="17"/>
                <w:color w:val="auto"/>
              </w:rPr>
            </w:pPr>
          </w:p>
        </w:tc>
        <w:tc>
          <w:tcPr>
            <w:tcW w:w="5200" w:type="dxa"/>
            <w:vAlign w:val="bottom"/>
          </w:tcPr>
          <w:p>
            <w:pPr>
              <w:spacing w:after="0"/>
              <w:rPr>
                <w:sz w:val="17"/>
                <w:szCs w:val="17"/>
                <w:color w:val="auto"/>
              </w:rPr>
            </w:pPr>
          </w:p>
        </w:tc>
      </w:tr>
      <w:tr>
        <w:trPr>
          <w:trHeight w:val="453"/>
        </w:trPr>
        <w:tc>
          <w:tcPr>
            <w:tcW w:w="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PPENDIX</w:t>
            </w:r>
            <w:r>
              <w:rPr>
                <w:rFonts w:ascii="Arial" w:cs="Arial" w:eastAsia="Arial" w:hAnsi="Arial"/>
                <w:sz w:val="18"/>
                <w:szCs w:val="18"/>
                <w:color w:val="auto"/>
              </w:rPr>
              <w:t xml:space="preserve"> 1</w:t>
            </w:r>
          </w:p>
        </w:tc>
        <w:tc>
          <w:tcPr>
            <w:tcW w:w="32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200" w:type="dxa"/>
            <w:vAlign w:val="bottom"/>
          </w:tcPr>
          <w:p>
            <w:pPr>
              <w:ind w:left="100"/>
              <w:spacing w:after="0"/>
              <w:rPr>
                <w:sz w:val="20"/>
                <w:szCs w:val="20"/>
                <w:color w:val="auto"/>
              </w:rPr>
            </w:pPr>
            <w:r>
              <w:rPr>
                <w:rFonts w:ascii="Arial" w:cs="Arial" w:eastAsia="Arial" w:hAnsi="Arial"/>
                <w:sz w:val="18"/>
                <w:szCs w:val="18"/>
                <w:color w:val="auto"/>
              </w:rPr>
              <w:t>Definitions and Interpretation</w:t>
            </w:r>
          </w:p>
        </w:tc>
      </w:tr>
      <w:tr>
        <w:trPr>
          <w:trHeight w:val="391"/>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w:t>
            </w:r>
            <w:r>
              <w:rPr>
                <w:rFonts w:ascii="Arial" w:cs="Arial" w:eastAsia="Arial" w:hAnsi="Arial"/>
                <w:sz w:val="12"/>
                <w:szCs w:val="12"/>
                <w:b w:val="1"/>
                <w:bCs w:val="1"/>
                <w:color w:val="auto"/>
                <w:w w:val="97"/>
              </w:rPr>
              <w:t>CHEDULES</w:t>
            </w:r>
          </w:p>
        </w:tc>
        <w:tc>
          <w:tcPr>
            <w:tcW w:w="3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438"/>
        </w:trPr>
        <w:tc>
          <w:tcPr>
            <w:tcW w:w="114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  Lessor Commitment as of Restatement Date</w:t>
            </w:r>
          </w:p>
        </w:tc>
      </w:tr>
      <w:tr>
        <w:trPr>
          <w:trHeight w:val="216"/>
        </w:trPr>
        <w:tc>
          <w:tcPr>
            <w:tcW w:w="114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II</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  Rent Assignees’ Commitments as of Restatement Date</w:t>
            </w:r>
          </w:p>
        </w:tc>
      </w:tr>
      <w:tr>
        <w:trPr>
          <w:trHeight w:val="216"/>
        </w:trPr>
        <w:tc>
          <w:tcPr>
            <w:tcW w:w="114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III</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95"/>
              </w:rPr>
              <w:t>—  Notice Information, Payment Offices and Applicable Lending Offices</w:t>
            </w:r>
          </w:p>
        </w:tc>
      </w:tr>
      <w:tr>
        <w:trPr>
          <w:trHeight w:val="216"/>
        </w:trPr>
        <w:tc>
          <w:tcPr>
            <w:tcW w:w="114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IV</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  Subsidiary Guarantors as of Restatement Date</w:t>
            </w:r>
          </w:p>
        </w:tc>
      </w:tr>
      <w:tr>
        <w:trPr>
          <w:trHeight w:val="230"/>
        </w:trPr>
        <w:tc>
          <w:tcPr>
            <w:tcW w:w="6840" w:type="dxa"/>
            <w:vAlign w:val="bottom"/>
            <w:gridSpan w:val="6"/>
          </w:tcPr>
          <w:p>
            <w:pPr>
              <w:spacing w:after="0"/>
              <w:rPr>
                <w:sz w:val="20"/>
                <w:szCs w:val="20"/>
                <w:color w:val="auto"/>
              </w:rPr>
            </w:pPr>
            <w:r>
              <w:rPr>
                <w:rFonts w:ascii="Arial" w:cs="Arial" w:eastAsia="Arial" w:hAnsi="Arial"/>
                <w:sz w:val="18"/>
                <w:szCs w:val="18"/>
                <w:color w:val="auto"/>
                <w:w w:val="93"/>
              </w:rPr>
              <w:t>S</w:t>
            </w:r>
            <w:r>
              <w:rPr>
                <w:rFonts w:ascii="Arial" w:cs="Arial" w:eastAsia="Arial" w:hAnsi="Arial"/>
                <w:sz w:val="12"/>
                <w:szCs w:val="12"/>
                <w:color w:val="auto"/>
                <w:w w:val="93"/>
              </w:rPr>
              <w:t>CHEDULE</w:t>
            </w:r>
            <w:r>
              <w:rPr>
                <w:rFonts w:ascii="Arial" w:cs="Arial" w:eastAsia="Arial" w:hAnsi="Arial"/>
                <w:sz w:val="18"/>
                <w:szCs w:val="18"/>
                <w:color w:val="auto"/>
                <w:w w:val="93"/>
              </w:rPr>
              <w:t xml:space="preserve"> 6.2(xi)  —  Governmental Actions; Filings and Recordings as of Restatement Date</w:t>
            </w:r>
          </w:p>
        </w:tc>
      </w:tr>
      <w:tr>
        <w:trPr>
          <w:trHeight w:val="392"/>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XHIBITS</w:t>
            </w:r>
          </w:p>
        </w:tc>
        <w:tc>
          <w:tcPr>
            <w:tcW w:w="50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438"/>
        </w:trPr>
        <w:tc>
          <w:tcPr>
            <w:tcW w:w="11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200" w:type="dxa"/>
            <w:vAlign w:val="bottom"/>
          </w:tcPr>
          <w:p>
            <w:pPr>
              <w:ind w:left="100"/>
              <w:spacing w:after="0"/>
              <w:rPr>
                <w:sz w:val="20"/>
                <w:szCs w:val="20"/>
                <w:color w:val="auto"/>
              </w:rPr>
            </w:pPr>
            <w:r>
              <w:rPr>
                <w:rFonts w:ascii="Arial" w:cs="Arial" w:eastAsia="Arial" w:hAnsi="Arial"/>
                <w:sz w:val="18"/>
                <w:szCs w:val="18"/>
                <w:color w:val="auto"/>
              </w:rPr>
              <w:t>[Reserved]</w:t>
            </w:r>
          </w:p>
        </w:tc>
      </w:tr>
      <w:tr>
        <w:trPr>
          <w:trHeight w:val="216"/>
        </w:trPr>
        <w:tc>
          <w:tcPr>
            <w:tcW w:w="11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B</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  Form of Lessee’s Restatement Date Certificate</w:t>
            </w:r>
          </w:p>
        </w:tc>
      </w:tr>
      <w:tr>
        <w:trPr>
          <w:trHeight w:val="216"/>
        </w:trPr>
        <w:tc>
          <w:tcPr>
            <w:tcW w:w="11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  Form of Parent Guarantor’s Restatement Date Certificate</w:t>
            </w:r>
          </w:p>
        </w:tc>
      </w:tr>
      <w:tr>
        <w:trPr>
          <w:trHeight w:val="216"/>
        </w:trPr>
        <w:tc>
          <w:tcPr>
            <w:tcW w:w="11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D</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200" w:type="dxa"/>
            <w:vAlign w:val="bottom"/>
          </w:tcPr>
          <w:p>
            <w:pPr>
              <w:ind w:left="100"/>
              <w:spacing w:after="0"/>
              <w:rPr>
                <w:sz w:val="20"/>
                <w:szCs w:val="20"/>
                <w:color w:val="auto"/>
              </w:rPr>
            </w:pPr>
            <w:r>
              <w:rPr>
                <w:rFonts w:ascii="Arial" w:cs="Arial" w:eastAsia="Arial" w:hAnsi="Arial"/>
                <w:sz w:val="18"/>
                <w:szCs w:val="18"/>
                <w:color w:val="auto"/>
              </w:rPr>
              <w:t>[Reserved]</w:t>
            </w:r>
          </w:p>
        </w:tc>
      </w:tr>
      <w:tr>
        <w:trPr>
          <w:trHeight w:val="216"/>
        </w:trPr>
        <w:tc>
          <w:tcPr>
            <w:tcW w:w="11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E</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  Form of Assignment Agreement</w:t>
            </w:r>
          </w:p>
        </w:tc>
      </w:tr>
      <w:tr>
        <w:trPr>
          <w:trHeight w:val="216"/>
        </w:trPr>
        <w:tc>
          <w:tcPr>
            <w:tcW w:w="11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F-1</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  Form of Officer’s Certificate of Lessee</w:t>
            </w:r>
          </w:p>
        </w:tc>
      </w:tr>
      <w:tr>
        <w:trPr>
          <w:trHeight w:val="216"/>
        </w:trPr>
        <w:tc>
          <w:tcPr>
            <w:tcW w:w="11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F-2</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  Form of Officer’s Certificate of Parent Guarantor</w:t>
            </w:r>
          </w:p>
        </w:tc>
      </w:tr>
      <w:tr>
        <w:trPr>
          <w:trHeight w:val="230"/>
        </w:trPr>
        <w:tc>
          <w:tcPr>
            <w:tcW w:w="11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F-3</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200" w:type="dxa"/>
            <w:vAlign w:val="bottom"/>
          </w:tcPr>
          <w:p>
            <w:pPr>
              <w:ind w:left="100"/>
              <w:spacing w:after="0"/>
              <w:rPr>
                <w:sz w:val="20"/>
                <w:szCs w:val="20"/>
                <w:color w:val="auto"/>
              </w:rPr>
            </w:pPr>
            <w:r>
              <w:rPr>
                <w:rFonts w:ascii="Arial" w:cs="Arial" w:eastAsia="Arial" w:hAnsi="Arial"/>
                <w:sz w:val="18"/>
                <w:szCs w:val="18"/>
                <w:color w:val="auto"/>
              </w:rPr>
              <w:t>Form of Officer’s Certificate of Subsidiary Guarantor</w:t>
            </w:r>
          </w:p>
        </w:tc>
      </w:tr>
    </w:tbl>
    <w:p>
      <w:pPr>
        <w:spacing w:after="0" w:line="200" w:lineRule="exact"/>
        <w:rPr>
          <w:sz w:val="20"/>
          <w:szCs w:val="20"/>
          <w:color w:val="auto"/>
        </w:rPr>
      </w:pPr>
    </w:p>
    <w:p>
      <w:pPr>
        <w:spacing w:after="0" w:line="21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ARTICIPATION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HIS</w:t>
      </w:r>
      <w:r>
        <w:rPr>
          <w:rFonts w:ascii="Arial" w:cs="Arial" w:eastAsia="Arial" w:hAnsi="Arial"/>
          <w:sz w:val="17"/>
          <w:szCs w:val="17"/>
          <w:color w:val="auto"/>
        </w:rPr>
        <w:t xml:space="preserve"> S</w:t>
      </w:r>
      <w:r>
        <w:rPr>
          <w:rFonts w:ascii="Arial" w:cs="Arial" w:eastAsia="Arial" w:hAnsi="Arial"/>
          <w:sz w:val="11"/>
          <w:szCs w:val="11"/>
          <w:color w:val="auto"/>
        </w:rPr>
        <w:t>ECOND</w:t>
      </w:r>
      <w:r>
        <w:rPr>
          <w:rFonts w:ascii="Arial" w:cs="Arial" w:eastAsia="Arial" w:hAnsi="Arial"/>
          <w:sz w:val="17"/>
          <w:szCs w:val="17"/>
          <w:color w:val="auto"/>
        </w:rPr>
        <w:t xml:space="preserve"> A</w:t>
      </w:r>
      <w:r>
        <w:rPr>
          <w:rFonts w:ascii="Arial" w:cs="Arial" w:eastAsia="Arial" w:hAnsi="Arial"/>
          <w:sz w:val="11"/>
          <w:szCs w:val="11"/>
          <w:color w:val="auto"/>
        </w:rPr>
        <w:t>MENDED AND</w:t>
      </w:r>
      <w:r>
        <w:rPr>
          <w:rFonts w:ascii="Arial" w:cs="Arial" w:eastAsia="Arial" w:hAnsi="Arial"/>
          <w:sz w:val="17"/>
          <w:szCs w:val="17"/>
          <w:color w:val="auto"/>
        </w:rPr>
        <w:t xml:space="preserve"> R</w:t>
      </w:r>
      <w:r>
        <w:rPr>
          <w:rFonts w:ascii="Arial" w:cs="Arial" w:eastAsia="Arial" w:hAnsi="Arial"/>
          <w:sz w:val="11"/>
          <w:szCs w:val="11"/>
          <w:color w:val="auto"/>
        </w:rPr>
        <w:t>ESTATED</w:t>
      </w:r>
      <w:r>
        <w:rPr>
          <w:rFonts w:ascii="Arial" w:cs="Arial" w:eastAsia="Arial" w:hAnsi="Arial"/>
          <w:sz w:val="17"/>
          <w:szCs w:val="17"/>
          <w:color w:val="auto"/>
        </w:rPr>
        <w:t xml:space="preserve"> P</w:t>
      </w:r>
      <w:r>
        <w:rPr>
          <w:rFonts w:ascii="Arial" w:cs="Arial" w:eastAsia="Arial" w:hAnsi="Arial"/>
          <w:sz w:val="11"/>
          <w:szCs w:val="11"/>
          <w:color w:val="auto"/>
        </w:rPr>
        <w:t>ARTICIPATION</w:t>
      </w:r>
      <w:r>
        <w:rPr>
          <w:rFonts w:ascii="Arial" w:cs="Arial" w:eastAsia="Arial" w:hAnsi="Arial"/>
          <w:sz w:val="17"/>
          <w:szCs w:val="17"/>
          <w:color w:val="auto"/>
        </w:rPr>
        <w:t xml:space="preserve"> A</w:t>
      </w:r>
      <w:r>
        <w:rPr>
          <w:rFonts w:ascii="Arial" w:cs="Arial" w:eastAsia="Arial" w:hAnsi="Arial"/>
          <w:sz w:val="11"/>
          <w:szCs w:val="11"/>
          <w:color w:val="auto"/>
        </w:rPr>
        <w:t>GREEMENT</w:t>
      </w:r>
      <w:r>
        <w:rPr>
          <w:rFonts w:ascii="Arial" w:cs="Arial" w:eastAsia="Arial" w:hAnsi="Arial"/>
          <w:sz w:val="17"/>
          <w:szCs w:val="17"/>
          <w:color w:val="auto"/>
        </w:rPr>
        <w:t xml:space="preserve"> (as amended, restated, supplemented, or otherwise modified from time to time, this </w:t>
      </w:r>
      <w:r>
        <w:rPr>
          <w:rFonts w:ascii="Arial" w:cs="Arial" w:eastAsia="Arial" w:hAnsi="Arial"/>
          <w:sz w:val="17"/>
          <w:szCs w:val="17"/>
          <w:i w:val="1"/>
          <w:iCs w:val="1"/>
          <w:color w:val="auto"/>
        </w:rPr>
        <w:t>“Participation Agreement”</w:t>
      </w:r>
      <w:r>
        <w:rPr>
          <w:rFonts w:ascii="Arial" w:cs="Arial" w:eastAsia="Arial" w:hAnsi="Arial"/>
          <w:sz w:val="17"/>
          <w:szCs w:val="17"/>
          <w:color w:val="auto"/>
        </w:rPr>
        <w:t>), dated as of March 2, 2022, and effective as of the Restatement Date, is entered into by and among O</w:t>
      </w:r>
      <w:r>
        <w:rPr>
          <w:rFonts w:ascii="Arial" w:cs="Arial" w:eastAsia="Arial" w:hAnsi="Arial"/>
          <w:sz w:val="11"/>
          <w:szCs w:val="11"/>
          <w:color w:val="auto"/>
        </w:rPr>
        <w:t>LD</w:t>
      </w:r>
      <w:r>
        <w:rPr>
          <w:rFonts w:ascii="Arial" w:cs="Arial" w:eastAsia="Arial" w:hAnsi="Arial"/>
          <w:sz w:val="17"/>
          <w:szCs w:val="17"/>
          <w:i w:val="1"/>
          <w:iCs w:val="1"/>
          <w:color w:val="auto"/>
        </w:rPr>
        <w:t xml:space="preserve"> </w:t>
      </w:r>
      <w:r>
        <w:rPr>
          <w:rFonts w:ascii="Arial" w:cs="Arial" w:eastAsia="Arial" w:hAnsi="Arial"/>
          <w:sz w:val="17"/>
          <w:szCs w:val="17"/>
          <w:color w:val="auto"/>
        </w:rPr>
        <w:t>S</w:t>
      </w:r>
      <w:r>
        <w:rPr>
          <w:rFonts w:ascii="Arial" w:cs="Arial" w:eastAsia="Arial" w:hAnsi="Arial"/>
          <w:sz w:val="11"/>
          <w:szCs w:val="11"/>
          <w:color w:val="auto"/>
        </w:rPr>
        <w:t>AW</w:t>
      </w:r>
      <w:r>
        <w:rPr>
          <w:rFonts w:ascii="Arial" w:cs="Arial" w:eastAsia="Arial" w:hAnsi="Arial"/>
          <w:sz w:val="17"/>
          <w:szCs w:val="17"/>
          <w:i w:val="1"/>
          <w:iCs w:val="1"/>
          <w:color w:val="auto"/>
        </w:rPr>
        <w:t xml:space="preserve"> </w:t>
      </w:r>
      <w:r>
        <w:rPr>
          <w:rFonts w:ascii="Arial" w:cs="Arial" w:eastAsia="Arial" w:hAnsi="Arial"/>
          <w:sz w:val="17"/>
          <w:szCs w:val="17"/>
          <w:color w:val="auto"/>
        </w:rPr>
        <w:t>M</w:t>
      </w:r>
      <w:r>
        <w:rPr>
          <w:rFonts w:ascii="Arial" w:cs="Arial" w:eastAsia="Arial" w:hAnsi="Arial"/>
          <w:sz w:val="11"/>
          <w:szCs w:val="11"/>
          <w:color w:val="auto"/>
        </w:rPr>
        <w:t>ILL</w:t>
      </w:r>
      <w:r>
        <w:rPr>
          <w:rFonts w:ascii="Arial" w:cs="Arial" w:eastAsia="Arial" w:hAnsi="Arial"/>
          <w:sz w:val="17"/>
          <w:szCs w:val="17"/>
          <w:i w:val="1"/>
          <w:iCs w:val="1"/>
          <w:color w:val="auto"/>
        </w:rPr>
        <w:t xml:space="preserve"> </w:t>
      </w:r>
      <w:r>
        <w:rPr>
          <w:rFonts w:ascii="Arial" w:cs="Arial" w:eastAsia="Arial" w:hAnsi="Arial"/>
          <w:sz w:val="17"/>
          <w:szCs w:val="17"/>
          <w:color w:val="auto"/>
        </w:rPr>
        <w:t>H</w:t>
      </w:r>
      <w:r>
        <w:rPr>
          <w:rFonts w:ascii="Arial" w:cs="Arial" w:eastAsia="Arial" w:hAnsi="Arial"/>
          <w:sz w:val="11"/>
          <w:szCs w:val="11"/>
          <w:color w:val="auto"/>
        </w:rPr>
        <w:t>OLDINGS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LLC, a New York limited liability company, as Lessee (together with its successors and permitted assigns, in its capacity as Lessee, the </w:t>
      </w:r>
      <w:r>
        <w:rPr>
          <w:rFonts w:ascii="Arial" w:cs="Arial" w:eastAsia="Arial" w:hAnsi="Arial"/>
          <w:sz w:val="17"/>
          <w:szCs w:val="17"/>
          <w:i w:val="1"/>
          <w:iCs w:val="1"/>
          <w:color w:val="auto"/>
        </w:rPr>
        <w:t>“Lessee”</w:t>
      </w:r>
      <w:r>
        <w:rPr>
          <w:rFonts w:ascii="Arial" w:cs="Arial" w:eastAsia="Arial" w:hAnsi="Arial"/>
          <w:sz w:val="17"/>
          <w:szCs w:val="17"/>
          <w:color w:val="auto"/>
        </w:rPr>
        <w:t>); BA L</w:t>
      </w:r>
      <w:r>
        <w:rPr>
          <w:rFonts w:ascii="Arial" w:cs="Arial" w:eastAsia="Arial" w:hAnsi="Arial"/>
          <w:sz w:val="11"/>
          <w:szCs w:val="11"/>
          <w:color w:val="auto"/>
        </w:rPr>
        <w:t>EASING</w:t>
      </w:r>
      <w:r>
        <w:rPr>
          <w:rFonts w:ascii="Arial" w:cs="Arial" w:eastAsia="Arial" w:hAnsi="Arial"/>
          <w:sz w:val="17"/>
          <w:szCs w:val="17"/>
          <w:color w:val="auto"/>
        </w:rPr>
        <w:t xml:space="preserve"> BSC, LLC, a Delaware limited liability company, as Lessor (together with its successors and permitted assigns, in its capacity as Lessor, the </w:t>
      </w:r>
      <w:r>
        <w:rPr>
          <w:rFonts w:ascii="Arial" w:cs="Arial" w:eastAsia="Arial" w:hAnsi="Arial"/>
          <w:sz w:val="17"/>
          <w:szCs w:val="17"/>
          <w:i w:val="1"/>
          <w:iCs w:val="1"/>
          <w:color w:val="auto"/>
        </w:rPr>
        <w:t>“Lessor”</w:t>
      </w:r>
      <w:r>
        <w:rPr>
          <w:rFonts w:ascii="Arial" w:cs="Arial" w:eastAsia="Arial" w:hAnsi="Arial"/>
          <w:sz w:val="17"/>
          <w:szCs w:val="17"/>
          <w:color w:val="auto"/>
        </w:rPr>
        <w:t>); B</w:t>
      </w:r>
      <w:r>
        <w:rPr>
          <w:rFonts w:ascii="Arial" w:cs="Arial" w:eastAsia="Arial" w:hAnsi="Arial"/>
          <w:sz w:val="11"/>
          <w:szCs w:val="11"/>
          <w:color w:val="auto"/>
        </w:rPr>
        <w:t>ANK OF</w:t>
      </w:r>
      <w:r>
        <w:rPr>
          <w:rFonts w:ascii="Arial" w:cs="Arial" w:eastAsia="Arial" w:hAnsi="Arial"/>
          <w:sz w:val="17"/>
          <w:szCs w:val="17"/>
          <w:i w:val="1"/>
          <w:iCs w:val="1"/>
          <w:color w:val="auto"/>
        </w:rPr>
        <w:t xml:space="preserve"> </w:t>
      </w:r>
      <w:r>
        <w:rPr>
          <w:rFonts w:ascii="Arial" w:cs="Arial" w:eastAsia="Arial" w:hAnsi="Arial"/>
          <w:sz w:val="17"/>
          <w:szCs w:val="17"/>
          <w:color w:val="auto"/>
        </w:rPr>
        <w:t>A</w:t>
      </w:r>
      <w:r>
        <w:rPr>
          <w:rFonts w:ascii="Arial" w:cs="Arial" w:eastAsia="Arial" w:hAnsi="Arial"/>
          <w:sz w:val="11"/>
          <w:szCs w:val="11"/>
          <w:color w:val="auto"/>
        </w:rPr>
        <w:t>MERICA</w:t>
      </w:r>
      <w:r>
        <w:rPr>
          <w:rFonts w:ascii="Arial" w:cs="Arial" w:eastAsia="Arial" w:hAnsi="Arial"/>
          <w:sz w:val="17"/>
          <w:szCs w:val="17"/>
          <w:color w:val="auto"/>
        </w:rPr>
        <w:t>, N.A., not in its individual capacity, except as expressly stated herein, but solely as Administrative Agent (together with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successors and permitted assigns, in its capacity as Administrative Agent,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xml:space="preserve">), and the Persons listed on Schedule II hereto as Rent Assignees (together with their permitted successors, assigns and transferees, each as a Rent Assignee under the Rent Assignment Agreement, a </w:t>
      </w:r>
      <w:r>
        <w:rPr>
          <w:rFonts w:ascii="Arial" w:cs="Arial" w:eastAsia="Arial" w:hAnsi="Arial"/>
          <w:sz w:val="17"/>
          <w:szCs w:val="17"/>
          <w:i w:val="1"/>
          <w:iCs w:val="1"/>
          <w:color w:val="auto"/>
        </w:rPr>
        <w:t>“Rent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Assignee”, </w:t>
      </w:r>
      <w:r>
        <w:rPr>
          <w:rFonts w:ascii="Arial" w:cs="Arial" w:eastAsia="Arial" w:hAnsi="Arial"/>
          <w:sz w:val="17"/>
          <w:szCs w:val="17"/>
          <w:color w:val="auto"/>
        </w:rPr>
        <w:t>and collectively, the</w:t>
      </w:r>
      <w:r>
        <w:rPr>
          <w:rFonts w:ascii="Arial" w:cs="Arial" w:eastAsia="Arial" w:hAnsi="Arial"/>
          <w:sz w:val="17"/>
          <w:szCs w:val="17"/>
          <w:i w:val="1"/>
          <w:iCs w:val="1"/>
          <w:color w:val="auto"/>
        </w:rPr>
        <w:t xml:space="preserve"> “Rent Assignees”</w:t>
      </w:r>
      <w:r>
        <w:rPr>
          <w:rFonts w:ascii="Arial" w:cs="Arial" w:eastAsia="Arial" w:hAnsi="Arial"/>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ITNESSETH</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5" w:lineRule="auto"/>
        <w:tabs>
          <w:tab w:leader="none" w:pos="1003"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On March 3, 2017 (the </w:t>
      </w:r>
      <w:r>
        <w:rPr>
          <w:rFonts w:ascii="Arial" w:cs="Arial" w:eastAsia="Arial" w:hAnsi="Arial"/>
          <w:sz w:val="17"/>
          <w:szCs w:val="17"/>
          <w:i w:val="1"/>
          <w:iCs w:val="1"/>
          <w:color w:val="auto"/>
        </w:rPr>
        <w:t>“Original Closing Date”</w:t>
      </w:r>
      <w:r>
        <w:rPr>
          <w:rFonts w:ascii="Arial" w:cs="Arial" w:eastAsia="Arial" w:hAnsi="Arial"/>
          <w:sz w:val="17"/>
          <w:szCs w:val="17"/>
          <w:color w:val="auto"/>
        </w:rPr>
        <w:t>), Lessee, Lessor, Administrative Agent and Lenders entered into the Participation Agreement, dated as of the Original Closing Date (such Participation Agreement as in effect on the Original Closing Date, the “</w:t>
      </w:r>
      <w:r>
        <w:rPr>
          <w:rFonts w:ascii="Arial" w:cs="Arial" w:eastAsia="Arial" w:hAnsi="Arial"/>
          <w:sz w:val="17"/>
          <w:szCs w:val="17"/>
          <w:i w:val="1"/>
          <w:iCs w:val="1"/>
          <w:color w:val="auto"/>
        </w:rPr>
        <w:t>Original Participation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and as amended by that certain Amended and Restated Participation Agreement, dated as of May 2, 2019, and as further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supplemented or otherwise modified prior to the Restatement Date, the </w:t>
      </w:r>
      <w:r>
        <w:rPr>
          <w:rFonts w:ascii="Arial" w:cs="Arial" w:eastAsia="Arial" w:hAnsi="Arial"/>
          <w:sz w:val="17"/>
          <w:szCs w:val="17"/>
          <w:i w:val="1"/>
          <w:iCs w:val="1"/>
          <w:color w:val="auto"/>
        </w:rPr>
        <w:t>“Previously Existing Participation Agreement”</w:t>
      </w:r>
      <w:r>
        <w:rPr>
          <w:rFonts w:ascii="Arial" w:cs="Arial" w:eastAsia="Arial" w:hAnsi="Arial"/>
          <w:sz w:val="17"/>
          <w:szCs w:val="17"/>
          <w:color w:val="auto"/>
        </w:rPr>
        <w:t>) and the other Operative Documents (as defined in the Previously Existing Participation Agreement) to finance the purchase of the Site and the Facility.</w:t>
      </w:r>
    </w:p>
    <w:p>
      <w:pPr>
        <w:spacing w:after="0" w:line="176" w:lineRule="exact"/>
        <w:rPr>
          <w:rFonts w:ascii="Arial" w:cs="Arial" w:eastAsia="Arial" w:hAnsi="Arial"/>
          <w:sz w:val="17"/>
          <w:szCs w:val="17"/>
          <w:color w:val="auto"/>
        </w:rPr>
      </w:pPr>
    </w:p>
    <w:p>
      <w:pPr>
        <w:ind w:firstLine="656"/>
        <w:spacing w:after="0" w:line="342" w:lineRule="auto"/>
        <w:tabs>
          <w:tab w:leader="none" w:pos="993"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the Original Closing Date, among other things, (i) Lessor acquired the Site and the Facility from the Sellers and (ii) Lessee and Lessor entered into the Lease pursuant to which Lessor leases to Lessee, and Lessee leases from Lessor, the Leased Property pursuant to the Lease.</w:t>
      </w:r>
    </w:p>
    <w:p>
      <w:pPr>
        <w:spacing w:after="0" w:line="123" w:lineRule="exact"/>
        <w:rPr>
          <w:rFonts w:ascii="Arial" w:cs="Arial" w:eastAsia="Arial" w:hAnsi="Arial"/>
          <w:sz w:val="16"/>
          <w:szCs w:val="16"/>
          <w:color w:val="auto"/>
        </w:rPr>
      </w:pPr>
    </w:p>
    <w:p>
      <w:pPr>
        <w:ind w:firstLine="656"/>
        <w:spacing w:after="0" w:line="277" w:lineRule="auto"/>
        <w:tabs>
          <w:tab w:leader="none" w:pos="993" w:val="left"/>
        </w:tabs>
        <w:numPr>
          <w:ilvl w:val="0"/>
          <w:numId w:val="5"/>
        </w:numPr>
        <w:rPr>
          <w:rFonts w:ascii="Arial" w:cs="Arial" w:eastAsia="Arial" w:hAnsi="Arial"/>
          <w:sz w:val="18"/>
          <w:szCs w:val="18"/>
          <w:color w:val="auto"/>
        </w:rPr>
      </w:pPr>
      <w:r>
        <w:rPr>
          <w:rFonts w:ascii="Arial" w:cs="Arial" w:eastAsia="Arial" w:hAnsi="Arial"/>
          <w:sz w:val="18"/>
          <w:szCs w:val="18"/>
          <w:color w:val="auto"/>
        </w:rPr>
        <w:t>Administrative Agent, using amounts funded by Lessor and Lenders, provided the Advance on the Original Closing Date to pay Participant Costs (including the Purchase Price and payment of, and reimbursement to the Parent Guarantor of, the Deposit).</w:t>
      </w:r>
    </w:p>
    <w:p>
      <w:pPr>
        <w:spacing w:after="0" w:line="170" w:lineRule="exact"/>
        <w:rPr>
          <w:rFonts w:ascii="Arial" w:cs="Arial" w:eastAsia="Arial" w:hAnsi="Arial"/>
          <w:sz w:val="18"/>
          <w:szCs w:val="18"/>
          <w:color w:val="auto"/>
        </w:rPr>
      </w:pPr>
    </w:p>
    <w:p>
      <w:pPr>
        <w:ind w:firstLine="656"/>
        <w:spacing w:after="0" w:line="277" w:lineRule="auto"/>
        <w:tabs>
          <w:tab w:leader="none" w:pos="100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Lessee has requested that the Previously Existing Participation Agreement be amended and restated as set forth herein, which amendment and restatement shall become effective on the Restatement Date.</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Lessor and Lessee desire and intend to amend, restate and supersede the Lease in its entirety and to renew the Term (as defined in the Lease).</w:t>
      </w:r>
    </w:p>
    <w:p>
      <w:pPr>
        <w:spacing w:after="0" w:line="248" w:lineRule="exact"/>
        <w:rPr>
          <w:rFonts w:ascii="Arial" w:cs="Arial" w:eastAsia="Arial" w:hAnsi="Arial"/>
          <w:sz w:val="16"/>
          <w:szCs w:val="16"/>
          <w:color w:val="auto"/>
        </w:rPr>
      </w:pPr>
    </w:p>
    <w:p>
      <w:pPr>
        <w:jc w:val="both"/>
        <w:ind w:firstLine="656"/>
        <w:spacing w:after="0" w:line="263" w:lineRule="auto"/>
        <w:tabs>
          <w:tab w:leader="none" w:pos="98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secure the repayment of the Participants’ respective Lessor Amount and Rent Assignment Contributions and the other amounts due and payable by Lessee under the Operative Documents, the Lessor, on behalf of the Participants, has (or from and after the Restatement Date will have) the benefit of a Lien on the Leased Property and the other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56"/>
        <w:spacing w:after="0" w:line="263" w:lineRule="auto"/>
        <w:tabs>
          <w:tab w:leader="none" w:pos="1003"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is the intent of the parties hereto that this Participation Agreement (i) shall amend, restate and supersede in its entirety the Previously Existing Participation Agreement and (ii) shall not constitute a novation of the obligations and liabilities of the parties under the Previously Existing Participation Agreement or any other Operative Document).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w:t>
      </w:r>
      <w:r>
        <w:rPr>
          <w:rFonts w:ascii="Arial" w:cs="Arial" w:eastAsia="Arial" w:hAnsi="Arial"/>
          <w:sz w:val="18"/>
          <w:szCs w:val="18"/>
          <w:color w:val="auto"/>
        </w:rPr>
        <w:t>, T</w:t>
      </w:r>
      <w:r>
        <w:rPr>
          <w:rFonts w:ascii="Arial" w:cs="Arial" w:eastAsia="Arial" w:hAnsi="Arial"/>
          <w:sz w:val="12"/>
          <w:szCs w:val="12"/>
          <w:color w:val="auto"/>
        </w:rPr>
        <w:t>HEREFORE</w:t>
      </w:r>
      <w:r>
        <w:rPr>
          <w:rFonts w:ascii="Arial" w:cs="Arial" w:eastAsia="Arial" w:hAnsi="Arial"/>
          <w:sz w:val="18"/>
          <w:szCs w:val="18"/>
          <w:color w:val="auto"/>
        </w:rPr>
        <w:t>, in consideration of the mutual agreements contained in this Participation Agreement and other good and valuable consideration, the receipt and sufficiency of which are hereby acknowledged, the parties hereto agree that the Previously Existing Participation Agreement is hereby amended and restated in its entirety as follows effective as of the Restatement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 I</w:t>
      </w:r>
      <w:r>
        <w:rPr>
          <w:rFonts w:ascii="Arial" w:cs="Arial" w:eastAsia="Arial" w:hAnsi="Arial"/>
          <w:sz w:val="12"/>
          <w:szCs w:val="12"/>
          <w:b w:val="1"/>
          <w:bCs w:val="1"/>
          <w:color w:val="auto"/>
        </w:rPr>
        <w:t>NTERPRETATION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1.1. Definitions; Interpretation</w:t>
      </w:r>
      <w:r>
        <w:rPr>
          <w:rFonts w:ascii="Arial" w:cs="Arial" w:eastAsia="Arial" w:hAnsi="Arial"/>
          <w:sz w:val="18"/>
          <w:szCs w:val="18"/>
          <w:color w:val="auto"/>
        </w:rPr>
        <w:t>. Unless the context shall otherwise require, capitalized terms used and not defined herein shall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meanings assigned thereto in Appendix 1 hereto for all purposes hereof; and the rules of interpretation set forth in Appendix 1 hereto shall apply to this Participation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RIGINAL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LOSING</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r>
        <w:rPr>
          <w:rFonts w:ascii="Arial" w:cs="Arial" w:eastAsia="Arial" w:hAnsi="Arial"/>
          <w:sz w:val="18"/>
          <w:szCs w:val="18"/>
          <w:b w:val="1"/>
          <w:bCs w:val="1"/>
          <w:color w:val="auto"/>
        </w:rPr>
        <w:t>; A</w:t>
      </w:r>
      <w:r>
        <w:rPr>
          <w:rFonts w:ascii="Arial" w:cs="Arial" w:eastAsia="Arial" w:hAnsi="Arial"/>
          <w:sz w:val="12"/>
          <w:szCs w:val="12"/>
          <w:b w:val="1"/>
          <w:bCs w:val="1"/>
          <w:color w:val="auto"/>
        </w:rPr>
        <w:t>CQUISITION</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r>
        <w:rPr>
          <w:rFonts w:ascii="Arial" w:cs="Arial" w:eastAsia="Arial" w:hAnsi="Arial"/>
          <w:sz w:val="18"/>
          <w:szCs w:val="18"/>
          <w:b w:val="1"/>
          <w:bCs w:val="1"/>
          <w:color w:val="auto"/>
        </w:rPr>
        <w:t>; R</w:t>
      </w:r>
      <w:r>
        <w:rPr>
          <w:rFonts w:ascii="Arial" w:cs="Arial" w:eastAsia="Arial" w:hAnsi="Arial"/>
          <w:sz w:val="12"/>
          <w:szCs w:val="12"/>
          <w:b w:val="1"/>
          <w:bCs w:val="1"/>
          <w:color w:val="auto"/>
        </w:rPr>
        <w:t>ESTATEMENT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2.1. Effectiveness of Original Participation Agreement</w:t>
      </w:r>
      <w:r>
        <w:rPr>
          <w:rFonts w:ascii="Arial" w:cs="Arial" w:eastAsia="Arial" w:hAnsi="Arial"/>
          <w:sz w:val="18"/>
          <w:szCs w:val="18"/>
          <w:color w:val="auto"/>
        </w:rPr>
        <w:t>. The Original Participation Agreement became effective as of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2.2. Amendment, Restatement and Renewal of Operative Documents</w:t>
      </w:r>
      <w:r>
        <w:rPr>
          <w:rFonts w:ascii="Arial" w:cs="Arial" w:eastAsia="Arial" w:hAnsi="Arial"/>
          <w:sz w:val="18"/>
          <w:szCs w:val="18"/>
          <w:color w:val="auto"/>
        </w:rPr>
        <w:t>. On the Restatement Date, (a) Lessor and Lessee and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thereto, as applicable, will amend and restate in their entirety the Previously Existing Participation Agreement and certain other Operative Documents, and (b) contemporaneously therewith, (i) Lessor and Lessee will renew the Term for the First Renewal Term (as such terms are defined in the Lease) pursuant to the terms of the Lease and (ii) the Loans outstanding under the Loan Agreement immediately prior to the Restatement Date will be converted to Rent Assignment Contributions, all as hereinafter provided.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2.3. Participant Costs</w:t>
      </w:r>
      <w:r>
        <w:rPr>
          <w:rFonts w:ascii="Arial" w:cs="Arial" w:eastAsia="Arial" w:hAnsi="Arial"/>
          <w:sz w:val="18"/>
          <w:szCs w:val="18"/>
          <w:color w:val="auto"/>
        </w:rPr>
        <w:t>. On the Original Closing Date, the Lessor made the Advance, the proceeds of which were used for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Costs.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2.4. Effectiveness of Second Amended and Restated Participation Agreement</w:t>
      </w:r>
      <w:r>
        <w:rPr>
          <w:rFonts w:ascii="Arial" w:cs="Arial" w:eastAsia="Arial" w:hAnsi="Arial"/>
          <w:sz w:val="18"/>
          <w:szCs w:val="18"/>
          <w:color w:val="auto"/>
        </w:rPr>
        <w:t>. This Participation Agreement shall be effective as of,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Previously Existing Participation Agreement shall be amended and restated as set forth in this Participation Agreement on, the earliest date (the </w:t>
      </w:r>
      <w:r>
        <w:rPr>
          <w:rFonts w:ascii="Arial" w:cs="Arial" w:eastAsia="Arial" w:hAnsi="Arial"/>
          <w:sz w:val="18"/>
          <w:szCs w:val="18"/>
          <w:i w:val="1"/>
          <w:iCs w:val="1"/>
          <w:color w:val="auto"/>
        </w:rPr>
        <w:t>“Restatement Date”</w:t>
      </w:r>
      <w:r>
        <w:rPr>
          <w:rFonts w:ascii="Arial" w:cs="Arial" w:eastAsia="Arial" w:hAnsi="Arial"/>
          <w:sz w:val="18"/>
          <w:szCs w:val="18"/>
          <w:color w:val="auto"/>
        </w:rPr>
        <w:t>) on which all of the conditions precedent thereto set forth in Section 6.1 and Section 6.2 have been satisfied or waived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parties as set forth therein, which shall in no event be later than March 3, 2022.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UNDING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DVANCES</w:t>
      </w:r>
    </w:p>
    <w:p>
      <w:pPr>
        <w:spacing w:after="0" w:line="211"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i w:val="1"/>
          <w:iCs w:val="1"/>
          <w:color w:val="auto"/>
        </w:rPr>
        <w:t>Section 3.1.</w:t>
      </w:r>
      <w:r>
        <w:rPr>
          <w:sz w:val="20"/>
          <w:szCs w:val="20"/>
          <w:color w:val="auto"/>
        </w:rPr>
        <w:tab/>
      </w:r>
      <w:r>
        <w:rPr>
          <w:rFonts w:ascii="Arial" w:cs="Arial" w:eastAsia="Arial" w:hAnsi="Arial"/>
          <w:sz w:val="16"/>
          <w:szCs w:val="16"/>
          <w:i w:val="1"/>
          <w:iCs w:val="1"/>
          <w:color w:val="auto"/>
        </w:rPr>
        <w:t>Fundings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8" w:lineRule="auto"/>
        <w:tabs>
          <w:tab w:leader="none" w:pos="1027"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Amount of Fundings. </w:t>
      </w:r>
      <w:r>
        <w:rPr>
          <w:rFonts w:ascii="Arial" w:cs="Arial" w:eastAsia="Arial" w:hAnsi="Arial"/>
          <w:sz w:val="17"/>
          <w:szCs w:val="17"/>
          <w:color w:val="auto"/>
        </w:rPr>
        <w:t>Pursuant to the Original Participation Agreement and in reliance on the representations and warranties of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thereto contained therein or made pursuant thereto, on the Original Closing Date the Lessor made the Advance requested pursuant to the Advance Request and each Lender and Lessor funded its portion of the Advance, as and to the extent provided in the Original Participation Agreement, in each case by making available to the Administrative Agent by wire transfer of immediately available funds in accordance with the instructions set forth in the Advance Request, an amount equal to (i) with respect to any Lender, the product of such Lender’s Commitment Percentage (as defined in the Original Participation Agreement) and the aggregate amount of the requested Advance and (ii) with respect to the Lessor, the product of Lessor’s Commitment Percentage (as defined in the Original Participation Agreement) and the aggregate amount of the requested Advance. The Funding by each Lender and Lessor on the Original Closing Date was in an amount equal to such Lender’s or Lessor’s Commitment (as defined in the Original Participation Agreement) and (y) the Advance made by the Lenders and Lessor on the Original Closing Date was in an amount equal to the Aggregate Commitment Amount. No amounts paid or prepaid with respect to Lessor Amount or the Rent Assignment Contribution may be readvanced. As of the Restatement Date, and as indicated on Schedule II, each Rent Assignee’s Loan Balance, or portion thereof, as indicated on Schedule II, is hereby converted to, and from an after the Restatement Date shall constitute, a Rent Assignment Contribution Commitment and Rent Assignment Contribution, as applicable, in each case as shown on Schedule II attached hereto.</w:t>
      </w:r>
    </w:p>
    <w:p>
      <w:pPr>
        <w:spacing w:after="0" w:line="186" w:lineRule="exact"/>
        <w:rPr>
          <w:rFonts w:ascii="Arial" w:cs="Arial" w:eastAsia="Arial" w:hAnsi="Arial"/>
          <w:sz w:val="17"/>
          <w:szCs w:val="17"/>
          <w:color w:val="auto"/>
        </w:rPr>
      </w:pPr>
    </w:p>
    <w:p>
      <w:pPr>
        <w:ind w:firstLine="656"/>
        <w:spacing w:after="0" w:line="277" w:lineRule="auto"/>
        <w:tabs>
          <w:tab w:leader="none" w:pos="103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Yield on Rent Assignment Contributions and Lessor Amount</w:t>
      </w:r>
      <w:r>
        <w:rPr>
          <w:rFonts w:ascii="Arial" w:cs="Arial" w:eastAsia="Arial" w:hAnsi="Arial"/>
          <w:sz w:val="18"/>
          <w:szCs w:val="18"/>
          <w:color w:val="auto"/>
        </w:rPr>
        <w:t>. The Rent Assignment Contribution Amount shall accrue Yield at the Series A</w:t>
      </w:r>
      <w:r>
        <w:rPr>
          <w:rFonts w:ascii="Arial" w:cs="Arial" w:eastAsia="Arial" w:hAnsi="Arial"/>
          <w:sz w:val="18"/>
          <w:szCs w:val="18"/>
          <w:i w:val="1"/>
          <w:iCs w:val="1"/>
          <w:color w:val="auto"/>
        </w:rPr>
        <w:t xml:space="preserve"> </w:t>
      </w:r>
      <w:r>
        <w:rPr>
          <w:rFonts w:ascii="Arial" w:cs="Arial" w:eastAsia="Arial" w:hAnsi="Arial"/>
          <w:sz w:val="18"/>
          <w:szCs w:val="18"/>
          <w:color w:val="auto"/>
        </w:rPr>
        <w:t>Yield Rate. The Lessor Amount shall accrue Yield at the Series B Yield Rate.</w:t>
      </w:r>
    </w:p>
    <w:p>
      <w:pPr>
        <w:spacing w:after="0" w:line="170" w:lineRule="exact"/>
        <w:rPr>
          <w:rFonts w:ascii="Arial" w:cs="Arial" w:eastAsia="Arial" w:hAnsi="Arial"/>
          <w:sz w:val="18"/>
          <w:szCs w:val="18"/>
          <w:color w:val="auto"/>
        </w:rPr>
      </w:pPr>
    </w:p>
    <w:p>
      <w:pPr>
        <w:jc w:val="both"/>
        <w:ind w:firstLine="656"/>
        <w:spacing w:after="0" w:line="268" w:lineRule="auto"/>
        <w:tabs>
          <w:tab w:leader="none" w:pos="1027"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Funding</w:t>
      </w:r>
      <w:r>
        <w:rPr>
          <w:rFonts w:ascii="Arial" w:cs="Arial" w:eastAsia="Arial" w:hAnsi="Arial"/>
          <w:sz w:val="17"/>
          <w:szCs w:val="17"/>
          <w:color w:val="auto"/>
        </w:rPr>
        <w:t>. The Advance made by Lessor on the Original Closing Date pursuant to the Operative Documents was made by the Lenders and</w:t>
      </w:r>
      <w:r>
        <w:rPr>
          <w:rFonts w:ascii="Arial" w:cs="Arial" w:eastAsia="Arial" w:hAnsi="Arial"/>
          <w:sz w:val="17"/>
          <w:szCs w:val="17"/>
          <w:i w:val="1"/>
          <w:iCs w:val="1"/>
          <w:color w:val="auto"/>
        </w:rPr>
        <w:t xml:space="preserve"> </w:t>
      </w:r>
      <w:r>
        <w:rPr>
          <w:rFonts w:ascii="Arial" w:cs="Arial" w:eastAsia="Arial" w:hAnsi="Arial"/>
          <w:sz w:val="17"/>
          <w:szCs w:val="17"/>
          <w:color w:val="auto"/>
        </w:rPr>
        <w:t>Lessor making the Funding directly to the Administrative Agent. The Funding by the Lenders and Lessor on the Original Closing Date to the Administrative Agent with respect to the Advance, and the Advance by the Administrative Agent on the Original Closing Date to any Person entitled to payments constituting Participant Costs, was deemed to constitute the required Advance by the Lenders and Lessor pursuant to the Original Participation Agreement and shall be deemed to constitute the Lessor Amount and the Rent Assignment Contribution, of the Participants hereunder. The Rent Assignees hereby make such assignments among themselves as are necessary so that, after giving effect to such assignments, each Rent Assignee holds its Commitment Percentage of the Aggregate Commitment Amount as indicated on Schedule II attached to this Participation Agreement, and all such assignments shall be deemed made upon the terms set forth in the form of the Assignment Agreement and each such Rent Assignee who has an increased Rent Assignment Contribution Commitment from its outstanding Loan immediately prior to the Restatement Date shall fund the difference between its outstanding Loan and its Rent Assignment Contribution Commitment Amount to the Administrative Agent on the Restatement Date. The Administrative Agent shall distribute funds received under this paragraph as appropriate to the applicable Rent Assignees who have a reduced Rent Assignment Contribution Commitment Amount in the amount by which their respective Rent Assignment Contribution Commitment Amount was reduced from its outstanding Loan immediately prior to the Restatement Date.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right="20" w:firstLine="656"/>
        <w:spacing w:after="0" w:line="342" w:lineRule="auto"/>
        <w:tabs>
          <w:tab w:leader="none" w:pos="1038"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Advance; Limitations and Limits</w:t>
      </w:r>
      <w:r>
        <w:rPr>
          <w:rFonts w:ascii="Arial" w:cs="Arial" w:eastAsia="Arial" w:hAnsi="Arial"/>
          <w:sz w:val="16"/>
          <w:szCs w:val="16"/>
          <w:color w:val="auto"/>
        </w:rPr>
        <w:t>. Pursuant to Section 3.2 of the Original Participation Agreement, the Advance was used solely to pay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Costs. The Advance was made on the Original Closing Date, and there shall be no additional advances pursuant to this Participation Agreement.</w:t>
      </w:r>
    </w:p>
    <w:p>
      <w:pPr>
        <w:spacing w:after="0" w:line="123" w:lineRule="exact"/>
        <w:rPr>
          <w:rFonts w:ascii="Arial" w:cs="Arial" w:eastAsia="Arial" w:hAnsi="Arial"/>
          <w:sz w:val="16"/>
          <w:szCs w:val="16"/>
          <w:color w:val="auto"/>
        </w:rPr>
      </w:pPr>
    </w:p>
    <w:p>
      <w:pPr>
        <w:jc w:val="both"/>
        <w:ind w:firstLine="656"/>
        <w:spacing w:after="0" w:line="263" w:lineRule="auto"/>
        <w:tabs>
          <w:tab w:leader="none" w:pos="1027"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Loan Agreement and Notes. </w:t>
      </w:r>
      <w:r>
        <w:rPr>
          <w:rFonts w:ascii="Arial" w:cs="Arial" w:eastAsia="Arial" w:hAnsi="Arial"/>
          <w:sz w:val="18"/>
          <w:szCs w:val="18"/>
          <w:color w:val="auto"/>
        </w:rPr>
        <w:t>Notwithstanding anything in this Participation Agreement or any other Operative Document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contrary, as of the Restatement Date, and upon the conversion of Loans to Rent Assignment Contributions pursuant to clause (a) above, the Loan Agreement shall terminate and the Notes issued thereunder shall be deemed cancelled.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Section 3.2. Payment of Participant Costs and Fees. </w:t>
      </w:r>
      <w:r>
        <w:rPr>
          <w:rFonts w:ascii="Arial" w:cs="Arial" w:eastAsia="Arial" w:hAnsi="Arial"/>
          <w:sz w:val="18"/>
          <w:szCs w:val="18"/>
          <w:color w:val="auto"/>
        </w:rPr>
        <w:t>On the Original Closing Date, the Lessor and Lenders made the Advance in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the Advance Request to pay the Purchase Price less the Deposit to the Sellers (or their designee) and pay the Deposit to the Parent Guarantor (to reimburse the Parent Guarantor for same).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3.3. Advance Request</w:t>
      </w:r>
      <w:r>
        <w:rPr>
          <w:rFonts w:ascii="Arial" w:cs="Arial" w:eastAsia="Arial" w:hAnsi="Arial"/>
          <w:sz w:val="18"/>
          <w:szCs w:val="18"/>
          <w:color w:val="auto"/>
        </w:rPr>
        <w:t>. Lessee delivered the Advance Request to Administrative Agent prior to the Original Closing Date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3.3 of the Original Participation Agreement, which contained, among other things, a statement of the amount of the requested Advance setting forth the amount of the Advance to be used to fund (A) the Purchase Price less the Deposit, to Sellers and (B) the Deposit, to the Parent Guarantor (to reimburse the Parent Guarantor for same).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documents and instruments required to be delivered on the Original Closing Date and in connection with the Advance pursuant to the Original Participation Agreement were delivered at the offices of Chapman and Cutler LLP, 595 Market Street, Suite 2600, San Francisco, California 94105-2839, Attention: Vincent W. Pelleriti, Esq. or at such other location as the Administrative Agent and Lessee agreed. Except as otherwise expressly specified in this Participation Agreement, all documents and instruments required to be delivered on or subsequent to the Execution Date pursuant to this Participation Agreement shall be delivered to the Administrative Agent, or at such other location as the Administrative Agent, Required Participants, Lessor and Lessee may agree.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3.4. Assignment of Purchase Agreement</w:t>
      </w:r>
      <w:r>
        <w:rPr>
          <w:rFonts w:ascii="Arial" w:cs="Arial" w:eastAsia="Arial" w:hAnsi="Arial"/>
          <w:sz w:val="18"/>
          <w:szCs w:val="18"/>
          <w:color w:val="auto"/>
        </w:rPr>
        <w:t>. On the Original Closing Date, Lessee entered into the Assignment of Purchase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Lessor, which was in form and substance reasonably satisfactory to Lessor.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w:t>
      </w:r>
      <w:r>
        <w:rPr>
          <w:rFonts w:ascii="Arial" w:cs="Arial" w:eastAsia="Arial" w:hAnsi="Arial"/>
          <w:sz w:val="12"/>
          <w:szCs w:val="12"/>
          <w:b w:val="1"/>
          <w:bCs w:val="1"/>
          <w:color w:val="auto"/>
        </w:rPr>
        <w:t>IELD</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Section 4.1. Yield</w:t>
      </w:r>
      <w:r>
        <w:rPr>
          <w:rFonts w:ascii="Arial" w:cs="Arial" w:eastAsia="Arial" w:hAnsi="Arial"/>
          <w:sz w:val="18"/>
          <w:szCs w:val="18"/>
          <w:color w:val="auto"/>
        </w:rPr>
        <w:t>. The amount of the Lessor Amount outstanding from time to time shall accrue Yield at the Series B Yield Rate, calculated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basis of a 360-day year using the actual number of days elapsed, except that, when the Series B Yield Rate is based on an Alternate Base Rate, it shall be calculated on the basis of a 365 (or, if applicable, 366) day year. If all or any portion of the Lessor Amount outstanding, any Yield payable thereon or any other amount payable hereunder shall not be paid when due (whether at stated maturity, acceleration thereof or otherwise), such overdue amount shall bear Yield at a rate per annum which is equal to the Overdue Rate (subject to the applicable provisions of Section 3.3 of the Lease with respect to when the Overdue Rate shall so apply).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4.2. Yield on Rent Assignment Contribution</w:t>
      </w:r>
      <w:r>
        <w:rPr>
          <w:rFonts w:ascii="Arial" w:cs="Arial" w:eastAsia="Arial" w:hAnsi="Arial"/>
          <w:sz w:val="18"/>
          <w:szCs w:val="18"/>
          <w:color w:val="auto"/>
        </w:rPr>
        <w:t>. Each Rent Assignment Contribution shall accrue Yield at the Series A Yield Rate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and payable in accordance with the terms of the Rent Assignment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4.3. Payments of Rent; and Payments and Prepayments of Funded Amounts</w:t>
      </w:r>
      <w:r>
        <w:rPr>
          <w:rFonts w:ascii="Arial" w:cs="Arial" w:eastAsia="Arial" w:hAnsi="Arial"/>
          <w:sz w:val="18"/>
          <w:szCs w:val="18"/>
          <w:color w:val="auto"/>
        </w:rPr>
        <w:t>. (a) Notwithstanding any provisions in the Lease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the Lessor hereby directs the Lessee to pay to the Administrative Agent the Rent from time to time payable under the Lease (other than Supplemental Rent that is payable to Persons other than Lessor, which the Lessor hereby directs the Lessee to make directly to the applicable Person entitled thereto). To assist the Lessee in paying Basic Rent, the Administrative Agent will provide the Lessee at least six (6) Business Days prior to the Payment Date with an invoice of the Basic Rent due for such period.</w:t>
      </w:r>
    </w:p>
    <w:p>
      <w:pPr>
        <w:spacing w:after="0" w:line="188" w:lineRule="exact"/>
        <w:rPr>
          <w:sz w:val="20"/>
          <w:szCs w:val="20"/>
          <w:color w:val="auto"/>
        </w:rPr>
      </w:pPr>
    </w:p>
    <w:p>
      <w:pPr>
        <w:jc w:val="both"/>
        <w:ind w:firstLine="656"/>
        <w:spacing w:after="0" w:line="296" w:lineRule="auto"/>
        <w:tabs>
          <w:tab w:leader="none" w:pos="1038"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event that the Lessee pays or causes to be paid the Lease Balance and all other amounts owing by Lessee to the Administrative Agent, if any, and/or the Participants under the Operative Documents (including, but without duplication, accrued and unpaid Rent) to the Lessor in connection with the Lessee’s purchase of the Leased Property in accordance with Section 15.1, 16.2(e) or 18.1 of the Lease or Article XIX of the Lease, the Lessor will prepay the entire Rent Assignment Contribution Balance and the Lessor Balance. Each Participant hereby acknowledges that its Rent Assignment Contribution or Lessor Amount, as the case may be, may be so prepaid without any prepayment premium or charge (other than Break Costs, if any).</w:t>
      </w:r>
    </w:p>
    <w:p>
      <w:pPr>
        <w:spacing w:after="0" w:line="161" w:lineRule="exact"/>
        <w:rPr>
          <w:rFonts w:ascii="Arial" w:cs="Arial" w:eastAsia="Arial" w:hAnsi="Arial"/>
          <w:sz w:val="16"/>
          <w:szCs w:val="16"/>
          <w:color w:val="auto"/>
        </w:rPr>
      </w:pPr>
    </w:p>
    <w:p>
      <w:pPr>
        <w:jc w:val="both"/>
        <w:ind w:firstLine="656"/>
        <w:spacing w:after="0" w:line="259" w:lineRule="auto"/>
        <w:tabs>
          <w:tab w:leader="none" w:pos="1027"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Lessor and Administrative Agent do hereby notify Lessee that all Rent and other amounts payable to the Participants under the Operative Documents due or to become due have been assigned to Administrative Agent (other than Excepted Payments) and that all amounts due or to become due to the Participants under the Operative Documents shall be paid to Administrative Agent for distribution and application in accordance with the Operative Documents.</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038" w:val="left"/>
        </w:tabs>
        <w:numPr>
          <w:ilvl w:val="0"/>
          <w:numId w:val="9"/>
        </w:numPr>
        <w:rPr>
          <w:rFonts w:ascii="Arial" w:cs="Arial" w:eastAsia="Arial" w:hAnsi="Arial"/>
          <w:sz w:val="18"/>
          <w:szCs w:val="18"/>
          <w:color w:val="auto"/>
        </w:rPr>
      </w:pPr>
      <w:r>
        <w:rPr>
          <w:rFonts w:ascii="Arial" w:cs="Arial" w:eastAsia="Arial" w:hAnsi="Arial"/>
          <w:sz w:val="18"/>
          <w:szCs w:val="18"/>
          <w:color w:val="auto"/>
        </w:rPr>
        <w:t>Administrative Agent shall, as soon as practicable, notify Lessee, Lessor and the Rent Assignees of each determination of the Term SOFR Rate or the Alternate Base Rate. Any change in the Yield Rate on a Rent Assignment Contribution or Lessor Amount resulting from a change in the Alternate Base Rate shall become effective as of the opening of business on the day on which such change becomes effective. Administrative Agent shall, monthly during the Term, notify Lessee, Lessor and the Rent Assignees of the effective date and the amount of each such change in the Yield Rate; provided, however, that the failure to give any such notice shall not affect Lessor’s obligation hereunder or the obligations of Lessee or any Guarantor under the Operative Documents.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79" w:lineRule="auto"/>
        <w:rPr>
          <w:sz w:val="20"/>
          <w:szCs w:val="20"/>
          <w:color w:val="auto"/>
        </w:rPr>
      </w:pPr>
      <w:r>
        <w:rPr>
          <w:rFonts w:ascii="Arial" w:cs="Arial" w:eastAsia="Arial" w:hAnsi="Arial"/>
          <w:sz w:val="17"/>
          <w:szCs w:val="17"/>
          <w:i w:val="1"/>
          <w:iCs w:val="1"/>
          <w:color w:val="auto"/>
        </w:rPr>
        <w:t>Section 4.4. Fees</w:t>
      </w:r>
      <w:r>
        <w:rPr>
          <w:rFonts w:ascii="Arial" w:cs="Arial" w:eastAsia="Arial" w:hAnsi="Arial"/>
          <w:sz w:val="17"/>
          <w:szCs w:val="17"/>
          <w:color w:val="auto"/>
        </w:rPr>
        <w:t>. Lessee agrees to pay the following fees (collectively, the “</w:t>
      </w:r>
      <w:r>
        <w:rPr>
          <w:rFonts w:ascii="Arial" w:cs="Arial" w:eastAsia="Arial" w:hAnsi="Arial"/>
          <w:sz w:val="17"/>
          <w:szCs w:val="17"/>
          <w:i w:val="1"/>
          <w:iCs w:val="1"/>
          <w:color w:val="auto"/>
        </w:rPr>
        <w:t>Fees</w:t>
      </w:r>
      <w:r>
        <w:rPr>
          <w:rFonts w:ascii="Arial" w:cs="Arial" w:eastAsia="Arial" w:hAnsi="Arial"/>
          <w:sz w:val="17"/>
          <w:szCs w:val="17"/>
          <w:color w:val="auto"/>
        </w:rPr>
        <w:t>”): (x) to the Administrative Agent, for the account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the Upfront Fees payable to the Participants on the Execution Date, (y) to Arranger, for its own account, the Arranger Fee payable to the Arranger on the Execution Date pursuant to, and in the amount set forth in, the Arranger Fee Letter, and (z) to the Administrative Agent, the periodic agency fees payable to the Administrative Agent pursuant to, and in the amounts and at the times set forth in, the Administrative Agent Fee Letter.</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Section 4.5. Obligations Several</w:t>
      </w:r>
      <w:r>
        <w:rPr>
          <w:rFonts w:ascii="Arial" w:cs="Arial" w:eastAsia="Arial" w:hAnsi="Arial"/>
          <w:sz w:val="16"/>
          <w:szCs w:val="16"/>
          <w:color w:val="auto"/>
        </w:rPr>
        <w:t>. The obligations of the Participants hereunder or elsewhere in the Operative Documents shall be several and not</w:t>
      </w:r>
      <w:r>
        <w:rPr>
          <w:rFonts w:ascii="Arial" w:cs="Arial" w:eastAsia="Arial" w:hAnsi="Arial"/>
          <w:sz w:val="16"/>
          <w:szCs w:val="16"/>
          <w:i w:val="1"/>
          <w:iCs w:val="1"/>
          <w:color w:val="auto"/>
        </w:rPr>
        <w:t xml:space="preserve"> </w:t>
      </w:r>
      <w:r>
        <w:rPr>
          <w:rFonts w:ascii="Arial" w:cs="Arial" w:eastAsia="Arial" w:hAnsi="Arial"/>
          <w:sz w:val="16"/>
          <w:szCs w:val="16"/>
          <w:color w:val="auto"/>
        </w:rPr>
        <w:t>joint; and no Participant shall be liable or responsible for the acts or defaults of any other party hereunder or under any other Operative Document.</w:t>
      </w:r>
    </w:p>
    <w:p>
      <w:pPr>
        <w:spacing w:after="0" w:line="12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Section 4.6. Highest Lawful Rate</w:t>
      </w:r>
      <w:r>
        <w:rPr>
          <w:rFonts w:ascii="Arial" w:cs="Arial" w:eastAsia="Arial" w:hAnsi="Arial"/>
          <w:sz w:val="16"/>
          <w:szCs w:val="16"/>
          <w:color w:val="auto"/>
        </w:rPr>
        <w:t>. It is the intention of the parties hereto to conform strictly to applicable usury laws, and, anything herein or in</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Operative Document to the contrary notwithstanding, the obligations of (x) Lessee to Lessor under this Participation Agreement, the Lease and the other Operative Documents, (y) Lessor to the Rent Assignees under the Rent Assignment Agreement and (z) either Lessee or Lessor or any other party under any other Operative Document shall, in each case, be subject to the limitation that payments of interest or of other amounts constituting interest under Applicable Laws shall not be required to the extent that receipt thereof would be in excess of the Highest Lawful Rate or otherwise contrary to provisions of Applicable Laws applicable to the recipient limiting rates of interest which may be charged or collected by the recipient. Accordingly, if the transactions or the amount paid or otherwise agreed to be paid for the use, forbearance or detention of money under this Participation Agreement, the Lease, the Rent Assignment Agreement or any other Operative Document would exceed the Highest Lawful Rate or otherwise be usurious under Applicable Laws (including without limitation the federal and state laws of the United States of America or of any other jurisdiction whose laws may be mandatorily applicable) with respect to the recipient of any such amount, then, in that event, notwithstanding anything to the contrary in this Participation Agreement, the Lease, the Rent Assignment Agreement or any other Operative Document, it is agreed as follows as to the recipient of any such amount:</w:t>
      </w:r>
    </w:p>
    <w:p>
      <w:pPr>
        <w:spacing w:after="0" w:line="172" w:lineRule="exact"/>
        <w:rPr>
          <w:sz w:val="20"/>
          <w:szCs w:val="20"/>
          <w:color w:val="auto"/>
        </w:rPr>
      </w:pPr>
    </w:p>
    <w:p>
      <w:pPr>
        <w:ind w:left="660" w:firstLine="644"/>
        <w:spacing w:after="0" w:line="308" w:lineRule="auto"/>
        <w:tabs>
          <w:tab w:leader="none" w:pos="168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provisions of this Section 4.6 shall govern and control over any other provision in this Participation Agreement, the Lease, the Rent Assignment Agreement and any other Operative Document, and each provision set forth herein or therein is hereby so limited;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left="-460" w:firstLine="644"/>
        <w:spacing w:after="0" w:line="269" w:lineRule="auto"/>
        <w:tabs>
          <w:tab w:leader="none" w:pos="578"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aggregate of all consideration which constitutes interest under Applicable Laws that is contracted for, charged or received under or with respect to this Participation Agreement, the Lease, the Rent Assignment Agreement or any other Operative Document or the Rent Assignment Contribution Amount or the Lessor Amount shall under no circumstances exceed the maximum amount of interest allowed by Applicable Laws (such maximum lawful interest rate, if any, with respect to such recipient herein shall be called the </w:t>
      </w:r>
      <w:r>
        <w:rPr>
          <w:rFonts w:ascii="Arial" w:cs="Arial" w:eastAsia="Arial" w:hAnsi="Arial"/>
          <w:sz w:val="17"/>
          <w:szCs w:val="17"/>
          <w:i w:val="1"/>
          <w:iCs w:val="1"/>
          <w:color w:val="auto"/>
        </w:rPr>
        <w:t>“Highest Lawful Rate”</w:t>
      </w:r>
      <w:r>
        <w:rPr>
          <w:rFonts w:ascii="Arial" w:cs="Arial" w:eastAsia="Arial" w:hAnsi="Arial"/>
          <w:sz w:val="17"/>
          <w:szCs w:val="17"/>
          <w:color w:val="auto"/>
        </w:rPr>
        <w:t>), and all amounts owed under or with respect to this Participation Agreement, the Lease, the Rent Assignment Agreement and any other Operative Document or the Rent Assignment Contribution Amount or the Lessor Amount shall be held subject to reduction and: (i) the amount of interest which would otherwise be payable to the recipient under this Participation Agreement, the Lease, the Rent Assignment Agreement, any other Operative Document or the Rent Assignment Contribution Amount or the Lessor Amount shall be automatically reduced to the amount allowed under Applicable Laws, and (ii) any unearned interest paid in excess of the Highest Lawful Rate shall be credited to the payor by the recipient (or, if such consideration shall have been paid in full, refunded to the payor);</w:t>
      </w:r>
    </w:p>
    <w:p>
      <w:pPr>
        <w:spacing w:after="0" w:line="185" w:lineRule="exact"/>
        <w:rPr>
          <w:rFonts w:ascii="Arial" w:cs="Arial" w:eastAsia="Arial" w:hAnsi="Arial"/>
          <w:sz w:val="17"/>
          <w:szCs w:val="17"/>
          <w:color w:val="auto"/>
        </w:rPr>
      </w:pPr>
    </w:p>
    <w:p>
      <w:pPr>
        <w:jc w:val="both"/>
        <w:ind w:left="-460" w:firstLine="644"/>
        <w:spacing w:after="0" w:line="259" w:lineRule="auto"/>
        <w:tabs>
          <w:tab w:leader="none" w:pos="5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sums paid or agreed to be paid for the use, forbearance and detention of the money under this Participation Agreement, the Lease, the Rent Assignment Agreement, any other Operative Document, the Rent Assignment Contribution Amount or the Lessor Amount shall, to the extent permitted by Applicable Laws, be amortized, prorated, allocated and spread throughout the full term of such indebtedness until payment in full so that the actual rate of interest is uniform throughout the full term thereof; and</w:t>
      </w:r>
    </w:p>
    <w:p>
      <w:pPr>
        <w:spacing w:after="0" w:line="186" w:lineRule="exact"/>
        <w:rPr>
          <w:rFonts w:ascii="Arial" w:cs="Arial" w:eastAsia="Arial" w:hAnsi="Arial"/>
          <w:sz w:val="18"/>
          <w:szCs w:val="18"/>
          <w:color w:val="auto"/>
        </w:rPr>
      </w:pPr>
    </w:p>
    <w:p>
      <w:pPr>
        <w:jc w:val="both"/>
        <w:ind w:left="-460" w:firstLine="644"/>
        <w:spacing w:after="0" w:line="289" w:lineRule="auto"/>
        <w:tabs>
          <w:tab w:leader="none" w:pos="5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at any time the interest, together with any other fees, late charges and other sums payable pursuant to or in connection with this Participation Agreement, the Lease, the Rent Assignment Agreement and any other Operative Document executed in connection herewith or therewith and deemed interest under Applicable Laws, exceeds that amount which would have accrued at the Highest Lawful Rate, the amount of interest and any such fees, charges and sums to accrue to the recipient of such interest, fees, charges and sums pursuant to the Operative Documents shall be limited, notwithstanding anything to the contrary in the Operative Documents, to that amount which would have accrued at the Highest Lawful Rate for the recipient, but any subsequent reductions, as applicable, shall not reduce the interest to accrue pursuant to the Operative Documents below the recipient’s Highest Lawful Rate until the total amount of interest payable to the recipient (including all consideration which constitutes interest) equals the amount of interest which would have been payable to the recipient (including all consideration which constitutes interest), plus the amount of fees which would have been received but for the effect of this Section 4.6.</w:t>
      </w:r>
    </w:p>
    <w:p>
      <w:pPr>
        <w:spacing w:after="0" w:line="38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 w:name="page17"/>
    <w:bookmarkEnd w:id="16"/>
    <w:p>
      <w:pPr>
        <w:jc w:val="both"/>
        <w:ind w:firstLine="648"/>
        <w:spacing w:after="0" w:line="261" w:lineRule="auto"/>
        <w:rPr>
          <w:sz w:val="20"/>
          <w:szCs w:val="20"/>
          <w:color w:val="auto"/>
        </w:rPr>
      </w:pPr>
      <w:r>
        <w:rPr>
          <w:rFonts w:ascii="Arial" w:cs="Arial" w:eastAsia="Arial" w:hAnsi="Arial"/>
          <w:sz w:val="17"/>
          <w:szCs w:val="17"/>
          <w:i w:val="1"/>
          <w:iCs w:val="1"/>
          <w:color w:val="auto"/>
        </w:rPr>
        <w:t>Section 4.7. Renewal of Lease</w:t>
      </w:r>
      <w:r>
        <w:rPr>
          <w:rFonts w:ascii="Arial" w:cs="Arial" w:eastAsia="Arial" w:hAnsi="Arial"/>
          <w:sz w:val="17"/>
          <w:szCs w:val="17"/>
          <w:color w:val="auto"/>
        </w:rPr>
        <w:t>. (a) The parties hereto acknowledge that the Lease has been renewed for the First Renewal Term commencing on</w:t>
      </w:r>
      <w:r>
        <w:rPr>
          <w:rFonts w:ascii="Arial" w:cs="Arial" w:eastAsia="Arial" w:hAnsi="Arial"/>
          <w:sz w:val="17"/>
          <w:szCs w:val="17"/>
          <w:i w:val="1"/>
          <w:iCs w:val="1"/>
          <w:color w:val="auto"/>
        </w:rPr>
        <w:t xml:space="preserve"> </w:t>
      </w:r>
      <w:r>
        <w:rPr>
          <w:rFonts w:ascii="Arial" w:cs="Arial" w:eastAsia="Arial" w:hAnsi="Arial"/>
          <w:sz w:val="17"/>
          <w:szCs w:val="17"/>
          <w:color w:val="auto"/>
        </w:rPr>
        <w:t>the Restatement Date and ending on, but not including, the fifth (5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anniversary of the Restatement Date. Lessee may request in writing (the </w:t>
      </w:r>
      <w:r>
        <w:rPr>
          <w:rFonts w:ascii="Arial" w:cs="Arial" w:eastAsia="Arial" w:hAnsi="Arial"/>
          <w:sz w:val="17"/>
          <w:szCs w:val="17"/>
          <w:i w:val="1"/>
          <w:iCs w:val="1"/>
          <w:color w:val="auto"/>
        </w:rPr>
        <w:t>“Renewal</w:t>
      </w:r>
      <w:r>
        <w:rPr>
          <w:rFonts w:ascii="Arial" w:cs="Arial" w:eastAsia="Arial" w:hAnsi="Arial"/>
          <w:sz w:val="17"/>
          <w:szCs w:val="17"/>
          <w:color w:val="auto"/>
        </w:rPr>
        <w:t xml:space="preserve"> </w:t>
      </w:r>
      <w:r>
        <w:rPr>
          <w:rFonts w:ascii="Arial" w:cs="Arial" w:eastAsia="Arial" w:hAnsi="Arial"/>
          <w:sz w:val="17"/>
          <w:szCs w:val="17"/>
          <w:i w:val="1"/>
          <w:iCs w:val="1"/>
          <w:color w:val="auto"/>
        </w:rPr>
        <w:t>Option Request”</w:t>
      </w:r>
      <w:r>
        <w:rPr>
          <w:rFonts w:ascii="Arial" w:cs="Arial" w:eastAsia="Arial" w:hAnsi="Arial"/>
          <w:sz w:val="17"/>
          <w:szCs w:val="17"/>
          <w:color w:val="auto"/>
        </w:rPr>
        <w:t>) to the Administrative Agent, Lessor and each Participant pursuant to the Lease to renew the Term (the</w:t>
      </w:r>
      <w:r>
        <w:rPr>
          <w:rFonts w:ascii="Arial" w:cs="Arial" w:eastAsia="Arial" w:hAnsi="Arial"/>
          <w:sz w:val="17"/>
          <w:szCs w:val="17"/>
          <w:i w:val="1"/>
          <w:iCs w:val="1"/>
          <w:color w:val="auto"/>
        </w:rPr>
        <w:t xml:space="preserve"> “Lease Renewal”</w:t>
      </w:r>
      <w:r>
        <w:rPr>
          <w:rFonts w:ascii="Arial" w:cs="Arial" w:eastAsia="Arial" w:hAnsi="Arial"/>
          <w:sz w:val="17"/>
          <w:szCs w:val="17"/>
          <w:color w:val="auto"/>
        </w:rPr>
        <w:t>) for one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additional five-year period commencing on the last day of the First Renewal Term (a </w:t>
      </w:r>
      <w:r>
        <w:rPr>
          <w:rFonts w:ascii="Arial" w:cs="Arial" w:eastAsia="Arial" w:hAnsi="Arial"/>
          <w:sz w:val="17"/>
          <w:szCs w:val="17"/>
          <w:i w:val="1"/>
          <w:iCs w:val="1"/>
          <w:color w:val="auto"/>
        </w:rPr>
        <w:t>“Additional Lease Renewal Term”</w:t>
      </w:r>
      <w:r>
        <w:rPr>
          <w:rFonts w:ascii="Arial" w:cs="Arial" w:eastAsia="Arial" w:hAnsi="Arial"/>
          <w:sz w:val="17"/>
          <w:szCs w:val="17"/>
          <w:color w:val="auto"/>
        </w:rPr>
        <w:t xml:space="preserve">), and that the Maturity Date for the Rent Assignment Contribution Amount and the Lessor Amount be correspondingly extended to the extended Expiration Date. Such Renewal Option Request must be delivered in writing to Administrative Agent not later than one hundred eighty (180) days nor more than three hundred sixty-five (365) days prior to the expiration of the then-current Term. The Administrative Agent shall distribute a copy of the Renewal Option Request to each Participant, promptly after receipt thereof from the Lessee. Each Participant will notify Administrative Agent (who shall promptly notify the Lessee) in writing of whether or not it has consented to such Renewal Option Request not later than forty-five (45) days after the date on which the Administrative Agent receives the Renewal Option Request (the </w:t>
      </w:r>
      <w:r>
        <w:rPr>
          <w:rFonts w:ascii="Arial" w:cs="Arial" w:eastAsia="Arial" w:hAnsi="Arial"/>
          <w:sz w:val="17"/>
          <w:szCs w:val="17"/>
          <w:i w:val="1"/>
          <w:iCs w:val="1"/>
          <w:color w:val="auto"/>
        </w:rPr>
        <w:t>“Renewal Option Response Date”</w:t>
      </w:r>
      <w:r>
        <w:rPr>
          <w:rFonts w:ascii="Arial" w:cs="Arial" w:eastAsia="Arial" w:hAnsi="Arial"/>
          <w:sz w:val="17"/>
          <w:szCs w:val="17"/>
          <w:color w:val="auto"/>
        </w:rPr>
        <w:t xml:space="preserve">). Any failure by any Participant to so notify Administrative Agent by the Renewal Option Response Date will be deemed to be a non-consent by such Participant. Each Participant’s determination with respect to the Renewal Option Request shall be a new credit determination and within such Participant’s sole and absolute discretion and may be conditioned upon such terms and conditions as shall be deemed appropriate by such Participant, which may include receipt of such financial information, documentation or other information or conditions as may be requested in writing by such Participant and the receipt of a satisfactory appraisal of the Leased Property. Subject to Section 4.7(c), it is a condition that all Participants consent to the renewal set forth in the Renewal Option Request for any renewal of the Lease to be effective. Lessee shall have thirty (30) days after the Renewal Option Response Date (such time period being referred to as the </w:t>
      </w:r>
      <w:r>
        <w:rPr>
          <w:rFonts w:ascii="Arial" w:cs="Arial" w:eastAsia="Arial" w:hAnsi="Arial"/>
          <w:sz w:val="17"/>
          <w:szCs w:val="17"/>
          <w:i w:val="1"/>
          <w:iCs w:val="1"/>
          <w:color w:val="auto"/>
        </w:rPr>
        <w:t>“Renewal Rescission Period”</w:t>
      </w:r>
      <w:r>
        <w:rPr>
          <w:rFonts w:ascii="Arial" w:cs="Arial" w:eastAsia="Arial" w:hAnsi="Arial"/>
          <w:sz w:val="17"/>
          <w:szCs w:val="17"/>
          <w:color w:val="auto"/>
        </w:rPr>
        <w:t xml:space="preserve">) to irrevocably rescind the Renewal Option Request and elect not to extend the Term (a </w:t>
      </w:r>
      <w:r>
        <w:rPr>
          <w:rFonts w:ascii="Arial" w:cs="Arial" w:eastAsia="Arial" w:hAnsi="Arial"/>
          <w:sz w:val="17"/>
          <w:szCs w:val="17"/>
          <w:i w:val="1"/>
          <w:iCs w:val="1"/>
          <w:color w:val="auto"/>
        </w:rPr>
        <w:t>“Renewal Rescission”</w:t>
      </w:r>
      <w:r>
        <w:rPr>
          <w:rFonts w:ascii="Arial" w:cs="Arial" w:eastAsia="Arial" w:hAnsi="Arial"/>
          <w:sz w:val="17"/>
          <w:szCs w:val="17"/>
          <w:color w:val="auto"/>
        </w:rPr>
        <w:t>). If Lessee exercises a Renewal Rescission, the Lease shall terminate on the last day of the Term and Lessee shall be deemed to have exercised the Purchase Option. Any failure by Lessee to exercise a Renewal Rescission during the Renewal Rescission Period shall be deemed a waiver of the right of Lessee to effectuate a Renewal Rescission and, subject to Section 4.7(c), Lessee shall have been deemed to have accepted the Participants’ respective terms and conditions to their respective consents to the Renewal Option Request.</w:t>
      </w:r>
    </w:p>
    <w:p>
      <w:pPr>
        <w:spacing w:after="0" w:line="19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If consented to by all Participants pursuant to the preceding paragraph, Lessee, the Administrative Agent and the Participants shall proceed promptly to execute and deliver all such amendments and modifications to the Operative Documents as are necessary to set forth any terms and conditions relating to the Renewal Option not reflected in the Operative Documents and the renewal shall become effective as of the first date (the </w:t>
      </w:r>
      <w:r>
        <w:rPr>
          <w:rFonts w:ascii="Arial" w:cs="Arial" w:eastAsia="Arial" w:hAnsi="Arial"/>
          <w:sz w:val="16"/>
          <w:szCs w:val="16"/>
          <w:i w:val="1"/>
          <w:iCs w:val="1"/>
          <w:color w:val="auto"/>
        </w:rPr>
        <w:t>“Renewal Effective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on or after the Renewal Option Response Date on which all of the Participants shall have consented to such Lease Renewal;</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(A) on</w:t>
      </w:r>
      <w:r>
        <w:rPr>
          <w:rFonts w:ascii="Arial" w:cs="Arial" w:eastAsia="Arial" w:hAnsi="Arial"/>
          <w:sz w:val="16"/>
          <w:szCs w:val="16"/>
          <w:i w:val="1"/>
          <w:iCs w:val="1"/>
          <w:color w:val="auto"/>
        </w:rPr>
        <w:t xml:space="preserve"> </w:t>
      </w:r>
      <w:r>
        <w:rPr>
          <w:rFonts w:ascii="Arial" w:cs="Arial" w:eastAsia="Arial" w:hAnsi="Arial"/>
          <w:sz w:val="16"/>
          <w:szCs w:val="16"/>
          <w:color w:val="auto"/>
        </w:rPr>
        <w:t>both the date of the Renewal Option Request and the Renewal Effective Date in addition thereto: (w) each of the representations and warranties made by Lessee and each Guarantor in or pursuant to the Operative Documents shall be true and correct in all material respects as if made on and as of each such date (except to the extent any such representation or warranty specifically relates to an earlier date), (x) Lessee shall not have exercised the Purchase Option or Sale Option, (y) no Default or Event of Default shall have occurred and be continuing, and (z) on each of such dates, Lessor shall have received a certificate of a Responsible Officer of Lessee as to the matters set forth in clauses (w), (x) and (y) above and (B) without duplication, the conditions set forth in Section 19.3 of the Lease shall have been satisfied as of the dates required therein.</w:t>
      </w:r>
    </w:p>
    <w:p>
      <w:pPr>
        <w:spacing w:after="0" w:line="168" w:lineRule="exact"/>
        <w:rPr>
          <w:sz w:val="20"/>
          <w:szCs w:val="20"/>
          <w:color w:val="auto"/>
        </w:rPr>
      </w:pPr>
    </w:p>
    <w:p>
      <w:pPr>
        <w:ind w:right="20" w:firstLine="656"/>
        <w:spacing w:after="0" w:line="277" w:lineRule="auto"/>
        <w:tabs>
          <w:tab w:leader="none" w:pos="10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Following the Renewal Effective Date, Lessee’s election of the Additional Lease Renewal Term shall be undertaken pursuant to, and shall be subject to the terms and conditions set forth in, Section 19.1(a) of the Lease.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56"/>
        <w:spacing w:after="0" w:line="272" w:lineRule="auto"/>
        <w:tabs>
          <w:tab w:leader="none" w:pos="1027"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Lessee shall have the right, but shall not be obligated, to replace any Participant that fails to consent to a Renewal Option Request pursuant to Section 4.7(a) or, as a condition to such consent, requires renewal terms that the Lessee has not accepted (any such Participant, a </w:t>
      </w:r>
      <w:r>
        <w:rPr>
          <w:rFonts w:ascii="Arial" w:cs="Arial" w:eastAsia="Arial" w:hAnsi="Arial"/>
          <w:sz w:val="17"/>
          <w:szCs w:val="17"/>
          <w:i w:val="1"/>
          <w:iCs w:val="1"/>
          <w:color w:val="auto"/>
        </w:rPr>
        <w:t>“Non-Renewing Participant”</w:t>
      </w:r>
      <w:r>
        <w:rPr>
          <w:rFonts w:ascii="Arial" w:cs="Arial" w:eastAsia="Arial" w:hAnsi="Arial"/>
          <w:sz w:val="17"/>
          <w:szCs w:val="17"/>
          <w:color w:val="auto"/>
        </w:rPr>
        <w:t>), in any such case, in accordance with the procedures provided in Section 14.9. Any such replacement Participant shall have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an Assignment Agreement with such Non-Renewing Participant in accordance with the procedures provided in Section 14.9, effective on or before the Renewal Effective Date. Prior to any Non-Renewing Participant being so replaced pursuant hereto, such Non-Renewing Participant may elect, in its sole discretion, by giving irrevocable notice thereof to the Administrative Agent and the Lessee, to become a consenting Participant pursuant to this Section 4.7 and/or to withdraw any of its renewal terms that the Lessee has not accepted.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ERTAIN</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NTENTIONS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ARTIES</w:t>
      </w:r>
    </w:p>
    <w:p>
      <w:pPr>
        <w:spacing w:after="0" w:line="211"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i w:val="1"/>
          <w:iCs w:val="1"/>
          <w:color w:val="auto"/>
        </w:rPr>
        <w:t>Section 5.1.</w:t>
      </w:r>
      <w:r>
        <w:rPr>
          <w:sz w:val="20"/>
          <w:szCs w:val="20"/>
          <w:color w:val="auto"/>
        </w:rPr>
        <w:tab/>
      </w:r>
      <w:r>
        <w:rPr>
          <w:rFonts w:ascii="Arial" w:cs="Arial" w:eastAsia="Arial" w:hAnsi="Arial"/>
          <w:sz w:val="16"/>
          <w:szCs w:val="16"/>
          <w:i w:val="1"/>
          <w:iCs w:val="1"/>
          <w:color w:val="auto"/>
        </w:rPr>
        <w:t>Nature of Transaction</w:t>
      </w:r>
      <w:r>
        <w:rPr>
          <w:rFonts w:ascii="Arial" w:cs="Arial" w:eastAsia="Arial" w:hAnsi="Arial"/>
          <w:sz w:val="16"/>
          <w:szCs w:val="16"/>
          <w:color w:val="auto"/>
        </w:rPr>
        <w:t>. It is the intention of the parties that:</w:t>
      </w:r>
    </w:p>
    <w:p>
      <w:pPr>
        <w:spacing w:after="0" w:line="225" w:lineRule="exact"/>
        <w:rPr>
          <w:sz w:val="20"/>
          <w:szCs w:val="20"/>
          <w:color w:val="auto"/>
        </w:rPr>
      </w:pPr>
    </w:p>
    <w:p>
      <w:pPr>
        <w:jc w:val="both"/>
        <w:ind w:left="660" w:firstLine="644"/>
        <w:spacing w:after="0" w:line="263" w:lineRule="auto"/>
        <w:tabs>
          <w:tab w:leader="none" w:pos="1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all purposes, including GAAP, federal and all state and local income and transfer taxes, bankruptcy, insolvency, conservatorships and receiverships (including the substantive law upon which bankruptcy, conservatorship and insolvency and receivership proceedings are based), real estate and commercial law and UCC purposes:</w:t>
      </w:r>
    </w:p>
    <w:p>
      <w:pPr>
        <w:spacing w:after="0" w:line="183" w:lineRule="exact"/>
        <w:rPr>
          <w:rFonts w:ascii="Arial" w:cs="Arial" w:eastAsia="Arial" w:hAnsi="Arial"/>
          <w:sz w:val="18"/>
          <w:szCs w:val="18"/>
          <w:color w:val="auto"/>
        </w:rPr>
      </w:pPr>
    </w:p>
    <w:p>
      <w:pPr>
        <w:jc w:val="both"/>
        <w:ind w:left="1300" w:firstLine="652"/>
        <w:spacing w:after="0" w:line="290" w:lineRule="auto"/>
        <w:tabs>
          <w:tab w:leader="none" w:pos="2298"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Overall Transaction constitutes a secured lending transaction by the Participants to Lessee and preserves beneficial ownership in the Leased Property in Lessee, the Lessor holds only legal title to the Leased Property within the meaning of 11 U.S.C. Section 541(d), Lessee (and not the Lessor, the Administrative Agent or the other Participants) will be entitled to all tax benefits with respect to the Leased Property and other Collateral available to the owner of the Leased Property for tax purposes, the obligations of Lessee to pay Basic Rent shall be treated as payments of interest to the Participants, the payment by Lessee of any amounts (other than Basic Rent) in respect of the Lease Balance shall be treated as payments of principal to the Participants and, in the event Lessee purchases the Leased Property pursuant to the terms of the Lease and pays in full the Lease Balance and all other outstanding amounts owing by Lessee under the Operative Documents, legal title to the Leased Property shall automatically vest in the Lessee; and</w:t>
      </w:r>
    </w:p>
    <w:p>
      <w:pPr>
        <w:spacing w:after="0" w:line="165" w:lineRule="exact"/>
        <w:rPr>
          <w:rFonts w:ascii="Arial" w:cs="Arial" w:eastAsia="Arial" w:hAnsi="Arial"/>
          <w:sz w:val="16"/>
          <w:szCs w:val="16"/>
          <w:color w:val="auto"/>
        </w:rPr>
      </w:pPr>
    </w:p>
    <w:p>
      <w:pPr>
        <w:jc w:val="both"/>
        <w:ind w:left="1300" w:firstLine="652"/>
        <w:spacing w:after="0" w:line="259" w:lineRule="auto"/>
        <w:tabs>
          <w:tab w:leader="none" w:pos="23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order to secure the obligations of Lessee now existing or hereafter arising under the Lease or any of the other Operative Documents, the Lease, together with the other Security Instruments, creates a security interest or a lien, as the case may be, in the Leased Property and the other Collateral in favor of the Lessor, and for the benefit of the Participants, to secure Lessee’s payment and performance of the Obligations.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Each of the parties hereto agrees that it will not, nor will it permit any Affiliate to at any time, take any action or fail to take any action with respect to the preparation, filing or audit of any income tax return, including an amended income tax return, to the extent that such action or such failure to take action would be inconsistent with the intention of the parties expressed in this Section 5.1.</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Nevertheless, without limiting the foregoing agreement, each of the parties hereto acknowledges and agrees that none of the Lessee, the Participants, the Administrative Agent or Arranger has made any representations or warranties concerning the tax, accounting or legal characteristics of the Operative Documents or any aspect of the Overall Transaction and that such party has obtained and relied upon such tax, accounting and legal advice concerning the Operative Documents and the Overall Transaction as such party deems appropriate.</w:t>
      </w:r>
    </w:p>
    <w:p>
      <w:pPr>
        <w:spacing w:after="0" w:line="187" w:lineRule="exact"/>
        <w:rPr>
          <w:sz w:val="20"/>
          <w:szCs w:val="20"/>
          <w:color w:val="auto"/>
        </w:rPr>
      </w:pPr>
    </w:p>
    <w:p>
      <w:pPr>
        <w:jc w:val="both"/>
        <w:ind w:left="660" w:firstLine="644"/>
        <w:spacing w:after="0" w:line="272" w:lineRule="auto"/>
        <w:tabs>
          <w:tab w:leader="none" w:pos="1698" w:val="left"/>
        </w:tabs>
        <w:numPr>
          <w:ilvl w:val="0"/>
          <w:numId w:val="15"/>
        </w:numPr>
        <w:rPr>
          <w:rFonts w:ascii="Arial" w:cs="Arial" w:eastAsia="Arial" w:hAnsi="Arial"/>
          <w:sz w:val="17"/>
          <w:szCs w:val="17"/>
          <w:color w:val="auto"/>
        </w:rPr>
      </w:pPr>
      <w:r>
        <w:rPr>
          <w:rFonts w:ascii="Arial" w:cs="Arial" w:eastAsia="Arial" w:hAnsi="Arial"/>
          <w:sz w:val="17"/>
          <w:szCs w:val="17"/>
          <w:color w:val="auto"/>
        </w:rPr>
        <w:t>Specifically, without limiting the generality of clause (a), the parties hereto intend and agree that in the event of any insolvency, conservatorship or receivership proceedings or matters or a petition under the United States bankruptcy laws, or any other applicable insolvency, conservatorship or receivership laws or statute of the United States of America or any State or Commonwealth thereof affecting Lessee, the Guarantors or any Participant or any collection actions, the transactions evidenced by the Operative Documents (including, without limitation, the Lease) constitute a financing made directly to Lessee by the Participants, as unrelated third party lenders, and that Lessor holds a fee interest in and title to the Leased Property to secure Lessee’s obligations to repay such financing to the Participants and all other amounts due under any of the Operative Documents and that Lessee retains the beneficial ownership of the Leased Property.</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Section 5.2. Amounts Due Under Lease</w:t>
      </w:r>
      <w:r>
        <w:rPr>
          <w:rFonts w:ascii="Arial" w:cs="Arial" w:eastAsia="Arial" w:hAnsi="Arial"/>
          <w:sz w:val="16"/>
          <w:szCs w:val="16"/>
          <w:color w:val="auto"/>
        </w:rPr>
        <w:t>. Anything else herein or elsewhere to the contrary notwithstanding, it is the intention of the Lessee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Participants that: (i) the amount and timing of installments of Basic Rent due and payable from time to time under the Lease shall be equal to the aggregate payments due and payable as Yield on the Rent Assignment Contribution Amount and Yield on the Lessor Amount due on each Payment Date;</w:t>
      </w:r>
    </w:p>
    <w:p>
      <w:pPr>
        <w:spacing w:after="0" w:line="2" w:lineRule="exact"/>
        <w:rPr>
          <w:sz w:val="20"/>
          <w:szCs w:val="20"/>
          <w:color w:val="auto"/>
        </w:rPr>
      </w:pPr>
    </w:p>
    <w:p>
      <w:pPr>
        <w:jc w:val="both"/>
        <w:ind w:firstLine="8"/>
        <w:spacing w:after="0" w:line="268" w:lineRule="auto"/>
        <w:tabs>
          <w:tab w:leader="none" w:pos="269"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the Lessee elects the Early Termination Option, the Purchase Option or becomes obligated or otherwise elects to purchase the Leased Property under the Lease, then the Lease Balance (including, without duplication, all accrued and unpaid Yield thereon) and any Fees and all other obligations of the Lessee owing to the Participants pursuant to the Operative Documents shall be paid in full by the Lessee; (iii) if the Lessee properly elects the Sale Option with respect to the Leased Property and subject to Articles XX and XXI of the Lease, the Lessee shall only be required to pay to the Administrative Agent the proceeds of the sale of the Leased Property, the Sale Option Recourse Amount with respect to the Leased Property and any amounts due pursuant to Section 20.2 of the Lease, together with all other amounts due and payable as Supplemental Rent, but subject to the right of the parties with respect to the Gross Proceeds as set forth at Section 5.3(d); and (iv) upon an Event of Default resulting in an acceleration of the Lessee’s obligations to purchase the Leased Property under the Lease, the amounts then due and payable by the Lessee under the Lease on a recourse basis shall include all amounts necessary to pay in full the Lease Balance and all other amounts owing by Lessee to the Administrative Agent, if any, and/or the Participants under the Operative Documents (including, but without duplication, accrued and unpaid Rent).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259" w:lineRule="auto"/>
        <w:rPr>
          <w:sz w:val="20"/>
          <w:szCs w:val="20"/>
          <w:color w:val="auto"/>
        </w:rPr>
      </w:pPr>
      <w:r>
        <w:rPr>
          <w:rFonts w:ascii="Arial" w:cs="Arial" w:eastAsia="Arial" w:hAnsi="Arial"/>
          <w:sz w:val="18"/>
          <w:szCs w:val="18"/>
          <w:i w:val="1"/>
          <w:iCs w:val="1"/>
          <w:color w:val="auto"/>
        </w:rPr>
        <w:t>Section 5.3. Distribution</w:t>
      </w:r>
      <w:r>
        <w:rPr>
          <w:rFonts w:ascii="Arial" w:cs="Arial" w:eastAsia="Arial" w:hAnsi="Arial"/>
          <w:sz w:val="18"/>
          <w:szCs w:val="18"/>
          <w:color w:val="auto"/>
        </w:rPr>
        <w:t>. (a) Each payment of Basic Rent to the extent attributable to Yield (and any payment of interest on overdue installments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Basic Rent) received by the Administrative Agent shall be distributed by the Administrative Agent to the Participants, in accordance with, and for application to, the amount of Yield then due on the Rent Assignment Contribution Amount and the Lessor Amount, as well as any overdue Yield due to each Rent Assignee or Lessor (to the extent permitted by Applicable Laws).</w:t>
      </w:r>
    </w:p>
    <w:p>
      <w:pPr>
        <w:spacing w:after="0" w:line="187" w:lineRule="exact"/>
        <w:rPr>
          <w:sz w:val="20"/>
          <w:szCs w:val="20"/>
          <w:color w:val="auto"/>
        </w:rPr>
      </w:pPr>
    </w:p>
    <w:p>
      <w:pPr>
        <w:ind w:left="1120" w:hanging="464"/>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payment received by the Administrative Agent as a result of:</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purchase of the Leased Property pursuant to the provisions of the Lease (including, but not limited to, Section 18.1 and 19.1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Lease), or</w:t>
      </w:r>
    </w:p>
    <w:p>
      <w:pPr>
        <w:spacing w:after="0" w:line="210" w:lineRule="exact"/>
        <w:rPr>
          <w:rFonts w:ascii="Arial" w:cs="Arial" w:eastAsia="Arial" w:hAnsi="Arial"/>
          <w:sz w:val="16"/>
          <w:szCs w:val="16"/>
          <w:color w:val="auto"/>
        </w:rPr>
      </w:pPr>
    </w:p>
    <w:p>
      <w:pPr>
        <w:ind w:left="1720" w:hanging="416"/>
        <w:spacing w:after="0"/>
        <w:tabs>
          <w:tab w:leader="none" w:pos="1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payment of the Lease Balance or Purchase Amount pursuant to the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be distributed by the Administrative Agent in the following amounts and order of priority:</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on a pro rata basis, as applicable, based on their respective shares of the Participant Balance, to the Participants for application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pay in full the Lease Balance owing to them and all other amounts owing by Lessee to the Administrative Agent, if any, and/or the Participants under the Operative Documents (including, but without duplication, accrued and unpaid Rent); and</w:t>
      </w:r>
    </w:p>
    <w:p>
      <w:pPr>
        <w:spacing w:after="0" w:line="18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the balance, if any, of such payment or amounts remaining after the satisfaction of all the Lessee’s liabilities under the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shall be promptly distributed to, or as directed by, the Lessee.</w:t>
      </w:r>
    </w:p>
    <w:p>
      <w:pPr>
        <w:spacing w:after="0" w:line="170" w:lineRule="exact"/>
        <w:rPr>
          <w:sz w:val="20"/>
          <w:szCs w:val="20"/>
          <w:color w:val="auto"/>
        </w:rPr>
      </w:pPr>
    </w:p>
    <w:p>
      <w:pPr>
        <w:ind w:right="20" w:firstLine="656"/>
        <w:spacing w:after="0" w:line="308" w:lineRule="auto"/>
        <w:tabs>
          <w:tab w:leader="none" w:pos="1027"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payment by the Lessee of the Sale Option Recourse Amount to the Administrative Agent in accordance with Section 20.1(j) of the Lease upon the Lessee’s exercise of the Sale Option shall be distributed by the Administrative Agent in the following amounts and order of priority:</w:t>
      </w:r>
    </w:p>
    <w:p>
      <w:pPr>
        <w:spacing w:after="0" w:line="146"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on a pro rata basis based on their respective shares of the Rent Assignment Contribution Balance, to the Rent Assignees for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to pay in full the Rent Assignment Contribution Balance owing to them and all other amounts owing by Lessee to the Rent Assignees under the Operative Documents (including, but without duplication, accrued and unpaid Rent); and</w:t>
      </w:r>
    </w:p>
    <w:p>
      <w:pPr>
        <w:spacing w:after="0" w:line="18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Lessor (and its designees) for application to pay in full the Lessor Balance and all other amounts owing by Lessee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under the Operative Documents (including, but without duplication, accrued and unpaid Rent); and</w:t>
      </w:r>
    </w:p>
    <w:p>
      <w:pPr>
        <w:spacing w:after="0" w:line="170"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balance, if any, of such payment or amounts remaining after the satisfaction of all the Lessee’s liabilities under the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shall be promptly distributed to, or as directed by, the Lessee.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20" w:firstLine="656"/>
        <w:spacing w:after="0" w:line="308" w:lineRule="auto"/>
        <w:tabs>
          <w:tab w:leader="none" w:pos="1018"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payments received by the Administrative Agent as Gross Proceeds from the sale of the Leased Property pursuant to the Lessee’s exercise of the Sale Option pursuant to Article XX of the Lease or pursuant to Section 13.2 herein shall be distributed in the following order of priority:</w:t>
      </w:r>
    </w:p>
    <w:p>
      <w:pPr>
        <w:spacing w:after="0" w:line="146" w:lineRule="exact"/>
        <w:rPr>
          <w:sz w:val="20"/>
          <w:szCs w:val="20"/>
          <w:color w:val="auto"/>
        </w:rPr>
      </w:pPr>
    </w:p>
    <w:p>
      <w:pPr>
        <w:ind w:left="640" w:right="20" w:firstLine="648"/>
        <w:spacing w:after="0" w:line="342" w:lineRule="auto"/>
        <w:rPr>
          <w:sz w:val="20"/>
          <w:szCs w:val="20"/>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the extent not previously deducted therefrom, in an amount equal to the reasonable sales costs, expenses and related taxes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by Lessee, Lessor or Administrative Agent in connection with any sale of the Leased Property to the party that incurred such amount;</w:t>
      </w:r>
    </w:p>
    <w:p>
      <w:pPr>
        <w:spacing w:after="0" w:line="124" w:lineRule="exact"/>
        <w:rPr>
          <w:sz w:val="20"/>
          <w:szCs w:val="20"/>
          <w:color w:val="auto"/>
        </w:rPr>
      </w:pPr>
    </w:p>
    <w:p>
      <w:pPr>
        <w:ind w:left="64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on a pro rata basis based on their respective shares of the Rent Assignment Contribution Balance, to the Rent Assignees for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to pay in full the Rent Assignment Contribution Balance owing to them;</w:t>
      </w:r>
    </w:p>
    <w:p>
      <w:pPr>
        <w:spacing w:after="0" w:line="170" w:lineRule="exact"/>
        <w:rPr>
          <w:sz w:val="20"/>
          <w:szCs w:val="20"/>
          <w:color w:val="auto"/>
        </w:rPr>
      </w:pPr>
    </w:p>
    <w:p>
      <w:pPr>
        <w:ind w:left="640" w:right="20" w:firstLine="648"/>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Lessor (and its designees) for application to pay in full the Lessor Balance plus all other amounts owing by Lessee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and</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the balance, if any, of such payment or amounts shall be promptly distributed to, or as directed by, the Lessee.</w:t>
      </w:r>
    </w:p>
    <w:p>
      <w:pPr>
        <w:spacing w:after="0" w:line="225" w:lineRule="exact"/>
        <w:rPr>
          <w:sz w:val="20"/>
          <w:szCs w:val="20"/>
          <w:color w:val="auto"/>
        </w:rPr>
      </w:pPr>
    </w:p>
    <w:p>
      <w:pPr>
        <w:jc w:val="both"/>
        <w:ind w:left="-20" w:firstLine="656"/>
        <w:spacing w:after="0" w:line="263" w:lineRule="auto"/>
        <w:tabs>
          <w:tab w:leader="none" w:pos="10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payments of Supplemental Rent received by the Administrative Agent (excluding any amounts payable pursuant to the preceding provisions of this Section 5.3) shall be distributed promptly by the Administrative Agent upon receipt thereof to the Persons entitled thereto pursuant to the Operative Documents.</w:t>
      </w:r>
    </w:p>
    <w:p>
      <w:pPr>
        <w:spacing w:after="0" w:line="183" w:lineRule="exact"/>
        <w:rPr>
          <w:rFonts w:ascii="Arial" w:cs="Arial" w:eastAsia="Arial" w:hAnsi="Arial"/>
          <w:sz w:val="18"/>
          <w:szCs w:val="18"/>
          <w:color w:val="auto"/>
        </w:rPr>
      </w:pPr>
    </w:p>
    <w:p>
      <w:pPr>
        <w:jc w:val="both"/>
        <w:ind w:left="-20" w:firstLine="656"/>
        <w:spacing w:after="0" w:line="275" w:lineRule="auto"/>
        <w:tabs>
          <w:tab w:leader="none" w:pos="988"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on any date, after an Event of Default has occurred and is continuing, a payment is (x) made of the proceeds from the sale of the Collateral or any part thereof or payments received and amounts realized by the Administrative Agent or Lessor under the Operative Documents (except for Excepted Payments) or (y) received by Lessor under the Parcel D Ground Lease, any Development Ground Lease or any other ground lease executed pursuant to Section 10.3(b) of the Lease during a suspension of, or after termination of, the conditional assignment of rents pursuant to Section 10.3(c) of the Lease, then distributions of such amounts shall be made by the Administrative Agent in the following order of priority:</w:t>
      </w:r>
    </w:p>
    <w:p>
      <w:pPr>
        <w:spacing w:after="0" w:line="176" w:lineRule="exact"/>
        <w:rPr>
          <w:sz w:val="20"/>
          <w:szCs w:val="20"/>
          <w:color w:val="auto"/>
        </w:rPr>
      </w:pPr>
    </w:p>
    <w:p>
      <w:pPr>
        <w:ind w:left="640" w:firstLine="648"/>
        <w:spacing w:after="0" w:line="277" w:lineRule="auto"/>
        <w:rPr>
          <w:sz w:val="20"/>
          <w:szCs w:val="20"/>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to the extent not previously deducted therefrom, in an amount not to exceed the reasonable sales costs, expenses and taxes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by Lessor, Lessee or Administrative Agent in connection with any sale of the Leased Property,</w:t>
      </w:r>
    </w:p>
    <w:p>
      <w:pPr>
        <w:spacing w:after="0" w:line="170" w:lineRule="exact"/>
        <w:rPr>
          <w:sz w:val="20"/>
          <w:szCs w:val="20"/>
          <w:color w:val="auto"/>
        </w:rPr>
      </w:pPr>
    </w:p>
    <w:p>
      <w:pPr>
        <w:ind w:left="64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on a pro rata basis based on their respective shares of the Participant Balance, to the Participants for application to pay in full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Balance owing to them plus all other amounts owing to them by Lessee under the Operative Documents; and</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balance, if any, of such payment or amounts shall be promptly distributed to, or as directed by, the Lessee.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1" w:name="page22"/>
    <w:bookmarkEnd w:id="21"/>
    <w:p>
      <w:pPr>
        <w:ind w:right="20" w:firstLine="656"/>
        <w:spacing w:after="0" w:line="277" w:lineRule="auto"/>
        <w:tabs>
          <w:tab w:leader="none" w:pos="10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Any payment received by the Administrative Agent for which no provision as to the application thereof is made in the Operative Documents or elsewhere in this Section 5.3 shall be distributed in accordance with Section 5.3(f).</w:t>
      </w:r>
    </w:p>
    <w:p>
      <w:pPr>
        <w:spacing w:after="0" w:line="170" w:lineRule="exact"/>
        <w:rPr>
          <w:sz w:val="20"/>
          <w:szCs w:val="20"/>
          <w:color w:val="auto"/>
        </w:rPr>
      </w:pPr>
    </w:p>
    <w:p>
      <w:pPr>
        <w:jc w:val="both"/>
        <w:ind w:firstLine="656"/>
        <w:spacing w:after="0" w:line="257" w:lineRule="auto"/>
        <w:tabs>
          <w:tab w:leader="none" w:pos="10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otherwise provided in Section 5.3(a), all payments received and amounts realized by the Administrative Agent under the Operative Documents or otherwise with respect to the Leased Property, or any proceeds thereof, to the extent received or realized at any time after an indefeasible payment in full of the Participant Balances of all Participants and all other amounts due and owing to the Participants, shall be distributed forthwith by the Administrative Agent in the order of priority set forth in Section 5.3(f), except that such payment shall be distributed omitting clause “first” of such Section 5.3(f).</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0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payment received by the Administrative Agent for which provision as to the application thereof is made in an Operative Document, but not elsewhere in this Section 5.3, shall be distributed forthwith by the Administrative Agent to the Person and for the purpose for which such payment was made in accordance with the terms of such Operative Document.</w:t>
      </w:r>
    </w:p>
    <w:p>
      <w:pPr>
        <w:spacing w:after="0" w:line="184" w:lineRule="exact"/>
        <w:rPr>
          <w:sz w:val="20"/>
          <w:szCs w:val="20"/>
          <w:color w:val="auto"/>
        </w:rPr>
      </w:pPr>
    </w:p>
    <w:p>
      <w:pPr>
        <w:jc w:val="both"/>
        <w:ind w:firstLine="656"/>
        <w:spacing w:after="0" w:line="275" w:lineRule="auto"/>
        <w:tabs>
          <w:tab w:leader="none" w:pos="1038"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Except to the extent clause (g) is applicable thereto, any amounts payable to the Administrative Agent as a result of a Casualty or Condemnation pursuant to the Lease shall be distributed as follows: (x) if a Termination Notice shall have been given, all amounts that are to be applied to the purchase price of the Leased Property in accordance with Section 15.1(b) of the Lease shall be distributed by the Administrative Agent in accordance with Section 5.3(b); and (y) all amounts payable to the Lessee for the repair of damage caused by such Casualty or Condemnation in accordance with Section 14.1(a) of the Lease shall, except as otherwise provided in the Lease, be distributed to, or as directed by, the Lessee.</w:t>
      </w:r>
    </w:p>
    <w:p>
      <w:pPr>
        <w:spacing w:after="0" w:line="176" w:lineRule="exact"/>
        <w:rPr>
          <w:rFonts w:ascii="Arial" w:cs="Arial" w:eastAsia="Arial" w:hAnsi="Arial"/>
          <w:sz w:val="17"/>
          <w:szCs w:val="17"/>
          <w:color w:val="auto"/>
        </w:rPr>
      </w:pPr>
    </w:p>
    <w:p>
      <w:pPr>
        <w:jc w:val="both"/>
        <w:ind w:firstLine="656"/>
        <w:spacing w:after="0" w:line="311" w:lineRule="auto"/>
        <w:tabs>
          <w:tab w:leader="none" w:pos="99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the extent any payment made to any Participant, personally, is insufficient to pay in full the Participant Balance of such Participant, then each such payment which is payable to a Rent Assignee shall first be applied to accrued Yield and then to principal outstanding on the Rent Assignment Contributions and each such payment which is payable to Lessor shall first be applied to accrued Yield and then to the Lessor Amount, as applicable.</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Section 5.4. Adjustments</w:t>
      </w:r>
      <w:r>
        <w:rPr>
          <w:rFonts w:ascii="Arial" w:cs="Arial" w:eastAsia="Arial" w:hAnsi="Arial"/>
          <w:sz w:val="16"/>
          <w:szCs w:val="16"/>
          <w:color w:val="auto"/>
        </w:rPr>
        <w:t>. If any Participant (a</w:t>
      </w:r>
      <w:r>
        <w:rPr>
          <w:rFonts w:ascii="Arial" w:cs="Arial" w:eastAsia="Arial" w:hAnsi="Arial"/>
          <w:sz w:val="16"/>
          <w:szCs w:val="16"/>
          <w:i w:val="1"/>
          <w:iCs w:val="1"/>
          <w:color w:val="auto"/>
        </w:rPr>
        <w:t xml:space="preserve"> “Benefited Participant”</w:t>
      </w:r>
      <w:r>
        <w:rPr>
          <w:rFonts w:ascii="Arial" w:cs="Arial" w:eastAsia="Arial" w:hAnsi="Arial"/>
          <w:sz w:val="16"/>
          <w:szCs w:val="16"/>
          <w:color w:val="auto"/>
        </w:rPr>
        <w:t>) shall at any time receive any payment of all or part of its Rent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Assignment Contribution or Lessor Amount, as applicable, or Yield thereon, or receive any of the Collateral in respect thereof (whether voluntarily or involuntarily, by setoff, or otherwise), in an amount greater than the amount to which such Participant was entitled pursuant to Section 5.3, such Participant shall return such amount or Collateral to the Administrative Agent for distribution to the Person(s) entitled thereto in accordance with Section 5.3;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all or any portion of such excess payment or benefits is thereafter recovered from such Benefited Participant so that the excess</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or benefits returned by such Benefited Participant exceed the remaining excess payment or benefits held by such Benefited Participant, the excess payment or benefits, as applicable, returned by such Benefited Participant shall be restored to the Benefited Participant, to the extent of such recovery.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RECEDENT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6.1. Conditions Precedent to the Execution Date</w:t>
      </w:r>
      <w:r>
        <w:rPr>
          <w:rFonts w:ascii="Arial" w:cs="Arial" w:eastAsia="Arial" w:hAnsi="Arial"/>
          <w:sz w:val="18"/>
          <w:szCs w:val="18"/>
          <w:color w:val="auto"/>
        </w:rPr>
        <w:t>. The obligations of the Lessor and the Participants to enter into this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the other Restated Operative Documents and extend the Term of the Lease for the First Renewal Term are subject to the satisfaction or waiver of each of the following conditions precedent:</w:t>
      </w:r>
    </w:p>
    <w:p>
      <w:pPr>
        <w:spacing w:after="0" w:line="184" w:lineRule="exact"/>
        <w:rPr>
          <w:sz w:val="20"/>
          <w:szCs w:val="20"/>
          <w:color w:val="auto"/>
        </w:rPr>
      </w:pPr>
    </w:p>
    <w:p>
      <w:pPr>
        <w:jc w:val="both"/>
        <w:ind w:left="660" w:firstLine="644"/>
        <w:spacing w:after="0" w:line="263" w:lineRule="auto"/>
        <w:tabs>
          <w:tab w:leader="none" w:pos="1658"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Leased Property and Appraisal Matters</w:t>
      </w:r>
      <w:r>
        <w:rPr>
          <w:rFonts w:ascii="Arial" w:cs="Arial" w:eastAsia="Arial" w:hAnsi="Arial"/>
          <w:sz w:val="18"/>
          <w:szCs w:val="18"/>
          <w:color w:val="auto"/>
        </w:rPr>
        <w:t>. The Lessor and the Administrative Agent shall have received an appraisal (the “</w:t>
      </w:r>
      <w:r>
        <w:rPr>
          <w:rFonts w:ascii="Arial" w:cs="Arial" w:eastAsia="Arial" w:hAnsi="Arial"/>
          <w:sz w:val="18"/>
          <w:szCs w:val="18"/>
          <w:i w:val="1"/>
          <w:iCs w:val="1"/>
          <w:color w:val="auto"/>
        </w:rPr>
        <w:t>Appraisal</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by the Appraiser, which Appraisal shall be in form and substance reasonably satisfactory to the Participants. The Appraisal shall meet the requirements of FIRREA.</w:t>
      </w:r>
    </w:p>
    <w:p>
      <w:pPr>
        <w:spacing w:after="0" w:line="183" w:lineRule="exact"/>
        <w:rPr>
          <w:rFonts w:ascii="Arial" w:cs="Arial" w:eastAsia="Arial" w:hAnsi="Arial"/>
          <w:sz w:val="18"/>
          <w:szCs w:val="18"/>
          <w:color w:val="auto"/>
        </w:rPr>
      </w:pPr>
    </w:p>
    <w:p>
      <w:pPr>
        <w:jc w:val="both"/>
        <w:ind w:left="660" w:firstLine="644"/>
        <w:spacing w:after="0" w:line="311" w:lineRule="auto"/>
        <w:tabs>
          <w:tab w:leader="none" w:pos="1708"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Environmental Report</w:t>
      </w:r>
      <w:r>
        <w:rPr>
          <w:rFonts w:ascii="Arial" w:cs="Arial" w:eastAsia="Arial" w:hAnsi="Arial"/>
          <w:sz w:val="16"/>
          <w:szCs w:val="16"/>
          <w:color w:val="auto"/>
        </w:rPr>
        <w:t>. At least five (5) Business Days prior to the Execution Date, an Environmental Audit with respect to the Site</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been received by and be reasonably satisfactory in all material respects to the Lessor, and the Participants and the Administrative Agent shall have received a letter from the consultant performing the Environmental Audit which allows the Lessor to rely on such report.</w:t>
      </w:r>
    </w:p>
    <w:p>
      <w:pPr>
        <w:spacing w:after="0" w:line="148" w:lineRule="exact"/>
        <w:rPr>
          <w:rFonts w:ascii="Arial" w:cs="Arial" w:eastAsia="Arial" w:hAnsi="Arial"/>
          <w:sz w:val="16"/>
          <w:szCs w:val="16"/>
          <w:color w:val="auto"/>
        </w:rPr>
      </w:pPr>
    </w:p>
    <w:p>
      <w:pPr>
        <w:jc w:val="both"/>
        <w:ind w:left="660" w:firstLine="644"/>
        <w:spacing w:after="0" w:line="255" w:lineRule="auto"/>
        <w:tabs>
          <w:tab w:leader="none" w:pos="1758"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Searches</w:t>
      </w:r>
      <w:r>
        <w:rPr>
          <w:rFonts w:ascii="Arial" w:cs="Arial" w:eastAsia="Arial" w:hAnsi="Arial"/>
          <w:sz w:val="18"/>
          <w:szCs w:val="18"/>
          <w:color w:val="auto"/>
        </w:rPr>
        <w:t>. Lessor and Administrative Agent shall have received (A) as to Lessee, results of a search of the applicable UCC files</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by the office of the secretary of state of the state in which Lessee is organized, dated not earlier than thirty (30) Business Days prior to the Restatement Date, which results shall disclose no Liens on the assets of the Lessee other than Liens permitted by Section 9(b) of the Guaranty, and (B) as to the Site, results of a search of the applicable UCC files and any indices of Liens maintained by the appropriate county filing or recording office of the county in which such Site is located, dated not earlier than thirty (30) Business Days prior to the Restatement Date, which results shall disclose no Liens on the Site other than Permitted Liens.</w:t>
      </w:r>
    </w:p>
    <w:p>
      <w:pPr>
        <w:spacing w:after="0" w:line="192" w:lineRule="exact"/>
        <w:rPr>
          <w:rFonts w:ascii="Arial" w:cs="Arial" w:eastAsia="Arial" w:hAnsi="Arial"/>
          <w:sz w:val="18"/>
          <w:szCs w:val="18"/>
          <w:color w:val="auto"/>
        </w:rPr>
      </w:pPr>
    </w:p>
    <w:p>
      <w:pPr>
        <w:jc w:val="both"/>
        <w:ind w:left="660" w:firstLine="644"/>
        <w:spacing w:after="0" w:line="284" w:lineRule="auto"/>
        <w:tabs>
          <w:tab w:leader="none" w:pos="1748"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Survey</w:t>
      </w:r>
      <w:r>
        <w:rPr>
          <w:rFonts w:ascii="Arial" w:cs="Arial" w:eastAsia="Arial" w:hAnsi="Arial"/>
          <w:sz w:val="16"/>
          <w:szCs w:val="16"/>
          <w:color w:val="auto"/>
        </w:rPr>
        <w:t>. Lessee shall have, or shall have caused to be, delivered and certified to Lessor, the Title Insurance Company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an ALTA survey of the Site (A) dated a date reasonably satisfactory to the Lessor, (B) in a form reasonably satisfactory to Lessor and the Title Insurance Company, (C) including any applicable flood zone designation with property annotations based on Federal Flood Insurance Rate Maps, (D) enabling the Title Insurance Company to delete any standard printing survey exception contained in the Title Policy and to issue the Title Policy, (E) in accordance with the Minimum Standard Detail Requirements for Land Title Surveys jointly established and adopted by ALTA and the National Society of Professional Surveyors effective February 2021, (F) showing the location of all improvements thereon (without limiting the generality of the foregoing, there shall be surveyed and shown or stated on such survey, as applicable, the following:</w:t>
      </w:r>
    </w:p>
    <w:p>
      <w:pPr>
        <w:spacing w:after="0" w:line="2" w:lineRule="exact"/>
        <w:rPr>
          <w:rFonts w:ascii="Arial" w:cs="Arial" w:eastAsia="Arial" w:hAnsi="Arial"/>
          <w:sz w:val="16"/>
          <w:szCs w:val="16"/>
          <w:color w:val="auto"/>
        </w:rPr>
      </w:pPr>
    </w:p>
    <w:p>
      <w:pPr>
        <w:jc w:val="both"/>
        <w:ind w:left="660" w:hanging="4"/>
        <w:spacing w:after="0" w:line="271" w:lineRule="auto"/>
        <w:tabs>
          <w:tab w:leader="none" w:pos="92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locations of any established building setback lines; (w) the lines of streets abutting the Site and the width thereof; (x) all access and other easements appurtenant to the Site necessary to use the Site; (y) all roadways, paths, driveways, easements, encroachments, overhanging projections and similar encumbrances affecting the Site, whether recorded, apparent from a physical inspection of the Site or otherwise known to the surveyor; (z) any encroachments on any adjoining property); (G) if the Site is described as being on a filed map, a legend relating the survey to said map and (H) a vicinity sketch showing the closest thoroughfare intersection.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left="660" w:firstLine="644"/>
        <w:spacing w:after="0" w:line="263" w:lineRule="auto"/>
        <w:tabs>
          <w:tab w:leader="none" w:pos="169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Requirements of Law</w:t>
      </w:r>
      <w:r>
        <w:rPr>
          <w:rFonts w:ascii="Arial" w:cs="Arial" w:eastAsia="Arial" w:hAnsi="Arial"/>
          <w:sz w:val="18"/>
          <w:szCs w:val="18"/>
          <w:color w:val="auto"/>
        </w:rPr>
        <w:t>. The Overall Transaction does not violate in any material respect any Applicable Laws and does not, in and of</w:t>
      </w:r>
      <w:r>
        <w:rPr>
          <w:rFonts w:ascii="Arial" w:cs="Arial" w:eastAsia="Arial" w:hAnsi="Arial"/>
          <w:sz w:val="18"/>
          <w:szCs w:val="18"/>
          <w:i w:val="1"/>
          <w:iCs w:val="1"/>
          <w:color w:val="auto"/>
        </w:rPr>
        <w:t xml:space="preserve"> </w:t>
      </w:r>
      <w:r>
        <w:rPr>
          <w:rFonts w:ascii="Arial" w:cs="Arial" w:eastAsia="Arial" w:hAnsi="Arial"/>
          <w:sz w:val="18"/>
          <w:szCs w:val="18"/>
          <w:color w:val="auto"/>
        </w:rPr>
        <w:t>itself, subject any Participant to any material adverse regulatory prohibitions or constraints or cause any such Person to violate any Applicable Laws.</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74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There shall not have occurred and be continuing any Default, Event of Default, Event of Loss, Specified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Event or Specified Material Environmental Violation.</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79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Receipt by Lessor of audited consolidated balance sheets and related consolidated statements of income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statements of cash flows of the Parent Guarantor and its consolidated subsidiaries for the fiscal year ended December 31, 2021;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requirements set forth in this paragraph may be fulfilled by the filing of the Parent Guarantor’s Annual Report on Form 10-K with the Securities and Exchange Commission for such fiscal year.</w:t>
      </w:r>
    </w:p>
    <w:p>
      <w:pPr>
        <w:spacing w:after="0" w:line="186" w:lineRule="exact"/>
        <w:rPr>
          <w:rFonts w:ascii="Arial" w:cs="Arial" w:eastAsia="Arial" w:hAnsi="Arial"/>
          <w:sz w:val="18"/>
          <w:szCs w:val="18"/>
          <w:color w:val="auto"/>
        </w:rPr>
      </w:pPr>
    </w:p>
    <w:p>
      <w:pPr>
        <w:ind w:left="660" w:firstLine="644"/>
        <w:spacing w:after="0" w:line="308" w:lineRule="auto"/>
        <w:tabs>
          <w:tab w:leader="none" w:pos="1848"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Certain Fees</w:t>
      </w:r>
      <w:r>
        <w:rPr>
          <w:rFonts w:ascii="Arial" w:cs="Arial" w:eastAsia="Arial" w:hAnsi="Arial"/>
          <w:sz w:val="17"/>
          <w:szCs w:val="17"/>
          <w:color w:val="auto"/>
        </w:rPr>
        <w:t>. The Administrative Agent, for the account of the Participants, shall have received all Upfront Fees due and payable</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Section 4.4(x), and the Arranger shall have received the Arranger Fee due and payable pursuant to Section 4.4(y).</w:t>
      </w:r>
    </w:p>
    <w:p>
      <w:pPr>
        <w:spacing w:after="0" w:line="146" w:lineRule="exact"/>
        <w:rPr>
          <w:rFonts w:ascii="Arial" w:cs="Arial" w:eastAsia="Arial" w:hAnsi="Arial"/>
          <w:sz w:val="17"/>
          <w:szCs w:val="17"/>
          <w:color w:val="auto"/>
        </w:rPr>
      </w:pPr>
    </w:p>
    <w:p>
      <w:pPr>
        <w:jc w:val="both"/>
        <w:ind w:left="660" w:firstLine="644"/>
        <w:spacing w:after="0" w:line="273" w:lineRule="auto"/>
        <w:tabs>
          <w:tab w:leader="none" w:pos="1748"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Authorization, Execution and Delivery of Documents</w:t>
      </w:r>
      <w:r>
        <w:rPr>
          <w:rFonts w:ascii="Arial" w:cs="Arial" w:eastAsia="Arial" w:hAnsi="Arial"/>
          <w:sz w:val="17"/>
          <w:szCs w:val="17"/>
          <w:color w:val="auto"/>
        </w:rPr>
        <w:t>. The Participation Agreement, the Guaranty, the Lease, the Rent Assignment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Memorandum of Lease Amendment, the Security Instruments (other than the UCC Financing Statements) and the Fee Letters shall have been duly authorized, executed and delivered by each of the other initial parties thereto, shall (to the extent the form and substance thereof shall not be prescribed hereby) be in form and substance satisfactory to each Participant and Lessee, and copies of an executed counterpart of each thereof (except for each Fee Letter, originals and copies of which shall only be delivered to the parties thereto) shall have been received by each of the Participants, the Administrative Agent, Lessee and Lessor.</w:t>
      </w:r>
    </w:p>
    <w:p>
      <w:pPr>
        <w:spacing w:after="0" w:line="17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All documents and instruments required to be delivered on the Execution Date are to be delivered at the offices of Chapman and Cutler LLP, 320 S. Canal St, 27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Chicago, IL 60606, Attention: Vincent W. Pelleriti, Esq., or at such other location as determined by the Lessor and the Lessee.</w:t>
      </w:r>
    </w:p>
    <w:p>
      <w:pPr>
        <w:spacing w:after="0" w:line="2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Section 6.2. Conditions Precedent to the Restatement Date</w:t>
      </w:r>
      <w:r>
        <w:rPr>
          <w:rFonts w:ascii="Arial" w:cs="Arial" w:eastAsia="Arial" w:hAnsi="Arial"/>
          <w:sz w:val="16"/>
          <w:szCs w:val="16"/>
          <w:color w:val="auto"/>
        </w:rPr>
        <w:t>. The amendment and restatement of the Previously Existing Participation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as set forth in this Participation Agreement shall not become effective until the first date on which each of the following conditions is satisfied or waived:</w:t>
      </w:r>
    </w:p>
    <w:p>
      <w:pPr>
        <w:spacing w:after="0" w:line="124" w:lineRule="exact"/>
        <w:rPr>
          <w:sz w:val="20"/>
          <w:szCs w:val="20"/>
          <w:color w:val="auto"/>
        </w:rPr>
      </w:pPr>
    </w:p>
    <w:p>
      <w:pPr>
        <w:jc w:val="both"/>
        <w:ind w:left="660" w:firstLine="1292"/>
        <w:spacing w:after="0" w:line="283" w:lineRule="auto"/>
        <w:tabs>
          <w:tab w:leader="none" w:pos="2306"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Corporate Certificates. </w:t>
      </w:r>
      <w:r>
        <w:rPr>
          <w:rFonts w:ascii="Arial" w:cs="Arial" w:eastAsia="Arial" w:hAnsi="Arial"/>
          <w:sz w:val="16"/>
          <w:szCs w:val="16"/>
          <w:color w:val="auto"/>
        </w:rPr>
        <w:t>(A) The Lessee shall have delivered to the Lessor and the Administrative Agent (1) a status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with respect to the Lessee’s existence in the State of New York from the Secretary of State of the State of New York, issued by such office no earlier than thirty (30) days prior to the Restatement Date and (2) a Responsible Officer’s Certificate of Lessee substantially in the form of Exhibit F-1, attaching and certifying as to (x) the limited liability company authority for the execution, delivery and performance by Lessee of each Operative Document to which it is or will be a party, (y) its organizational documents, and (z) the incumbency and signature of persons authorized to execute and deliver on its behalf the Operative Documents to which it is a party, (B) the Parent Guarantor shall have delivered to the Lessor and the Administrative Agent (1) a status certificate with respect to the Parent Guarantor’s existence in the State of New York from the Secretary of State of the State of New York, issued by such office no earlier than thirty (30) days prior to the Restatement Date and (2) a Responsible Officer’s Certificate of Parent Guarantor substantially in the form of Exhibit F-2, attaching and certifying as to (x) the corporate or other requisite organizational authority for the execution, delivery and performance by Parent Guarantor of each Operative Document to which it is or will be a party, (y) its organizational documents, and (z) the incumbency and signature of persons authorized to execute and deliver on its behalf the Operative Documents to which it is a party and (C) each Subsidiary Guarantor shall have delivered to the Lessor and the Administrative Agent (1) a good standing/status certificate with respect to such Subsidiary Guarantor from the Secretary of State (or similar public official) of such Subsidiary Guarantor’s jurisdiction of organization, issued by such office no earlier than thirty (30) days prior to the Restatement Date and</w:t>
      </w:r>
    </w:p>
    <w:p>
      <w:pPr>
        <w:spacing w:after="0" w:line="1" w:lineRule="exact"/>
        <w:rPr>
          <w:rFonts w:ascii="Arial" w:cs="Arial" w:eastAsia="Arial" w:hAnsi="Arial"/>
          <w:sz w:val="16"/>
          <w:szCs w:val="16"/>
          <w:color w:val="auto"/>
        </w:rPr>
      </w:pPr>
    </w:p>
    <w:p>
      <w:pPr>
        <w:jc w:val="both"/>
        <w:ind w:left="660" w:hanging="4"/>
        <w:spacing w:after="0" w:line="253"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Responsible Officer’s Certificate of such Subsidiary Guarantor substantially in the form of Exhibit F-3, attaching and certifying as to (x) the corporate or other organizational authority for the execution, delivery and performance by such Subsidiary Guarantor of each Operative Document to which it is or will be a party, (y) its organizational documents and (z) the incumbency and signature of persons authorized to execute and deliver on its behalf the Operative Documents to which it is a party.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left="-460" w:firstLine="644"/>
        <w:spacing w:after="0" w:line="279" w:lineRule="auto"/>
        <w:tabs>
          <w:tab w:leader="none" w:pos="633"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Opinions of Special Counsel to Parent Guarantor</w:t>
      </w:r>
      <w:r>
        <w:rPr>
          <w:rFonts w:ascii="Arial" w:cs="Arial" w:eastAsia="Arial" w:hAnsi="Arial"/>
          <w:sz w:val="17"/>
          <w:szCs w:val="17"/>
          <w:color w:val="auto"/>
        </w:rPr>
        <w:t>. The Lessee shall have delivered to the Lessor and the Administrative Agent a</w:t>
      </w:r>
      <w:r>
        <w:rPr>
          <w:rFonts w:ascii="Arial" w:cs="Arial" w:eastAsia="Arial" w:hAnsi="Arial"/>
          <w:sz w:val="17"/>
          <w:szCs w:val="17"/>
          <w:i w:val="1"/>
          <w:iCs w:val="1"/>
          <w:color w:val="auto"/>
        </w:rPr>
        <w:t xml:space="preserve"> </w:t>
      </w:r>
      <w:r>
        <w:rPr>
          <w:rFonts w:ascii="Arial" w:cs="Arial" w:eastAsia="Arial" w:hAnsi="Arial"/>
          <w:sz w:val="17"/>
          <w:szCs w:val="17"/>
          <w:color w:val="auto"/>
        </w:rPr>
        <w:t>legal opinion of Skadden, Arps, Slate, Meagher &amp; Flom LLP, special counsel to Parent Guarantor, which shall address such matters as may be reasonably required by the Lessor and the Administrative Agent with respect to the Lessee and the Guarantors, including without limitation, such local real estate matters as may be reasonably required by the Lessor and the Administrative Agent.</w:t>
      </w:r>
    </w:p>
    <w:p>
      <w:pPr>
        <w:spacing w:after="0" w:line="171" w:lineRule="exact"/>
        <w:rPr>
          <w:rFonts w:ascii="Arial" w:cs="Arial" w:eastAsia="Arial" w:hAnsi="Arial"/>
          <w:sz w:val="17"/>
          <w:szCs w:val="17"/>
          <w:color w:val="auto"/>
        </w:rPr>
      </w:pPr>
    </w:p>
    <w:p>
      <w:pPr>
        <w:jc w:val="both"/>
        <w:ind w:left="-460" w:firstLine="644"/>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Restatement Date Certificates. </w:t>
      </w:r>
      <w:r>
        <w:rPr>
          <w:rFonts w:ascii="Arial" w:cs="Arial" w:eastAsia="Arial" w:hAnsi="Arial"/>
          <w:sz w:val="18"/>
          <w:szCs w:val="18"/>
          <w:color w:val="auto"/>
        </w:rPr>
        <w:t>Lessee shall have delivered to the Administrative Agent and the Lessor a certificate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Restatement Date in substantially the form of Exhibit B hereto. Parent Guarantor shall have delivered to the Administrative Agent and the Lessor a certificate dated as of the Restatement Date in substantially the form of Exhibit C hereto.</w:t>
      </w:r>
    </w:p>
    <w:p>
      <w:pPr>
        <w:spacing w:after="0" w:line="183" w:lineRule="exact"/>
        <w:rPr>
          <w:rFonts w:ascii="Arial" w:cs="Arial" w:eastAsia="Arial" w:hAnsi="Arial"/>
          <w:sz w:val="18"/>
          <w:szCs w:val="18"/>
          <w:color w:val="auto"/>
        </w:rPr>
      </w:pPr>
    </w:p>
    <w:p>
      <w:pPr>
        <w:ind w:left="-460" w:firstLine="644"/>
        <w:spacing w:after="0" w:line="277" w:lineRule="auto"/>
        <w:tabs>
          <w:tab w:leader="none" w:pos="673"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There shall not have occurred and be continuing any Default, Event of Default, Event of Loss, Specified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Event or Specified Material Environmental Violation.</w:t>
      </w:r>
    </w:p>
    <w:p>
      <w:pPr>
        <w:spacing w:after="0" w:line="3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25" w:name="page26"/>
    <w:bookmarkEnd w:id="25"/>
    <w:p>
      <w:pPr>
        <w:jc w:val="both"/>
        <w:ind w:left="-460" w:firstLine="644"/>
        <w:spacing w:after="0" w:line="259" w:lineRule="auto"/>
        <w:tabs>
          <w:tab w:leader="none" w:pos="62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Representation and Warranties</w:t>
      </w:r>
      <w:r>
        <w:rPr>
          <w:rFonts w:ascii="Arial" w:cs="Arial" w:eastAsia="Arial" w:hAnsi="Arial"/>
          <w:sz w:val="18"/>
          <w:szCs w:val="18"/>
          <w:color w:val="auto"/>
        </w:rPr>
        <w:t>. On the Restatement Date, the representations and warranties of the Lessee and each Guarantor</w:t>
      </w:r>
      <w:r>
        <w:rPr>
          <w:rFonts w:ascii="Arial" w:cs="Arial" w:eastAsia="Arial" w:hAnsi="Arial"/>
          <w:sz w:val="18"/>
          <w:szCs w:val="18"/>
          <w:i w:val="1"/>
          <w:iCs w:val="1"/>
          <w:color w:val="auto"/>
        </w:rPr>
        <w:t xml:space="preserve"> </w:t>
      </w:r>
      <w:r>
        <w:rPr>
          <w:rFonts w:ascii="Arial" w:cs="Arial" w:eastAsia="Arial" w:hAnsi="Arial"/>
          <w:sz w:val="18"/>
          <w:szCs w:val="18"/>
          <w:color w:val="auto"/>
        </w:rPr>
        <w:t>herein and in each of the other Operative Documents shall be true and correct in all material respects as though made on and as of such date, except to the extent that such representations and warranties specifically refer to an earlier date, in which case they shall be true and correct in all material respects as of such earlier date.</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65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Transaction Expenses</w:t>
      </w:r>
      <w:r>
        <w:rPr>
          <w:rFonts w:ascii="Arial" w:cs="Arial" w:eastAsia="Arial" w:hAnsi="Arial"/>
          <w:sz w:val="18"/>
          <w:szCs w:val="18"/>
          <w:color w:val="auto"/>
        </w:rPr>
        <w:t>. Lessee or the Parent Guarantor shall have paid or made arrangements to pay all applicable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(including Transaction Expenses described in clause (i) of the definition thereof that are due and payable as of the Restatement Date) required to be paid or reimbursed by the Lessee on the Restatement Date (to the extent invoiced at least three (3) Business Days prior to the Restatement Date (or such later date as the Lessee may reasonably agree)).</w:t>
      </w:r>
    </w:p>
    <w:p>
      <w:pPr>
        <w:spacing w:after="0" w:line="186" w:lineRule="exact"/>
        <w:rPr>
          <w:rFonts w:ascii="Arial" w:cs="Arial" w:eastAsia="Arial" w:hAnsi="Arial"/>
          <w:sz w:val="18"/>
          <w:szCs w:val="18"/>
          <w:color w:val="auto"/>
        </w:rPr>
      </w:pPr>
    </w:p>
    <w:p>
      <w:pPr>
        <w:jc w:val="both"/>
        <w:ind w:left="-460" w:firstLine="644"/>
        <w:spacing w:after="0" w:line="263" w:lineRule="auto"/>
        <w:tabs>
          <w:tab w:leader="none" w:pos="67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Enforceability of Documents</w:t>
      </w:r>
      <w:r>
        <w:rPr>
          <w:rFonts w:ascii="Arial" w:cs="Arial" w:eastAsia="Arial" w:hAnsi="Arial"/>
          <w:sz w:val="18"/>
          <w:szCs w:val="18"/>
          <w:color w:val="auto"/>
        </w:rPr>
        <w:t>. The Participation Agreement, the Guaranty, the Lease, the Rent Assignment, the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(other than the UCC Financing Statements, which are subject to Sections 6.2(ix)(A) and 6.2(xi) below) and the Fee Letters shall be in full force and effect as to all other initial parties thereto.</w:t>
      </w:r>
    </w:p>
    <w:p>
      <w:pPr>
        <w:spacing w:after="0" w:line="183" w:lineRule="exact"/>
        <w:rPr>
          <w:rFonts w:ascii="Arial" w:cs="Arial" w:eastAsia="Arial" w:hAnsi="Arial"/>
          <w:sz w:val="18"/>
          <w:szCs w:val="18"/>
          <w:color w:val="auto"/>
        </w:rPr>
      </w:pPr>
    </w:p>
    <w:p>
      <w:pPr>
        <w:jc w:val="both"/>
        <w:ind w:left="-460" w:firstLine="644"/>
        <w:spacing w:after="0" w:line="296"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All taxes (including any mortgage taxes), fees and other charges in connection with the execution, delivery, recording,</w:t>
      </w:r>
      <w:r>
        <w:rPr>
          <w:rFonts w:ascii="Arial" w:cs="Arial" w:eastAsia="Arial" w:hAnsi="Arial"/>
          <w:sz w:val="16"/>
          <w:szCs w:val="16"/>
          <w:i w:val="1"/>
          <w:iCs w:val="1"/>
          <w:color w:val="auto"/>
        </w:rPr>
        <w:t xml:space="preserve"> </w:t>
      </w:r>
      <w:r>
        <w:rPr>
          <w:rFonts w:ascii="Arial" w:cs="Arial" w:eastAsia="Arial" w:hAnsi="Arial"/>
          <w:sz w:val="16"/>
          <w:szCs w:val="16"/>
          <w:color w:val="auto"/>
        </w:rPr>
        <w:t>filing and registration of the Operative Documents, if any, that are required to be paid by the Lessee or any Guarantor as of the Restatement Date pursuant to any of the Operative Documents (including Transaction Expenses described in clause (f) or (g) of the definition thereof that are due and payable as of the Restatement Date) shall have been paid by the Lessee or the Parent Guarantor or provisions for such payment shall have been made by the Lessee or Parent Guarantor to the reasonable satisfaction of the Lessor and the Administrative Agent.</w:t>
      </w:r>
    </w:p>
    <w:p>
      <w:pPr>
        <w:spacing w:after="0" w:line="161" w:lineRule="exact"/>
        <w:rPr>
          <w:rFonts w:ascii="Arial" w:cs="Arial" w:eastAsia="Arial" w:hAnsi="Arial"/>
          <w:sz w:val="16"/>
          <w:szCs w:val="16"/>
          <w:color w:val="auto"/>
        </w:rPr>
      </w:pPr>
    </w:p>
    <w:p>
      <w:pPr>
        <w:ind w:left="660" w:hanging="47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Matters relating to the Site and UCC Financing Statements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652"/>
        <w:spacing w:after="0" w:line="257" w:lineRule="auto"/>
        <w:tabs>
          <w:tab w:leader="none" w:pos="1303" w:val="left"/>
        </w:tabs>
        <w:numPr>
          <w:ilvl w:val="1"/>
          <w:numId w:val="30"/>
        </w:numPr>
        <w:rPr>
          <w:rFonts w:ascii="Arial" w:cs="Arial" w:eastAsia="Arial" w:hAnsi="Arial"/>
          <w:sz w:val="18"/>
          <w:szCs w:val="18"/>
          <w:color w:val="auto"/>
        </w:rPr>
      </w:pPr>
      <w:r>
        <w:rPr>
          <w:rFonts w:ascii="Arial" w:cs="Arial" w:eastAsia="Arial" w:hAnsi="Arial"/>
          <w:sz w:val="18"/>
          <w:szCs w:val="18"/>
          <w:color w:val="auto"/>
        </w:rPr>
        <w:t>Lessor and Administrative Agent shall have received evidence reasonably satisfactory to it that the Memorandum of Lease Amendment, the Assignment of Mortgage and the Consolidated Mortgage shall have been recorded with the appropriate Governmental Authorities, and the UCC Financing Statements shall have been or are being filed with the appropriate Governmental Authorities (or arrangements reasonably satisfactory to Lessor and Administrative Agent shall have been made for such recordation and filings); and</w:t>
      </w:r>
    </w:p>
    <w:p>
      <w:pPr>
        <w:spacing w:after="0" w:line="187" w:lineRule="exact"/>
        <w:rPr>
          <w:rFonts w:ascii="Arial" w:cs="Arial" w:eastAsia="Arial" w:hAnsi="Arial"/>
          <w:sz w:val="18"/>
          <w:szCs w:val="18"/>
          <w:color w:val="auto"/>
        </w:rPr>
      </w:pPr>
    </w:p>
    <w:p>
      <w:pPr>
        <w:jc w:val="both"/>
        <w:ind w:left="180" w:firstLine="652"/>
        <w:spacing w:after="0" w:line="279" w:lineRule="auto"/>
        <w:tabs>
          <w:tab w:leader="none" w:pos="1293"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Lessor and Administrative Agent shall have received evidence reasonably satisfactory to them that the Assignment of Leases shall have been or is to be recorded with the appropriate Governmental Authorities; </w:t>
      </w:r>
      <w:r>
        <w:rPr>
          <w:rFonts w:ascii="Arial" w:cs="Arial" w:eastAsia="Arial" w:hAnsi="Arial"/>
          <w:sz w:val="17"/>
          <w:szCs w:val="17"/>
          <w:i w:val="1"/>
          <w:iCs w:val="1"/>
          <w:color w:val="auto"/>
        </w:rPr>
        <w:t>provided</w:t>
      </w:r>
      <w:r>
        <w:rPr>
          <w:rFonts w:ascii="Arial" w:cs="Arial" w:eastAsia="Arial" w:hAnsi="Arial"/>
          <w:sz w:val="17"/>
          <w:szCs w:val="17"/>
          <w:color w:val="auto"/>
        </w:rPr>
        <w:t>, that the related conditions in this clause (B) shall be deemed to have been satisfied to the extent that such items are addressed (to the reasonable satisfaction of the Lessor and Administrative Agent) in any title policy endorsements delivered pursuant to Section 6.2(x) below.</w:t>
      </w:r>
    </w:p>
    <w:p>
      <w:pPr>
        <w:spacing w:after="0" w:line="38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26" w:name="page27"/>
    <w:bookmarkEnd w:id="26"/>
    <w:p>
      <w:pPr>
        <w:jc w:val="both"/>
        <w:ind w:left="-460" w:firstLine="644"/>
        <w:spacing w:after="0" w:line="271" w:lineRule="auto"/>
        <w:tabs>
          <w:tab w:leader="none" w:pos="623"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Title and Title Insurance</w:t>
      </w:r>
      <w:r>
        <w:rPr>
          <w:rFonts w:ascii="Arial" w:cs="Arial" w:eastAsia="Arial" w:hAnsi="Arial"/>
          <w:sz w:val="17"/>
          <w:szCs w:val="17"/>
          <w:color w:val="auto"/>
        </w:rPr>
        <w:t>. Lessor and the Administrative Agent shall have received from the Title Insurance Company an ALTA</w:t>
      </w:r>
      <w:r>
        <w:rPr>
          <w:rFonts w:ascii="Arial" w:cs="Arial" w:eastAsia="Arial" w:hAnsi="Arial"/>
          <w:sz w:val="17"/>
          <w:szCs w:val="17"/>
          <w:i w:val="1"/>
          <w:iCs w:val="1"/>
          <w:color w:val="auto"/>
        </w:rPr>
        <w:t xml:space="preserve"> </w:t>
      </w:r>
      <w:r>
        <w:rPr>
          <w:rFonts w:ascii="Arial" w:cs="Arial" w:eastAsia="Arial" w:hAnsi="Arial"/>
          <w:sz w:val="17"/>
          <w:szCs w:val="17"/>
          <w:color w:val="auto"/>
        </w:rPr>
        <w:t>2006 lender’s policy of title insurance (or an irrevocable commitment for the issuance thereof) with respect to the Site and the Facility (the “</w:t>
      </w:r>
      <w:r>
        <w:rPr>
          <w:rFonts w:ascii="Arial" w:cs="Arial" w:eastAsia="Arial" w:hAnsi="Arial"/>
          <w:sz w:val="17"/>
          <w:szCs w:val="17"/>
          <w:i w:val="1"/>
          <w:iCs w:val="1"/>
          <w:color w:val="auto"/>
        </w:rPr>
        <w:t>Title</w:t>
      </w:r>
      <w:r>
        <w:rPr>
          <w:rFonts w:ascii="Arial" w:cs="Arial" w:eastAsia="Arial" w:hAnsi="Arial"/>
          <w:sz w:val="17"/>
          <w:szCs w:val="17"/>
          <w:color w:val="auto"/>
        </w:rPr>
        <w:t xml:space="preserve"> </w:t>
      </w:r>
      <w:r>
        <w:rPr>
          <w:rFonts w:ascii="Arial" w:cs="Arial" w:eastAsia="Arial" w:hAnsi="Arial"/>
          <w:sz w:val="17"/>
          <w:szCs w:val="17"/>
          <w:i w:val="1"/>
          <w:iCs w:val="1"/>
          <w:color w:val="auto"/>
        </w:rPr>
        <w:t>Policy</w:t>
      </w:r>
      <w:r>
        <w:rPr>
          <w:rFonts w:ascii="Arial" w:cs="Arial" w:eastAsia="Arial" w:hAnsi="Arial"/>
          <w:sz w:val="17"/>
          <w:szCs w:val="17"/>
          <w:color w:val="auto"/>
        </w:rPr>
        <w:t>”), reasonably acceptable in form and substance to Participants, insuring the Lien created by the Consolidated Mortgage as a valid first</w:t>
      </w:r>
      <w:r>
        <w:rPr>
          <w:rFonts w:ascii="Arial" w:cs="Arial" w:eastAsia="Arial" w:hAnsi="Arial"/>
          <w:sz w:val="17"/>
          <w:szCs w:val="17"/>
          <w:i w:val="1"/>
          <w:iCs w:val="1"/>
          <w:color w:val="auto"/>
        </w:rPr>
        <w:t xml:space="preserve"> </w:t>
      </w:r>
      <w:r>
        <w:rPr>
          <w:rFonts w:ascii="Arial" w:cs="Arial" w:eastAsia="Arial" w:hAnsi="Arial"/>
          <w:sz w:val="17"/>
          <w:szCs w:val="17"/>
          <w:color w:val="auto"/>
        </w:rPr>
        <w:t>priority Lien against the Leased Property, subject in each case to such exceptions to title as are permitted under any of the Operative Documents, in an amount equal to the Aggregate Commitment Amount together with complete, legible copies of all recorded documents referenced as exceptions therein. The Title Policy shall be dated as of the Restatement Date and, to the extent permitted under Applicable Laws, shall, as applicable: (x) contain affirmative endorsements as to mechanics’ liens, comprehensive coverage, encroachments, the nonviolation of covenants and restrictions, rights of access and survey matters, and (y) delete survey exclusions.</w:t>
      </w:r>
    </w:p>
    <w:p>
      <w:pPr>
        <w:spacing w:after="0" w:line="178" w:lineRule="exact"/>
        <w:rPr>
          <w:rFonts w:ascii="Arial" w:cs="Arial" w:eastAsia="Arial" w:hAnsi="Arial"/>
          <w:sz w:val="17"/>
          <w:szCs w:val="17"/>
          <w:color w:val="auto"/>
        </w:rPr>
      </w:pPr>
    </w:p>
    <w:p>
      <w:pPr>
        <w:jc w:val="both"/>
        <w:ind w:left="-460" w:firstLine="644"/>
        <w:spacing w:after="0" w:line="257" w:lineRule="auto"/>
        <w:tabs>
          <w:tab w:leader="none" w:pos="673"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Filings and Recordings</w:t>
      </w:r>
      <w:r>
        <w:rPr>
          <w:rFonts w:ascii="Arial" w:cs="Arial" w:eastAsia="Arial" w:hAnsi="Arial"/>
          <w:sz w:val="18"/>
          <w:szCs w:val="18"/>
          <w:color w:val="auto"/>
        </w:rPr>
        <w:t>. All filings or recordings enumerated and described in Schedule 6.2(xi) shall have been made (or</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arrangements so to file shall have been made) in the appropriate places or offices. All recording and filing fees and taxes with respect to any recordings or filings made pursuant to this Section 6.2(xi) shall have been paid in full by Lessee on or prior to such date, and satisfactory evidence thereof shall have been delivered to the Lessor and Administrative Agent, or arrangements for such payment shall have been made by Lessee to the reasonable satisfaction of Lessor.</w:t>
      </w:r>
    </w:p>
    <w:p>
      <w:pPr>
        <w:spacing w:after="0" w:line="187" w:lineRule="exact"/>
        <w:rPr>
          <w:rFonts w:ascii="Arial" w:cs="Arial" w:eastAsia="Arial" w:hAnsi="Arial"/>
          <w:sz w:val="18"/>
          <w:szCs w:val="18"/>
          <w:color w:val="auto"/>
        </w:rPr>
      </w:pPr>
    </w:p>
    <w:p>
      <w:pPr>
        <w:jc w:val="both"/>
        <w:ind w:left="-460" w:firstLine="644"/>
        <w:spacing w:after="0" w:line="271"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Governmental Approvals</w:t>
      </w:r>
      <w:r>
        <w:rPr>
          <w:rFonts w:ascii="Arial" w:cs="Arial" w:eastAsia="Arial" w:hAnsi="Arial"/>
          <w:sz w:val="17"/>
          <w:szCs w:val="17"/>
          <w:color w:val="auto"/>
        </w:rPr>
        <w:t>. Except as could not reasonably be expected to cause a Material Adverse Effect: (A) all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Actions and other approvals, consents, licenses and easements (but excluding any approvals of the subdivision of the parcel of real property of which the Site is a part) required to be taken, given or obtained, as the case may be, by or from any Governmental Authority or another Person, or by or from any trustee or holder of any indebtedness or obligation of Lessee or any Guarantor, that are necessary in connection with the performance of their respective obligations under the Operative Documents, and that are necessary to have been obtained prior to the Restatement Date shall have been taken, given or obtained, as the case may be, shall be in full force and effect, and (B) the time for appeal with respect thereto shall have expired (or, if an appeal shall have been taken, the same shall have been dismissed) and shall not be subject to any pending proceedings or appeals (administrative, judicial or otherwise).</w:t>
      </w:r>
    </w:p>
    <w:p>
      <w:pPr>
        <w:spacing w:after="0" w:line="178" w:lineRule="exact"/>
        <w:rPr>
          <w:rFonts w:ascii="Arial" w:cs="Arial" w:eastAsia="Arial" w:hAnsi="Arial"/>
          <w:sz w:val="17"/>
          <w:szCs w:val="17"/>
          <w:color w:val="auto"/>
        </w:rPr>
      </w:pPr>
    </w:p>
    <w:p>
      <w:pPr>
        <w:jc w:val="both"/>
        <w:ind w:left="-460" w:firstLine="644"/>
        <w:spacing w:after="0" w:line="271" w:lineRule="auto"/>
        <w:tabs>
          <w:tab w:leader="none" w:pos="728"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Litigation</w:t>
      </w:r>
      <w:r>
        <w:rPr>
          <w:rFonts w:ascii="Arial" w:cs="Arial" w:eastAsia="Arial" w:hAnsi="Arial"/>
          <w:sz w:val="17"/>
          <w:szCs w:val="17"/>
          <w:color w:val="auto"/>
        </w:rPr>
        <w:t>. Except for Disclosed Matters, no action or proceeding shall have been instituted, nor to Lessee’s or Parent Guarantor’s</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shall any action or proceeding be threatened, before any Governmental Authority, nor shall any order, judgment or decree have been issued or be reasonably expected to be proposed to be issued by any Governmental Authority (A) to set aside, restrain, enjoin or prevent the performance by Lessee or any Guarantor in any material respect of this Participation Agreement, any other Operative Document or any transaction contemplated as part of the Overall Transaction or (B) that questions the validity of the Operative Documents or the rights or remedies of the Lessor or the Administrative Agent with respect to the Lessee, each Guarantor, the Leased Property or the other Collateral under the Operative Documents, and in each case as to clause (A) or clause (B) above, for which there is a reasonable expectation of an adverse decision which would have or would reasonably be expected to have a Material Adverse Effect.</w:t>
      </w:r>
    </w:p>
    <w:p>
      <w:pPr>
        <w:spacing w:after="0" w:line="3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All documents and instruments required to be delivered on the Restatement Date are to be delivered at the offices of Chapman and Cutler LLP, 320 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Canal St, 27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Chicago, IL 60606, Attention: Vincent W. Pelleriti, Esq., or at such other location as determined by the Lessor and the Lessee.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MITTED</w:t>
      </w:r>
      <w:r>
        <w:rPr>
          <w:rFonts w:ascii="Arial" w:cs="Arial" w:eastAsia="Arial" w:hAnsi="Arial"/>
          <w:sz w:val="18"/>
          <w:szCs w:val="18"/>
          <w:b w:val="1"/>
          <w:bCs w:val="1"/>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8.1. Representations of the Participants</w:t>
      </w:r>
      <w:r>
        <w:rPr>
          <w:rFonts w:ascii="Arial" w:cs="Arial" w:eastAsia="Arial" w:hAnsi="Arial"/>
          <w:sz w:val="18"/>
          <w:szCs w:val="18"/>
          <w:color w:val="auto"/>
        </w:rPr>
        <w:t>. As of the Restatement Date (or, if later, the date of its execution of an Assignment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joinder to this Participation Agreement), each Participant represents and warrants, severally and only as to itself, to the other Participants, the Administrative Agent, Lessee and the Guarantors that:</w:t>
      </w:r>
    </w:p>
    <w:p>
      <w:pPr>
        <w:spacing w:after="0" w:line="184" w:lineRule="exact"/>
        <w:rPr>
          <w:sz w:val="20"/>
          <w:szCs w:val="20"/>
          <w:color w:val="auto"/>
        </w:rPr>
      </w:pPr>
    </w:p>
    <w:p>
      <w:pPr>
        <w:ind w:left="660" w:firstLine="644"/>
        <w:spacing w:after="0" w:line="277" w:lineRule="auto"/>
        <w:tabs>
          <w:tab w:leader="none" w:pos="173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Power and Authority</w:t>
      </w:r>
      <w:r>
        <w:rPr>
          <w:rFonts w:ascii="Arial" w:cs="Arial" w:eastAsia="Arial" w:hAnsi="Arial"/>
          <w:sz w:val="18"/>
          <w:szCs w:val="18"/>
          <w:color w:val="auto"/>
        </w:rPr>
        <w:t>. Such Participant has the requisite power and authority to enter into and perform its obligations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to which it is a party.</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Lessor Liens</w:t>
      </w:r>
      <w:r>
        <w:rPr>
          <w:rFonts w:ascii="Arial" w:cs="Arial" w:eastAsia="Arial" w:hAnsi="Arial"/>
          <w:sz w:val="16"/>
          <w:szCs w:val="16"/>
          <w:color w:val="auto"/>
        </w:rPr>
        <w:t>. There are no Lessor Liens attributable to such Participant on the Lease, the Leased Property or any other Collateral.</w:t>
      </w:r>
    </w:p>
    <w:p>
      <w:pPr>
        <w:spacing w:after="0" w:line="248" w:lineRule="exact"/>
        <w:rPr>
          <w:rFonts w:ascii="Arial" w:cs="Arial" w:eastAsia="Arial" w:hAnsi="Arial"/>
          <w:sz w:val="16"/>
          <w:szCs w:val="16"/>
          <w:color w:val="auto"/>
        </w:rPr>
      </w:pPr>
    </w:p>
    <w:p>
      <w:pPr>
        <w:ind w:left="660" w:firstLine="644"/>
        <w:spacing w:after="0" w:line="308" w:lineRule="auto"/>
        <w:tabs>
          <w:tab w:leader="none" w:pos="1732"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Organization, etc</w:t>
      </w:r>
      <w:r>
        <w:rPr>
          <w:rFonts w:ascii="Arial" w:cs="Arial" w:eastAsia="Arial" w:hAnsi="Arial"/>
          <w:sz w:val="17"/>
          <w:szCs w:val="17"/>
          <w:color w:val="auto"/>
        </w:rPr>
        <w:t>. Such Participant is a corporation, banking association, limited liability company or other organization validly</w:t>
      </w:r>
      <w:r>
        <w:rPr>
          <w:rFonts w:ascii="Arial" w:cs="Arial" w:eastAsia="Arial" w:hAnsi="Arial"/>
          <w:sz w:val="17"/>
          <w:szCs w:val="17"/>
          <w:i w:val="1"/>
          <w:iCs w:val="1"/>
          <w:color w:val="auto"/>
        </w:rPr>
        <w:t xml:space="preserve"> </w:t>
      </w:r>
      <w:r>
        <w:rPr>
          <w:rFonts w:ascii="Arial" w:cs="Arial" w:eastAsia="Arial" w:hAnsi="Arial"/>
          <w:sz w:val="17"/>
          <w:szCs w:val="17"/>
          <w:color w:val="auto"/>
        </w:rPr>
        <w:t>organized or incorporated, as applicable, and existing and in good standing under the laws of the State or jurisdiction of its creation.</w:t>
      </w:r>
    </w:p>
    <w:p>
      <w:pPr>
        <w:spacing w:after="0" w:line="146" w:lineRule="exact"/>
        <w:rPr>
          <w:rFonts w:ascii="Arial" w:cs="Arial" w:eastAsia="Arial" w:hAnsi="Arial"/>
          <w:sz w:val="17"/>
          <w:szCs w:val="17"/>
          <w:color w:val="auto"/>
        </w:rPr>
      </w:pPr>
    </w:p>
    <w:p>
      <w:pPr>
        <w:jc w:val="both"/>
        <w:ind w:left="660" w:right="20" w:firstLine="644"/>
        <w:spacing w:after="0" w:line="259" w:lineRule="auto"/>
        <w:tabs>
          <w:tab w:leader="none" w:pos="174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Such Participant (i) did not make, or subsequently purchase or otherwise acquire an interest in, any of the Rent Assignment</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or other Advances with the assets of an “employee benefit plan” (as defined in Section 3(3) of ERISA), which is subject to Title I of ERISA or “plan” (as defined in Section 4975(e)(1) of the Code), and (ii) is not performing its obligations under the Operative Documents with any such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firstLine="648"/>
        <w:spacing w:after="0" w:line="277" w:lineRule="auto"/>
        <w:rPr>
          <w:sz w:val="20"/>
          <w:szCs w:val="20"/>
          <w:color w:val="auto"/>
        </w:rPr>
      </w:pPr>
      <w:r>
        <w:rPr>
          <w:rFonts w:ascii="Arial" w:cs="Arial" w:eastAsia="Arial" w:hAnsi="Arial"/>
          <w:sz w:val="18"/>
          <w:szCs w:val="18"/>
          <w:i w:val="1"/>
          <w:iCs w:val="1"/>
          <w:color w:val="auto"/>
        </w:rPr>
        <w:t>Section 8.2. Representations of Lessee</w:t>
      </w:r>
      <w:r>
        <w:rPr>
          <w:rFonts w:ascii="Arial" w:cs="Arial" w:eastAsia="Arial" w:hAnsi="Arial"/>
          <w:sz w:val="18"/>
          <w:szCs w:val="18"/>
          <w:color w:val="auto"/>
        </w:rPr>
        <w:t>. Lessee, on behalf of itself and its Subsidiaries, represents and warrants to each of the other parties hereto</w:t>
      </w:r>
      <w:r>
        <w:rPr>
          <w:rFonts w:ascii="Arial" w:cs="Arial" w:eastAsia="Arial" w:hAnsi="Arial"/>
          <w:sz w:val="18"/>
          <w:szCs w:val="18"/>
          <w:i w:val="1"/>
          <w:iCs w:val="1"/>
          <w:color w:val="auto"/>
        </w:rPr>
        <w:t xml:space="preserve"> </w:t>
      </w:r>
      <w:r>
        <w:rPr>
          <w:rFonts w:ascii="Arial" w:cs="Arial" w:eastAsia="Arial" w:hAnsi="Arial"/>
          <w:sz w:val="18"/>
          <w:szCs w:val="18"/>
          <w:color w:val="auto"/>
        </w:rPr>
        <w:t>as of the Restatement Date, other than with respect Disclosed Matters, that:</w:t>
      </w:r>
    </w:p>
    <w:p>
      <w:pPr>
        <w:spacing w:after="0" w:line="170" w:lineRule="exact"/>
        <w:rPr>
          <w:sz w:val="20"/>
          <w:szCs w:val="20"/>
          <w:color w:val="auto"/>
        </w:rPr>
      </w:pPr>
    </w:p>
    <w:p>
      <w:pPr>
        <w:jc w:val="both"/>
        <w:ind w:left="660" w:firstLine="644"/>
        <w:spacing w:after="0" w:line="254" w:lineRule="auto"/>
        <w:tabs>
          <w:tab w:leader="none" w:pos="173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Organization; Powers</w:t>
      </w:r>
      <w:r>
        <w:rPr>
          <w:rFonts w:ascii="Arial" w:cs="Arial" w:eastAsia="Arial" w:hAnsi="Arial"/>
          <w:sz w:val="18"/>
          <w:szCs w:val="18"/>
          <w:color w:val="auto"/>
        </w:rPr>
        <w:t>. Each of the Lessee and its Material Subsidiaries is (i) duly organized or incorporated,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validly existing and in good standing (to the extent the concept is applicable in such jurisdiction) under the laws of the jurisdiction of its organization or incorporation (as applicable), (ii) has all requisite organizational power and authority to carry on its business as now conducted and (iii) is qualified to do business in, and (to the extent the concept is applicable in such jurisdiction) is in good standing in, every jurisdiction where its ownership, lease or operation of properties or the conduct of its business requires such qualification, in any such case of clauses (i) (solely with respect to the good standing status of any such Subsidiary that is not a Subsidiary Guarantor), (ii) (solely with respect to the power and authority of any such Subsidiary that is not a Subsidiary Guarantor) and (iii) above, except where the failure to do so could not reasonably be expected to result in a Material Adverse Effect.</w:t>
      </w:r>
    </w:p>
    <w:p>
      <w:pPr>
        <w:spacing w:after="0" w:line="191" w:lineRule="exact"/>
        <w:rPr>
          <w:rFonts w:ascii="Arial" w:cs="Arial" w:eastAsia="Arial" w:hAnsi="Arial"/>
          <w:sz w:val="18"/>
          <w:szCs w:val="18"/>
          <w:color w:val="auto"/>
        </w:rPr>
      </w:pPr>
    </w:p>
    <w:p>
      <w:pPr>
        <w:jc w:val="both"/>
        <w:ind w:left="660" w:firstLine="644"/>
        <w:spacing w:after="0" w:line="273" w:lineRule="auto"/>
        <w:tabs>
          <w:tab w:leader="none" w:pos="1743"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Authorization; Enforceability. </w:t>
      </w:r>
      <w:r>
        <w:rPr>
          <w:rFonts w:ascii="Arial" w:cs="Arial" w:eastAsia="Arial" w:hAnsi="Arial"/>
          <w:sz w:val="17"/>
          <w:szCs w:val="17"/>
          <w:color w:val="auto"/>
        </w:rPr>
        <w:t>The Operative Documents to which the Lessee is a party are within Lessee’s organizational powers</w:t>
      </w:r>
      <w:r>
        <w:rPr>
          <w:rFonts w:ascii="Arial" w:cs="Arial" w:eastAsia="Arial" w:hAnsi="Arial"/>
          <w:sz w:val="17"/>
          <w:szCs w:val="17"/>
          <w:i w:val="1"/>
          <w:iCs w:val="1"/>
          <w:color w:val="auto"/>
        </w:rPr>
        <w:t xml:space="preserve"> </w:t>
      </w:r>
      <w:r>
        <w:rPr>
          <w:rFonts w:ascii="Arial" w:cs="Arial" w:eastAsia="Arial" w:hAnsi="Arial"/>
          <w:sz w:val="17"/>
          <w:szCs w:val="17"/>
          <w:color w:val="auto"/>
        </w:rPr>
        <w:t>and have been duly authorized by all necessary organizational actions and, if required, actions by equity holders of Lessee. The Operative Documents to which Lessee is a party have been duly executed and delivered by Lessee and constitute a legal, valid and binding obligation of Lessee, enforceable against Lessee in accordance with their respective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177" w:lineRule="exact"/>
        <w:rPr>
          <w:rFonts w:ascii="Arial" w:cs="Arial" w:eastAsia="Arial" w:hAnsi="Arial"/>
          <w:sz w:val="17"/>
          <w:szCs w:val="17"/>
          <w:color w:val="auto"/>
        </w:rPr>
      </w:pPr>
    </w:p>
    <w:p>
      <w:pPr>
        <w:jc w:val="both"/>
        <w:ind w:left="660" w:firstLine="644"/>
        <w:spacing w:after="0" w:line="269" w:lineRule="auto"/>
        <w:tabs>
          <w:tab w:leader="none" w:pos="1732"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Governmental Approvals; No Conflicts</w:t>
      </w:r>
      <w:r>
        <w:rPr>
          <w:rFonts w:ascii="Arial" w:cs="Arial" w:eastAsia="Arial" w:hAnsi="Arial"/>
          <w:sz w:val="17"/>
          <w:szCs w:val="17"/>
          <w:color w:val="auto"/>
        </w:rPr>
        <w:t>. The execution, delivery and performance by the Lessee of the Operative Documents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Lessee is a party (i) do not require any consent or approval of, registration or filing with, or any other action by, any Governmental Authority, except such as are not material or have been, or will be by the time required, obtained or made and are, or will be by the time required, in full force and effect, (ii) will not violate in any material respect any applicable material law or regulation or the charter, by-laws, constitution or other organizational documents of Lessee or any material order of any Governmental Authority binding upon Lessee or its assets, (iii) will not violate in any material respect or result in a default under any indenture, material agreement or other material instrument binding upon the Lessee or its assets, or give rise to a right thereunder to require any payment to be made by the Lessee, except, in the case of this clause (iii), for any such violations, defaults or rights that could not reasonably be expected to result in a Material Adverse Effect, and (iv) will not result in the creation or imposition of any Lien on any asset of the Lessee, other than Permitted Liens and requirements (if any) to provide cash collateral or deposits under any of the Operative Documents.</w:t>
      </w:r>
    </w:p>
    <w:p>
      <w:pPr>
        <w:spacing w:after="0" w:line="185" w:lineRule="exact"/>
        <w:rPr>
          <w:rFonts w:ascii="Arial" w:cs="Arial" w:eastAsia="Arial" w:hAnsi="Arial"/>
          <w:sz w:val="17"/>
          <w:szCs w:val="17"/>
          <w:color w:val="auto"/>
        </w:rPr>
      </w:pPr>
    </w:p>
    <w:p>
      <w:pPr>
        <w:jc w:val="both"/>
        <w:ind w:left="660" w:firstLine="644"/>
        <w:spacing w:after="0" w:line="257" w:lineRule="auto"/>
        <w:tabs>
          <w:tab w:leader="none" w:pos="174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Location of Chief Executive Office and Principal Place of Business, etc</w:t>
      </w:r>
      <w:r>
        <w:rPr>
          <w:rFonts w:ascii="Arial" w:cs="Arial" w:eastAsia="Arial" w:hAnsi="Arial"/>
          <w:sz w:val="18"/>
          <w:szCs w:val="18"/>
          <w:color w:val="auto"/>
        </w:rPr>
        <w:t>. As of the Restatement Date, (i) the “location”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term is used in Section 9-307 of the Uniform Commercial Code) of the Lessee is the State of New York, (ii) the place where its records concerning the Leased Property and all documents relating to the Leased Property are kept is located in the towns of Mount Pleasant and Greenburgh, New York, and (iii) Old Saw Mill Holdings LLC is its true legal name as registered in the jurisdiction of its organization, its federal employer identification number is 81-5162016.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ind w:firstLine="648"/>
        <w:spacing w:after="0" w:line="311" w:lineRule="auto"/>
        <w:rPr>
          <w:sz w:val="20"/>
          <w:szCs w:val="20"/>
          <w:color w:val="auto"/>
        </w:rPr>
      </w:pPr>
      <w:r>
        <w:rPr>
          <w:rFonts w:ascii="Arial" w:cs="Arial" w:eastAsia="Arial" w:hAnsi="Arial"/>
          <w:sz w:val="16"/>
          <w:szCs w:val="16"/>
          <w:i w:val="1"/>
          <w:iCs w:val="1"/>
          <w:color w:val="auto"/>
        </w:rPr>
        <w:t>Section 8.3. Representations and Warranties of Administrative Agent</w:t>
      </w:r>
      <w:r>
        <w:rPr>
          <w:rFonts w:ascii="Arial" w:cs="Arial" w:eastAsia="Arial" w:hAnsi="Arial"/>
          <w:sz w:val="16"/>
          <w:szCs w:val="16"/>
          <w:color w:val="auto"/>
        </w:rPr>
        <w:t>. As of the Restatement Date, Bank of America, N.A., in its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and not in its capacity as Administrative Agent (with the exception of the last sentence of clause (b) below, which representation and warranty is made by Bank of America, N.A. solely in its capacity as Administrative Agent), hereby represents and warrants to each of the other parties hereto that:</w:t>
      </w:r>
    </w:p>
    <w:p>
      <w:pPr>
        <w:spacing w:after="0" w:line="149" w:lineRule="exact"/>
        <w:rPr>
          <w:sz w:val="20"/>
          <w:szCs w:val="20"/>
          <w:color w:val="auto"/>
        </w:rPr>
      </w:pPr>
    </w:p>
    <w:p>
      <w:pPr>
        <w:ind w:left="660" w:firstLine="644"/>
        <w:spacing w:after="0" w:line="277" w:lineRule="auto"/>
        <w:tabs>
          <w:tab w:leader="none" w:pos="1732"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Organization and Authority</w:t>
      </w:r>
      <w:r>
        <w:rPr>
          <w:rFonts w:ascii="Arial" w:cs="Arial" w:eastAsia="Arial" w:hAnsi="Arial"/>
          <w:sz w:val="18"/>
          <w:szCs w:val="18"/>
          <w:color w:val="auto"/>
        </w:rPr>
        <w:t>. It is duly organized as a national banking association under the laws of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the corporate power and authority to enter into and perform its obligations under the Operative Documents.</w:t>
      </w:r>
    </w:p>
    <w:p>
      <w:pPr>
        <w:spacing w:after="0" w:line="170" w:lineRule="exact"/>
        <w:rPr>
          <w:rFonts w:ascii="Arial" w:cs="Arial" w:eastAsia="Arial" w:hAnsi="Arial"/>
          <w:sz w:val="18"/>
          <w:szCs w:val="18"/>
          <w:color w:val="auto"/>
        </w:rPr>
      </w:pPr>
    </w:p>
    <w:p>
      <w:pPr>
        <w:jc w:val="both"/>
        <w:ind w:left="660" w:firstLine="644"/>
        <w:spacing w:after="0" w:line="255" w:lineRule="auto"/>
        <w:tabs>
          <w:tab w:leader="none" w:pos="174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Authorization; Binding Effect</w:t>
      </w:r>
      <w:r>
        <w:rPr>
          <w:rFonts w:ascii="Arial" w:cs="Arial" w:eastAsia="Arial" w:hAnsi="Arial"/>
          <w:sz w:val="18"/>
          <w:szCs w:val="18"/>
          <w:color w:val="auto"/>
        </w:rPr>
        <w:t>. The Operative Documents to which Administrative Agent is or will be a party have been or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required to be delivered hereby, duly authorized, executed and delivered by the Administrative Agent. This Participation Agreement is, and each such other Operative Documents is, or, when so executed and delivered by the Administrative Agent will be, valid, legal and binding obligation of the Administrative Agent, enforceable against the Administrative Agent in accordance with their respective terms, except as enforcement may be limited by bankruptcy, insolvency, reorganization, moratorium or other similar laws affecting the enforcement of creditors’ rights generally and by general principles of equity.</w:t>
      </w:r>
    </w:p>
    <w:p>
      <w:pPr>
        <w:spacing w:after="0" w:line="192" w:lineRule="exact"/>
        <w:rPr>
          <w:rFonts w:ascii="Arial" w:cs="Arial" w:eastAsia="Arial" w:hAnsi="Arial"/>
          <w:sz w:val="18"/>
          <w:szCs w:val="18"/>
          <w:color w:val="auto"/>
        </w:rPr>
      </w:pPr>
    </w:p>
    <w:p>
      <w:pPr>
        <w:jc w:val="both"/>
        <w:ind w:left="660" w:firstLine="644"/>
        <w:spacing w:after="0" w:line="268" w:lineRule="auto"/>
        <w:tabs>
          <w:tab w:leader="none" w:pos="1732"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Non-Contravention</w:t>
      </w:r>
      <w:r>
        <w:rPr>
          <w:rFonts w:ascii="Arial" w:cs="Arial" w:eastAsia="Arial" w:hAnsi="Arial"/>
          <w:sz w:val="17"/>
          <w:szCs w:val="17"/>
          <w:color w:val="auto"/>
        </w:rPr>
        <w:t>. Neither the execution and delivery by the Administrative Agent of the Operative Documents to which it is or</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a party, either in its individual capacity, or as Administrative Agent, or both, nor compliance with the terms and provisions thereof, conflicts with, results in a breach of, constitutes a default under (with or without the giving of notice or lapse of time or both), or violates any of the terms, conditions or provisions of: (i) its charter documents or bylaws; (ii) any bond, debenture, note, mortgage, indenture, agreement, lease or other instrument to which it is now a party or by which it or its property, either in its individual capacity, or as Administrative Agent, or both, is bound or affected, where such conflict, breach, default or violation would be reasonably likely to materially and adversely affect the ability of the Administrative Agent, either in its individual capacity, or as Administrative Agent, or both, to perform its obligations under any Operative Document to which it is or will be a party, either in its individual capacity, or as Administrative Agent, or both; or (iii) any of the terms, conditions or provisions of any law, rule, regulation, order, injunction or decree of any Governmental Authority or any of the terms, conditions or provisions of any law, rule, regulation, order, injunction or decree of any Governmental Authority applicable to it in its individual capacity or as Administrative Agent, or both, where such conflict, breach, default or violation would be reasonably likely to materially and adversely affect the ability of the Administrative Agent, either in its individual capacity, or as Administrative Agent, or both, to perform its obligations under any Operative Document to which it is or will be a party.</w:t>
      </w:r>
    </w:p>
    <w:p>
      <w:pPr>
        <w:spacing w:after="0" w:line="186" w:lineRule="exact"/>
        <w:rPr>
          <w:rFonts w:ascii="Arial" w:cs="Arial" w:eastAsia="Arial" w:hAnsi="Arial"/>
          <w:sz w:val="17"/>
          <w:szCs w:val="17"/>
          <w:color w:val="auto"/>
        </w:rPr>
      </w:pPr>
    </w:p>
    <w:p>
      <w:pPr>
        <w:jc w:val="both"/>
        <w:ind w:left="660" w:firstLine="644"/>
        <w:spacing w:after="0" w:line="263" w:lineRule="auto"/>
        <w:tabs>
          <w:tab w:leader="none" w:pos="174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Absence of Litigation, etc</w:t>
      </w:r>
      <w:r>
        <w:rPr>
          <w:rFonts w:ascii="Arial" w:cs="Arial" w:eastAsia="Arial" w:hAnsi="Arial"/>
          <w:sz w:val="18"/>
          <w:szCs w:val="18"/>
          <w:color w:val="auto"/>
        </w:rPr>
        <w:t>. There is no litigation (including derivative actions), arbitration or governmental proceedings pending 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best knowledge of the Administrative Agent, threatened against it which would be reasonably likely to adversely affect the Administrative Agent’s ability to perform its obligations under the Operative Documents to which it is or will be a party.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ind w:left="660" w:firstLine="644"/>
        <w:spacing w:after="0" w:line="259" w:lineRule="auto"/>
        <w:tabs>
          <w:tab w:leader="none" w:pos="173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Governmental Actions</w:t>
      </w:r>
      <w:r>
        <w:rPr>
          <w:rFonts w:ascii="Arial" w:cs="Arial" w:eastAsia="Arial" w:hAnsi="Arial"/>
          <w:sz w:val="18"/>
          <w:szCs w:val="18"/>
          <w:color w:val="auto"/>
        </w:rPr>
        <w:t>. No action, consent or approval of, registration or filing with or any other action by any federal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is or will be required by the Administrative Agent in connection with the Overall Transaction, except those which have been made or obtained or will be obtained on a timely basis in the ordinary course of the Administrative Agent’s business, and which are in full force and effect.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ESSEE</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Section 9.1. Affirmative Covenants of Lessee regarding Existence and Conduct of Business</w:t>
      </w:r>
      <w:r>
        <w:rPr>
          <w:rFonts w:ascii="Arial" w:cs="Arial" w:eastAsia="Arial" w:hAnsi="Arial"/>
          <w:sz w:val="16"/>
          <w:szCs w:val="16"/>
          <w:color w:val="auto"/>
        </w:rPr>
        <w:t>. Until the Lease Balance has been paid in full,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Lessee shall (a) do or cause to be done all things necessary to preserve, renew and keep in full force and effect its legal existence and (b) take, or cause to be taken, all reasonable actions to maintain the rights, qualifications, licenses, permits, privileges, franchises, governmental authorizations and intellectual property rights material to the conduct of the business of the Parent Guarantor and its Subsidiaries taken as a whole, except, in the case of this clause (b), to the extent that failure to do so could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9.1 shall not prohibit any merger, consolidation, disposition, liquidation, dissolution or other transaction permitted under Section 9.2.</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Section 9.2. Negative Covenants of Lessee regarding Fundamental Changes and Asset Sales. </w:t>
      </w:r>
      <w:r>
        <w:rPr>
          <w:rFonts w:ascii="Arial" w:cs="Arial" w:eastAsia="Arial" w:hAnsi="Arial"/>
          <w:sz w:val="18"/>
          <w:szCs w:val="18"/>
          <w:color w:val="auto"/>
        </w:rPr>
        <w:t>The Lessee covenants and agrees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that, until the Lease Balance has been paid in full, the Lessee will not merge 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Lessee (taken as a whole) (whether now owned or hereafter acquired), or liquidate or dissolve, except that:</w:t>
      </w:r>
    </w:p>
    <w:p>
      <w:pPr>
        <w:spacing w:after="0" w:line="188" w:lineRule="exact"/>
        <w:rPr>
          <w:sz w:val="20"/>
          <w:szCs w:val="20"/>
          <w:color w:val="auto"/>
        </w:rPr>
      </w:pPr>
    </w:p>
    <w:p>
      <w:pPr>
        <w:jc w:val="both"/>
        <w:ind w:left="660" w:firstLine="644"/>
        <w:spacing w:after="0" w:line="263" w:lineRule="auto"/>
        <w:tabs>
          <w:tab w:leader="none" w:pos="17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any Person (other than the Parent Guarantor or any of its Subsidiaries) may merge or consolidate with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merger or consolidation must result in the Lessee as the surviving entity (unless in connection therewith an Affiliate Transferee becomes the Lessee pursuant to Article VI of the Lease);</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Parent Guarantor or any of its Subsidiaries may merge or consolidate with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merger or consolidation must result in the Lessee as the surviving entity (unless in connection therewith an Affiliate Transferee becomes the Lessee pursuant to Article VI of the Lease);</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Lessee may enter into, terminate or modify leases, subleases, licenses and sublicenses of technology and other property (1) in the ordinary course of business (to the extent not prohibited by the Lease), (2) between or among the Parent Guarantor, the Lessee, any Subsidiary Guarantors and any of their Subsidiaries (or any combination thereof) (to the extent not prohibited by the Lease), or (3) as permitted by Article VI of the Lease;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left="1740" w:hanging="436"/>
        <w:spacing w:after="0"/>
        <w:tabs>
          <w:tab w:leader="none" w:pos="17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Lessee may create, incur, assume or permit to exist Liens permitted under Section 9(b) of the Guaranty;</w:t>
      </w:r>
    </w:p>
    <w:p>
      <w:pPr>
        <w:spacing w:after="0" w:line="225" w:lineRule="exact"/>
        <w:rPr>
          <w:rFonts w:ascii="Arial" w:cs="Arial" w:eastAsia="Arial" w:hAnsi="Arial"/>
          <w:sz w:val="18"/>
          <w:szCs w:val="18"/>
          <w:color w:val="auto"/>
        </w:rPr>
      </w:pPr>
    </w:p>
    <w:p>
      <w:pPr>
        <w:jc w:val="both"/>
        <w:ind w:left="660" w:firstLine="644"/>
        <w:spacing w:after="0" w:line="287" w:lineRule="auto"/>
        <w:tabs>
          <w:tab w:leader="none" w:pos="1732" w:val="left"/>
        </w:tabs>
        <w:numPr>
          <w:ilvl w:val="1"/>
          <w:numId w:val="37"/>
        </w:numPr>
        <w:rPr>
          <w:rFonts w:ascii="Arial" w:cs="Arial" w:eastAsia="Arial" w:hAnsi="Arial"/>
          <w:sz w:val="16"/>
          <w:szCs w:val="16"/>
          <w:color w:val="auto"/>
        </w:rPr>
      </w:pPr>
      <w:r>
        <w:rPr>
          <w:rFonts w:ascii="Arial" w:cs="Arial" w:eastAsia="Arial" w:hAnsi="Arial"/>
          <w:sz w:val="16"/>
          <w:szCs w:val="16"/>
          <w:color w:val="auto"/>
        </w:rPr>
        <w:t>with respect to any rights, title or interest of the Lessee in the Collateral and the Purchase Agreement, leases, subleases, assignments and other transfers pursuant to or permitted by any of the Operative Documents, including (i) the assignment of some or all of the rights under the Purchase Agreement (including the right to take title to the Facility) pursuant to the Assignment of Purchase Agreement and</w:t>
      </w:r>
    </w:p>
    <w:p>
      <w:pPr>
        <w:spacing w:after="0" w:line="2" w:lineRule="exact"/>
        <w:rPr>
          <w:rFonts w:ascii="Arial" w:cs="Arial" w:eastAsia="Arial" w:hAnsi="Arial"/>
          <w:sz w:val="16"/>
          <w:szCs w:val="16"/>
          <w:color w:val="auto"/>
        </w:rPr>
      </w:pPr>
    </w:p>
    <w:p>
      <w:pPr>
        <w:ind w:left="660" w:right="20" w:hanging="4"/>
        <w:spacing w:after="0" w:line="260" w:lineRule="auto"/>
        <w:tabs>
          <w:tab w:leader="none" w:pos="9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assignment or other transfer by the Lessee to Parent Guarantor or a directly or indirectly wholly-owned Domestic Subsidiary of Parent Guarantor as an Affiliate Transferee pursuant to Article VI of the Lease; and</w:t>
      </w:r>
    </w:p>
    <w:p>
      <w:pPr>
        <w:spacing w:after="0" w:line="185" w:lineRule="exact"/>
        <w:rPr>
          <w:rFonts w:ascii="Arial" w:cs="Arial" w:eastAsia="Arial" w:hAnsi="Arial"/>
          <w:sz w:val="18"/>
          <w:szCs w:val="18"/>
          <w:color w:val="auto"/>
        </w:rPr>
      </w:pPr>
    </w:p>
    <w:p>
      <w:pPr>
        <w:ind w:left="1700" w:hanging="396"/>
        <w:spacing w:after="0"/>
        <w:tabs>
          <w:tab w:leader="none" w:pos="1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other transactions permitted by Section 9(c)(J) of the Guaranty.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GREEMENTS</w:t>
      </w:r>
    </w:p>
    <w:p>
      <w:pPr>
        <w:spacing w:after="0" w:line="211"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i w:val="1"/>
          <w:iCs w:val="1"/>
          <w:color w:val="auto"/>
        </w:rPr>
        <w:t>Section 10.1.</w:t>
      </w:r>
      <w:r>
        <w:rPr>
          <w:sz w:val="20"/>
          <w:szCs w:val="20"/>
          <w:color w:val="auto"/>
        </w:rPr>
        <w:tab/>
      </w:r>
      <w:r>
        <w:rPr>
          <w:rFonts w:ascii="Arial" w:cs="Arial" w:eastAsia="Arial" w:hAnsi="Arial"/>
          <w:sz w:val="16"/>
          <w:szCs w:val="16"/>
          <w:i w:val="1"/>
          <w:iCs w:val="1"/>
          <w:color w:val="auto"/>
        </w:rPr>
        <w:t>Covenants of the Administrative Agent and the Participants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072"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Lessor Liens. </w:t>
      </w:r>
      <w:r>
        <w:rPr>
          <w:rFonts w:ascii="Arial" w:cs="Arial" w:eastAsia="Arial" w:hAnsi="Arial"/>
          <w:sz w:val="18"/>
          <w:szCs w:val="18"/>
          <w:color w:val="auto"/>
        </w:rPr>
        <w:t>Each of the Participants (severally and not jointly with any other Participants), the Administrative Agent and Lessor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that so long as this Participation Agreement is in effect it:</w:t>
      </w:r>
    </w:p>
    <w:p>
      <w:pPr>
        <w:spacing w:after="0" w:line="170" w:lineRule="exact"/>
        <w:rPr>
          <w:rFonts w:ascii="Arial" w:cs="Arial" w:eastAsia="Arial" w:hAnsi="Arial"/>
          <w:sz w:val="18"/>
          <w:szCs w:val="18"/>
          <w:color w:val="auto"/>
        </w:rPr>
      </w:pPr>
    </w:p>
    <w:p>
      <w:pPr>
        <w:ind w:left="660" w:firstLine="644"/>
        <w:spacing w:after="0" w:line="277" w:lineRule="auto"/>
        <w:tabs>
          <w:tab w:leader="none" w:pos="17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will not create, incur, assume or suffer to exist a Lessor Lien attributable to it upon the Lease, the Leased Property or any other Collateral (other than as contemplated by any of the Operative Documents); and</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7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will remove such Lessor Lien created or incurred by it and use its best efforts to remove Lessor Lien attributable to it assumed or suffered to exist by it upon the Lease, the Leased Property or any other Collateral (other than the Liens of the Security Instruments and such other Liens as are contemplated by any of the Operative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action taken pursuant to this clause (ii) shall not limit the Lessee’s rights or remedies under any of the Operative Documents.</w:t>
      </w:r>
    </w:p>
    <w:p>
      <w:pPr>
        <w:spacing w:after="0" w:line="186" w:lineRule="exact"/>
        <w:rPr>
          <w:rFonts w:ascii="Arial" w:cs="Arial" w:eastAsia="Arial" w:hAnsi="Arial"/>
          <w:sz w:val="18"/>
          <w:szCs w:val="18"/>
          <w:color w:val="auto"/>
        </w:rPr>
      </w:pPr>
    </w:p>
    <w:p>
      <w:pPr>
        <w:jc w:val="both"/>
        <w:ind w:firstLine="656"/>
        <w:spacing w:after="0" w:line="293" w:lineRule="auto"/>
        <w:tabs>
          <w:tab w:leader="none" w:pos="1083"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Rent Assignment Agreement</w:t>
      </w:r>
      <w:r>
        <w:rPr>
          <w:rFonts w:ascii="Arial" w:cs="Arial" w:eastAsia="Arial" w:hAnsi="Arial"/>
          <w:sz w:val="16"/>
          <w:szCs w:val="16"/>
          <w:color w:val="auto"/>
        </w:rPr>
        <w:t>. Lessor and each Participant hereby agree that, so long as the Lease is in effect, Lessor shall not consent to or</w:t>
      </w:r>
      <w:r>
        <w:rPr>
          <w:rFonts w:ascii="Arial" w:cs="Arial" w:eastAsia="Arial" w:hAnsi="Arial"/>
          <w:sz w:val="16"/>
          <w:szCs w:val="16"/>
          <w:i w:val="1"/>
          <w:iCs w:val="1"/>
          <w:color w:val="auto"/>
        </w:rPr>
        <w:t xml:space="preserve"> </w:t>
      </w:r>
      <w:r>
        <w:rPr>
          <w:rFonts w:ascii="Arial" w:cs="Arial" w:eastAsia="Arial" w:hAnsi="Arial"/>
          <w:sz w:val="16"/>
          <w:szCs w:val="16"/>
          <w:color w:val="auto"/>
        </w:rPr>
        <w:t>permit any amendment, waiver or other modification of the terms and provisions of the Rent Assignment Agreement or any Security Instrument, whether or not any Event of Default shall have occurred and be continuing, if any such amendment, waiver, modification or action would have the effect of increasing the obligations of Lessee or any Guarantor or decreasing or otherwise adversely affecting the rights or remedies of Lessee or any Guarantor, in each case without the prior written consent of Lessee or such Guarantor, as applicable, except that without such consent, Lessor may waive performance by Administrative Agent of obligations to Lessor, the non-performance of which does not adversely affect Lessee or any Guarantor.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firstLine="656"/>
        <w:spacing w:after="0" w:line="277" w:lineRule="auto"/>
        <w:tabs>
          <w:tab w:leader="none" w:pos="1072"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Acceptance of Provisions of Lease</w:t>
      </w:r>
      <w:r>
        <w:rPr>
          <w:rFonts w:ascii="Arial" w:cs="Arial" w:eastAsia="Arial" w:hAnsi="Arial"/>
          <w:sz w:val="18"/>
          <w:szCs w:val="18"/>
          <w:color w:val="auto"/>
        </w:rPr>
        <w:t>. The Participants and the Administrative Agent hereby acknowledge and accept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Lease, including Sections 15.2, 19.1, 19.2 and 20.1 of the Lease.</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083"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Depreciation</w:t>
      </w:r>
      <w:r>
        <w:rPr>
          <w:rFonts w:ascii="Arial" w:cs="Arial" w:eastAsia="Arial" w:hAnsi="Arial"/>
          <w:sz w:val="17"/>
          <w:szCs w:val="17"/>
          <w:color w:val="auto"/>
        </w:rPr>
        <w:t>. With respect to each taxable year or portion thereof that includes the Original Closing Date or that ends thereafter on or prior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the Expiration Date except following an Event of Default and foreclosure, Lessor and each other Participant agrees that it shall not claim any federal, state or local tax attributes or benefits (including depreciation) relating to the Leased Property or otherwise claim ownership of the Leased Property for federal, state or local tax purposes unless required to do so by an appropriate taxing authority or after a clearly applicable change in Applicable Laws or as a protective response to a proposed adjustment by a Governmental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Lessor or any Participant claims or intends to claim any such federal, state or local tax attributes or benefits or if it proposes to claim any such federal, state or local tax attributes or benefits as a protective response, such Person shall promptly notify Lessee thereof and shall permit Lessee to contest such requirement in a manner similar to the contest rights provided in, and subject to any applicable limitation to a contest contained in, Section 13.4(b).</w:t>
      </w:r>
    </w:p>
    <w:p>
      <w:pPr>
        <w:spacing w:after="0" w:line="178" w:lineRule="exact"/>
        <w:rPr>
          <w:rFonts w:ascii="Arial" w:cs="Arial" w:eastAsia="Arial" w:hAnsi="Arial"/>
          <w:sz w:val="17"/>
          <w:szCs w:val="17"/>
          <w:color w:val="auto"/>
        </w:rPr>
      </w:pPr>
    </w:p>
    <w:p>
      <w:pPr>
        <w:jc w:val="both"/>
        <w:ind w:firstLine="656"/>
        <w:spacing w:after="0" w:line="272" w:lineRule="auto"/>
        <w:tabs>
          <w:tab w:leader="none" w:pos="1072"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Right of Set-Off</w:t>
      </w:r>
      <w:r>
        <w:rPr>
          <w:rFonts w:ascii="Arial" w:cs="Arial" w:eastAsia="Arial" w:hAnsi="Arial"/>
          <w:sz w:val="17"/>
          <w:szCs w:val="17"/>
          <w:color w:val="auto"/>
        </w:rPr>
        <w:t>. Each of the Participants, the Lessor and the Administrative Agent, in its individual capacity, and each of Lessee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Guarantors covenants as to itself, not jointly with any other Person, that it shall not exercise, or attempt to exercise, any right of setoff, banker’s lien, or the like, against any deposit account or property of any Guarantor or Lessee, or any of their Affiliates held or maintained by such Person without the prior written consent of the Administrative Agent, which shall base its decision to grant such consent solely upon a determination, upon the advice of the Administrative Agent’s counsel, that such exercise shall not adversely affect the right of any other Participant to resort to any other right or remedy as a result of the application of state law relating to a Rent Assignee;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any Operative Document, no such rights shall be exercised unless an Event of Default has occurred and is continuing.</w:t>
      </w:r>
    </w:p>
    <w:p>
      <w:pPr>
        <w:spacing w:after="0" w:line="177" w:lineRule="exact"/>
        <w:rPr>
          <w:rFonts w:ascii="Arial" w:cs="Arial" w:eastAsia="Arial" w:hAnsi="Arial"/>
          <w:sz w:val="17"/>
          <w:szCs w:val="17"/>
          <w:color w:val="auto"/>
        </w:rPr>
      </w:pPr>
    </w:p>
    <w:p>
      <w:pPr>
        <w:jc w:val="both"/>
        <w:ind w:firstLine="656"/>
        <w:spacing w:after="0" w:line="255" w:lineRule="auto"/>
        <w:tabs>
          <w:tab w:leader="none" w:pos="1053"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Release of Documents</w:t>
      </w:r>
      <w:r>
        <w:rPr>
          <w:rFonts w:ascii="Arial" w:cs="Arial" w:eastAsia="Arial" w:hAnsi="Arial"/>
          <w:sz w:val="18"/>
          <w:szCs w:val="18"/>
          <w:color w:val="auto"/>
        </w:rPr>
        <w:t>. Each of Administrative Agent and Lessor hereby agrees that, upon repayment in full of all Rent Assignment</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and Lessor Amount and all other amounts due and owing from Lessee under the Operative Documents to Administrative Agent and the Participants, the Administrative Agent and/or Lessor, as applicable, shall, at Lessee’s sole cost and expense, execute and deliver to the Lessee a bill of sale, release of any Security Instrument, releases of all other Liens created by the Operative Documents and termination statements for any financing statements relating to the Leased Property or any of the Collateral which are then of record naming the Administrative Agent or Lessor, as applicable, as secured party, grantee or assignee thereof.</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083"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Release of Liens</w:t>
      </w:r>
      <w:r>
        <w:rPr>
          <w:rFonts w:ascii="Arial" w:cs="Arial" w:eastAsia="Arial" w:hAnsi="Arial"/>
          <w:sz w:val="18"/>
          <w:szCs w:val="18"/>
          <w:color w:val="auto"/>
        </w:rPr>
        <w:t>. Lessor hereby agrees with Lessee (so long as no Event of Default shall have occurred and be continuing), the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Administrative Agent, except as otherwise expressly authorized or otherwise permitted under any of the Operative Documents, not to release the Lien of any of the Security Instruments on the Collateral.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jc w:val="both"/>
        <w:ind w:firstLine="656"/>
        <w:spacing w:after="0" w:line="263" w:lineRule="auto"/>
        <w:tabs>
          <w:tab w:leader="none" w:pos="108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Specified Tax Abatement Documents</w:t>
      </w:r>
      <w:r>
        <w:rPr>
          <w:rFonts w:ascii="Arial" w:cs="Arial" w:eastAsia="Arial" w:hAnsi="Arial"/>
          <w:sz w:val="18"/>
          <w:szCs w:val="18"/>
          <w:color w:val="auto"/>
        </w:rPr>
        <w:t>. Subject to Section 8.3 of the Lease, the Administrative Agent and the Participants shall cooperate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Lessee in connection with any existing or proposed Specified Tax Abatement Transaction and shall execute and deliver any Specified Tax Abatement Document as may be requested by Lessee from time to time.</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04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Requested Information</w:t>
      </w:r>
      <w:r>
        <w:rPr>
          <w:rFonts w:ascii="Arial" w:cs="Arial" w:eastAsia="Arial" w:hAnsi="Arial"/>
          <w:sz w:val="18"/>
          <w:szCs w:val="18"/>
          <w:color w:val="auto"/>
        </w:rPr>
        <w:t>. From time to time at Lessee’s written request, Lessor shall provide (subject to Section 15.25) Lessee with</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similar to the information provided by Lessor to Lessee on or before the Original Closing Date or on or before the Restatement Date with respect to ownership and control of the Lessor, in any such case, to the extent requested for accounting purposes in connection with the Operative Documents and transactions contemplated hereby and thereby.</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04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Assignment of Leases</w:t>
      </w:r>
      <w:r>
        <w:rPr>
          <w:rFonts w:ascii="Arial" w:cs="Arial" w:eastAsia="Arial" w:hAnsi="Arial"/>
          <w:sz w:val="18"/>
          <w:szCs w:val="18"/>
          <w:color w:val="auto"/>
        </w:rPr>
        <w:t>. Administrative Agent hereby agrees with Lessee, the Participants and Lessor not to sell, transfer, lease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dispose of any Assigned Property (as defined in the Assignment of Leases), except as otherwise expressly authorized or otherwise permitted under any of the Operative Documents.</w:t>
      </w:r>
    </w:p>
    <w:p>
      <w:pPr>
        <w:spacing w:after="0" w:line="183" w:lineRule="exact"/>
        <w:rPr>
          <w:rFonts w:ascii="Arial" w:cs="Arial" w:eastAsia="Arial" w:hAnsi="Arial"/>
          <w:sz w:val="18"/>
          <w:szCs w:val="18"/>
          <w:color w:val="auto"/>
        </w:rPr>
      </w:pPr>
    </w:p>
    <w:p>
      <w:pPr>
        <w:jc w:val="both"/>
        <w:ind w:firstLine="656"/>
        <w:spacing w:after="0" w:line="273" w:lineRule="auto"/>
        <w:tabs>
          <w:tab w:leader="none" w:pos="1083"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Parcel D Ground Lease</w:t>
      </w:r>
      <w:r>
        <w:rPr>
          <w:rFonts w:ascii="Arial" w:cs="Arial" w:eastAsia="Arial" w:hAnsi="Arial"/>
          <w:sz w:val="17"/>
          <w:szCs w:val="17"/>
          <w:color w:val="auto"/>
        </w:rPr>
        <w:t>. Lessor hereby agrees with the Rent Assignees (i) not to amend the Parcel D Ground Lease in any manner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adverse to the Rent Assignees in their capacities as such without the consent of the Required Participants (it being understood that amendments thereto in accordance with Section 12.2 of the Parcel D Ground Lease shall not require the consent of the Required Participants), and (ii) with respect to any claim on behalf of a Participant, as a Lessor Indemnitee (as defined in the Parcel D Ground Lease) under the Parcel D Ground Lease for which the Parcel D Ground Lessee has an obligation to indemnify such Participant pursuant to the Parcel D Ground Lease, to bring such claim (at the written direction of such Participant) under the Guaranty (as defined in the Parcel D Ground Lease).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ESSEE</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 OF</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UIET</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NJOYMENT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anything contained herein to the contrary, the provisions of Section 4.1 of the Lease shall be applicable to the Participants and Administrative Agent under this Participation Agreement and each Participant and Administrative Agent hereby agrees to be bound by the provisions of such Section 4.1 of the Lease and to recognize the Lessee’s rights to purchase the Leased Property as set forth in the Lease.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RANSFERS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ARTICIPANTS</w:t>
      </w:r>
      <w:r>
        <w:rPr>
          <w:rFonts w:ascii="Arial" w:cs="Arial" w:eastAsia="Arial" w:hAnsi="Arial"/>
          <w:sz w:val="18"/>
          <w:szCs w:val="18"/>
          <w:b w:val="1"/>
          <w:bCs w:val="1"/>
          <w:color w:val="auto"/>
        </w:rPr>
        <w:t>’ I</w:t>
      </w:r>
      <w:r>
        <w:rPr>
          <w:rFonts w:ascii="Arial" w:cs="Arial" w:eastAsia="Arial" w:hAnsi="Arial"/>
          <w:sz w:val="12"/>
          <w:szCs w:val="12"/>
          <w:b w:val="1"/>
          <w:bCs w:val="1"/>
          <w:color w:val="auto"/>
        </w:rPr>
        <w:t>NTERESTS</w:t>
      </w:r>
    </w:p>
    <w:p>
      <w:pPr>
        <w:spacing w:after="0" w:line="21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Section 12.1. Assignments</w:t>
      </w:r>
      <w:r>
        <w:rPr>
          <w:rFonts w:ascii="Arial" w:cs="Arial" w:eastAsia="Arial" w:hAnsi="Arial"/>
          <w:sz w:val="16"/>
          <w:szCs w:val="16"/>
          <w:color w:val="auto"/>
        </w:rPr>
        <w:t>. (a) All or any part of the interest of any Rent Assignee in, to or under this Participation Agreement, the other Operative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Documents, the Leased Property or the Rent Assignment Contributions may be assigned or transferred by such Rent Assignee at any time to any Person;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 each such assignment shall be of a constant, and not a varying, percentage of all such rights and obligations under the Rent</w:t>
      </w:r>
      <w:r>
        <w:rPr>
          <w:rFonts w:ascii="Arial" w:cs="Arial" w:eastAsia="Arial" w:hAnsi="Arial"/>
          <w:sz w:val="16"/>
          <w:szCs w:val="16"/>
          <w:i w:val="1"/>
          <w:iCs w:val="1"/>
          <w:color w:val="auto"/>
        </w:rPr>
        <w:t xml:space="preserve"> </w:t>
      </w:r>
      <w:r>
        <w:rPr>
          <w:rFonts w:ascii="Arial" w:cs="Arial" w:eastAsia="Arial" w:hAnsi="Arial"/>
          <w:sz w:val="16"/>
          <w:szCs w:val="16"/>
          <w:color w:val="auto"/>
        </w:rPr>
        <w:t>Assignment Agreement (if applicable to such Rent Assignee); (ii) unless both parties to the assignment are Participants immediately prior to giving effect to the assignment, the amount of the Rent Assignment Contribution of the assigning Rent Assignee being assigned pursuant to each such assignment shall not be less than $5,000,000.00 (or if less, the entire amount of such Rent Assignee’s Rent Assignment Contribution) and shall be an integral multiple of $5,000,000.00 (or the entire amount of such Rent Assignee’s Rent Assignment Contribution), (iii) each such assignment shall be to an Eligible Assignee,</w:t>
      </w:r>
    </w:p>
    <w:p>
      <w:pPr>
        <w:spacing w:after="0" w:line="2" w:lineRule="exact"/>
        <w:rPr>
          <w:sz w:val="20"/>
          <w:szCs w:val="20"/>
          <w:color w:val="auto"/>
        </w:rPr>
      </w:pPr>
    </w:p>
    <w:p>
      <w:pPr>
        <w:jc w:val="both"/>
        <w:ind w:firstLine="8"/>
        <w:spacing w:after="0" w:line="281" w:lineRule="auto"/>
        <w:tabs>
          <w:tab w:leader="none" w:pos="31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Lessor shall have received from the assignee/transferee or the assignor/transferor of a transfer fee in the amount of $1,000.00; (v) each assignee or transferee shall have complied, as of the date of the transfer, with the delivery requirements of Section 12.3(a); (vi) each assignee or transferee shall</w:t>
      </w:r>
    </w:p>
    <w:p>
      <w:pPr>
        <w:spacing w:after="0" w:line="1"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(A) acknowledge in writing, addressed and delivered to each of the parties to this Participation Agreement, that the obligations to be performed by the assignor or transferor from and after the date of such transfer or assignment under this Participation Agreement and all other Operative Documents are its obligations, including the obligations imposed by this Section 12.1(a), the transferor and transferee Rent Assignee shall deliver to the Lessee, the Guarantors, the Administrative Agent and the Lessor an Assignment Agreement, each executed by the assignee or transferee and (B) represent and warrant to Lessor, the Guarantors, the Administrative Agent, each other Participant and the Lessee in writing each of the representations and warranties as set forth in Section 8.1 and that it has the requisite power and authority to accept such assignment or transfer and engage in the Overall Transaction; and (vii) to the extent required in the definition of “Eligible Assignee,” Lessee shall have provided its written consent (not to be unreasonably withheld or delayed) which consent shall not be required during the existence of an Event of Default.</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transfer or assignment made in violation of the above requirements shall not be effective against the other parties to this Participation Agreement until such requirements are satisfied. Lessee shall not be responsible for any costs or expenses in connection with any such sale, assignment or other transfer.</w:t>
      </w:r>
    </w:p>
    <w:p>
      <w:pPr>
        <w:spacing w:after="0" w:line="184" w:lineRule="exact"/>
        <w:rPr>
          <w:sz w:val="20"/>
          <w:szCs w:val="20"/>
          <w:color w:val="auto"/>
        </w:rPr>
      </w:pPr>
    </w:p>
    <w:p>
      <w:pPr>
        <w:jc w:val="both"/>
        <w:ind w:firstLine="656"/>
        <w:spacing w:after="0" w:line="268" w:lineRule="auto"/>
        <w:tabs>
          <w:tab w:leader="none" w:pos="1083"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All or any part of the Lessor Amount and the corresponding interests of the Lessor in, to or under the Leased Property and the other Collateral may be assigned or transferred by the Lessor at any time to any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Lessor shall give written notice of such assignment and the name of the assignee to Lessee; (ii) the assignee or transferee shall be an Eligible Assignee and have complied, as of the date of the transfer, with the delivery requirements of Section 12.3(a); (iii) the assignee or transferee shall (A) acknowledge in writing, addressed and delivered to each of the parties to this Participation Agreement, that the obligations to be performed by the assignor or transferor from and after the date of such transfer or assignment under this Participation Agreement and all other Operative Documents are its obligations, including the obligations imposed by this Section 12.1(b), the transferor and transferee shall deliver to the Lessee, the Guarantors, the Administrative Agent and the Lessor an Assignment Agreement, each executed by the assignee or transferee) and (B) represent and warrant to Lessor, the Guarantors, Administrative Agent and the Lessee in writing each of the representations and warranties as set forth in Section 8.1 and that it has the requisite power and authority to accept such assignment or transfer and to engage in the Overall Transaction; (iv) to the extent required in the definition of “Eligible Assignee,” Lessee shall have provided its written consent (not to be unreasonably withheld or delayed) which consent shall not be required during the existence of an Event of Default; and (v) unless the assignee to the assignment is a Lessor immediately prior to giving effect to the assignment, the amount of the Lessor Amount being assigned pursuant to such assignment shall not be less than $25,000,000.00 (or if less, the entire amount of the Lessor Amount) and shall be an integral multiple of $5,000,000.00 (or the Lessor Amount).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6"/>
          <w:szCs w:val="16"/>
          <w:color w:val="auto"/>
        </w:rPr>
        <w:t>Notwithstanding anything contained in the foregoing to the contrary, so long as no Event of Default exists, such assignment shall not be made if</w:t>
      </w:r>
    </w:p>
    <w:p>
      <w:pPr>
        <w:spacing w:after="0" w:line="46" w:lineRule="exact"/>
        <w:rPr>
          <w:sz w:val="20"/>
          <w:szCs w:val="20"/>
          <w:color w:val="auto"/>
        </w:rPr>
      </w:pPr>
    </w:p>
    <w:p>
      <w:pPr>
        <w:jc w:val="both"/>
        <w:ind w:firstLine="8"/>
        <w:spacing w:after="0" w:line="286" w:lineRule="auto"/>
        <w:tabs>
          <w:tab w:leader="none" w:pos="256"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reasonable opinion of Lessee, such assignment would cause Lessee to lose or fail to achieve any accounting benefits in connection with the Lease and (2) Lessee provides the Administrative Agent and the Lessor written notice of such determination within ten (10) Business Days of (A) Lessee’s receipt of the notice described in clause (i) of the immediately preceding paragraph and (B) Lessee’s receipt of all information needed regarding the proposed assignee as may be reasonably requested by Lessee or Lessee’s independent public accountants, which request shall be made within ten (10) Business Days after Lessee’s receipt of the notice described in clause (i) of the immediately preceding paragraph. In the event Lessee has objected in writing to the proposed assignee above, Lessee hereby agrees to use commercially reasonably efforts to cooperate with Lessor to restructure the proposed assignment or with Lessor’s efforts to find a replacement assignee which shall be an Eligible Assignee and which shall comply with the terms and conditions set forth above and to which Lessee shall not have objected in writing pursuant to the terms hereof. The parties hereto and any such assignee will execute such documents and make such filings and recordings as are reasonably requested by the Lessor or the Administrative Agent to maintain the interests of the parties, preserve, protect and perfect the interest of Administrative Agent and Lessor in the Leased Property and other Collateral.</w:t>
      </w:r>
    </w:p>
    <w:p>
      <w:pPr>
        <w:spacing w:after="0" w:line="16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transfer or assignment made in violation of the above requirements shall not be effective against the other parties to this Participation Agreement until such requirements are satisfied.</w:t>
      </w:r>
    </w:p>
    <w:p>
      <w:pPr>
        <w:spacing w:after="0" w:line="170" w:lineRule="exact"/>
        <w:rPr>
          <w:sz w:val="20"/>
          <w:szCs w:val="20"/>
          <w:color w:val="auto"/>
        </w:rPr>
      </w:pPr>
    </w:p>
    <w:p>
      <w:pPr>
        <w:jc w:val="both"/>
        <w:ind w:firstLine="656"/>
        <w:spacing w:after="0" w:line="254" w:lineRule="auto"/>
        <w:tabs>
          <w:tab w:leader="none" w:pos="10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Administrative Agent, acting solely for this purpose as an agent of the Lessee, shall maintain at one of its offices a copy of each Assignment Agreement delivered to it and a register for the recordation of the names and addresses of the Participants, and the Commitments of, and principal amounts (and stated interest) of the amounts owing to, each Participant pursuant to the terms hereof from time to time under this Participation Agreement or the other Operative Documents and the Collateral (including, without limitation, all or portion of the Rent owing to it) (the </w:t>
      </w:r>
      <w:r>
        <w:rPr>
          <w:rFonts w:ascii="Arial" w:cs="Arial" w:eastAsia="Arial" w:hAnsi="Arial"/>
          <w:sz w:val="18"/>
          <w:szCs w:val="18"/>
          <w:i w:val="1"/>
          <w:iCs w:val="1"/>
          <w:color w:val="auto"/>
        </w:rPr>
        <w:t>“Register”</w:t>
      </w:r>
      <w:r>
        <w:rPr>
          <w:rFonts w:ascii="Arial" w:cs="Arial" w:eastAsia="Arial" w:hAnsi="Arial"/>
          <w:sz w:val="18"/>
          <w:szCs w:val="18"/>
          <w:color w:val="auto"/>
        </w:rPr>
        <w:t>). The entries in the Register shall be conclusive absent manifest error, and the Lessee, the Administrative Agent and the Participants shall treat each Person whose name is recorded in the Register pursuant to the terms hereof as a Participant hereunder for all purposes of this Participation Agreement and the other Operative Documents. The Register shall be available for inspection by the Lessee and any Participant, at any reasonable time and from time to time upon reasonable prior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ind w:firstLine="324"/>
        <w:spacing w:after="0" w:line="279" w:lineRule="auto"/>
        <w:rPr>
          <w:sz w:val="20"/>
          <w:szCs w:val="20"/>
          <w:color w:val="auto"/>
        </w:rPr>
      </w:pPr>
      <w:r>
        <w:rPr>
          <w:rFonts w:ascii="Arial" w:cs="Arial" w:eastAsia="Arial" w:hAnsi="Arial"/>
          <w:sz w:val="17"/>
          <w:szCs w:val="17"/>
          <w:i w:val="1"/>
          <w:iCs w:val="1"/>
          <w:color w:val="auto"/>
        </w:rPr>
        <w:t>Section 12.2. Participations</w:t>
      </w:r>
      <w:r>
        <w:rPr>
          <w:rFonts w:ascii="Arial" w:cs="Arial" w:eastAsia="Arial" w:hAnsi="Arial"/>
          <w:sz w:val="17"/>
          <w:szCs w:val="17"/>
          <w:color w:val="auto"/>
        </w:rPr>
        <w:t>. Notwithstanding Section 12.1, any Participant may at any time sell to one or more commercial banks or other Persons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of such commercial banks and other Persons being herein called a </w:t>
      </w:r>
      <w:r>
        <w:rPr>
          <w:rFonts w:ascii="Arial" w:cs="Arial" w:eastAsia="Arial" w:hAnsi="Arial"/>
          <w:sz w:val="17"/>
          <w:szCs w:val="17"/>
          <w:i w:val="1"/>
          <w:iCs w:val="1"/>
          <w:color w:val="auto"/>
        </w:rPr>
        <w:t>“Sub-Participant”</w:t>
      </w:r>
      <w:r>
        <w:rPr>
          <w:rFonts w:ascii="Arial" w:cs="Arial" w:eastAsia="Arial" w:hAnsi="Arial"/>
          <w:sz w:val="17"/>
          <w:szCs w:val="17"/>
          <w:color w:val="auto"/>
        </w:rPr>
        <w:t xml:space="preserve">) participating interests in all or a portion of its rights and obligations under this Participation Agreement or the other Operative Documents and the Collateral (including, without limitation, all or portion of the Rent owing to it) without the prior consent of the Lessee or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171" w:lineRule="exact"/>
        <w:rPr>
          <w:sz w:val="20"/>
          <w:szCs w:val="20"/>
          <w:color w:val="auto"/>
        </w:rPr>
      </w:pPr>
    </w:p>
    <w:p>
      <w:pPr>
        <w:ind w:left="660" w:firstLine="644"/>
        <w:spacing w:after="0" w:line="277" w:lineRule="auto"/>
        <w:tabs>
          <w:tab w:leader="none" w:pos="17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participation contemplated in this Section 12.2 shall relieve such Participant from its obligations hereunder or under any other Operative Document;</w:t>
      </w:r>
    </w:p>
    <w:p>
      <w:pPr>
        <w:spacing w:after="0" w:line="170" w:lineRule="exact"/>
        <w:rPr>
          <w:rFonts w:ascii="Arial" w:cs="Arial" w:eastAsia="Arial" w:hAnsi="Arial"/>
          <w:sz w:val="18"/>
          <w:szCs w:val="18"/>
          <w:color w:val="auto"/>
        </w:rPr>
      </w:pPr>
    </w:p>
    <w:p>
      <w:pPr>
        <w:ind w:left="660" w:firstLine="644"/>
        <w:spacing w:after="0" w:line="277" w:lineRule="auto"/>
        <w:tabs>
          <w:tab w:leader="none" w:pos="17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Participant shall remain solely responsible for the performance of its Commitment and such other obligations hereunder and under any Operative Documents;</w:t>
      </w:r>
    </w:p>
    <w:p>
      <w:pPr>
        <w:spacing w:after="0" w:line="170" w:lineRule="exact"/>
        <w:rPr>
          <w:rFonts w:ascii="Arial" w:cs="Arial" w:eastAsia="Arial" w:hAnsi="Arial"/>
          <w:sz w:val="18"/>
          <w:szCs w:val="18"/>
          <w:color w:val="auto"/>
        </w:rPr>
      </w:pPr>
    </w:p>
    <w:p>
      <w:pPr>
        <w:ind w:left="660" w:right="20" w:firstLine="644"/>
        <w:spacing w:after="0" w:line="308" w:lineRule="auto"/>
        <w:tabs>
          <w:tab w:leader="none" w:pos="173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Lessee, Lessor and the Administrative Agent shall continue to deal solely and directly with such Participant in connection with such Participant’s rights and obligations under this Participation Agreement and each of the other Operative Documents;</w:t>
      </w:r>
    </w:p>
    <w:p>
      <w:pPr>
        <w:spacing w:after="0" w:line="146" w:lineRule="exact"/>
        <w:rPr>
          <w:rFonts w:ascii="Arial" w:cs="Arial" w:eastAsia="Arial" w:hAnsi="Arial"/>
          <w:sz w:val="17"/>
          <w:szCs w:val="17"/>
          <w:color w:val="auto"/>
        </w:rPr>
      </w:pPr>
    </w:p>
    <w:p>
      <w:pPr>
        <w:ind w:left="660" w:firstLine="644"/>
        <w:spacing w:after="0" w:line="308" w:lineRule="auto"/>
        <w:tabs>
          <w:tab w:leader="none" w:pos="17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Sub-Participant shall be entitled to require such Rent Assignee to take or refrain from taking any action hereunder or under any other Operative Document, except for matters requiring consent of all Participants or, as applicable, all Rent Assignees; and</w:t>
      </w:r>
    </w:p>
    <w:p>
      <w:pPr>
        <w:spacing w:after="0" w:line="146" w:lineRule="exact"/>
        <w:rPr>
          <w:rFonts w:ascii="Arial" w:cs="Arial" w:eastAsia="Arial" w:hAnsi="Arial"/>
          <w:sz w:val="17"/>
          <w:szCs w:val="17"/>
          <w:color w:val="auto"/>
        </w:rPr>
      </w:pPr>
    </w:p>
    <w:p>
      <w:pPr>
        <w:ind w:left="660" w:firstLine="644"/>
        <w:spacing w:after="0" w:line="277" w:lineRule="auto"/>
        <w:tabs>
          <w:tab w:leader="none" w:pos="17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Lessee shall not be required to pay any amount under this Participation Agreement that is greater than the amount which it would have been required to pay had no participating interest been sold.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Each Participant that sells a participation shall, acting solely for this purpose as a non-fiduciary agent of the Lessee, maintain a register on which it enters the name and address of each Sub-Participant and the principal amounts (and stated interest) of each Sub-Participant’s interest in this Participation Agreement or the other Operative Documents and the Collateral (including, without limitation, all or portion of the Rent owing to it) (the </w:t>
      </w:r>
      <w:r>
        <w:rPr>
          <w:rFonts w:ascii="Arial" w:cs="Arial" w:eastAsia="Arial" w:hAnsi="Arial"/>
          <w:sz w:val="17"/>
          <w:szCs w:val="17"/>
          <w:i w:val="1"/>
          <w:iCs w:val="1"/>
          <w:color w:val="auto"/>
        </w:rPr>
        <w:t>“Sub-Participant</w:t>
      </w:r>
      <w:r>
        <w:rPr>
          <w:rFonts w:ascii="Arial" w:cs="Arial" w:eastAsia="Arial" w:hAnsi="Arial"/>
          <w:sz w:val="17"/>
          <w:szCs w:val="17"/>
          <w:color w:val="auto"/>
        </w:rPr>
        <w:t xml:space="preserve"> </w:t>
      </w:r>
      <w:r>
        <w:rPr>
          <w:rFonts w:ascii="Arial" w:cs="Arial" w:eastAsia="Arial" w:hAnsi="Arial"/>
          <w:sz w:val="17"/>
          <w:szCs w:val="17"/>
          <w:i w:val="1"/>
          <w:iCs w:val="1"/>
          <w:color w:val="auto"/>
        </w:rPr>
        <w:t>Register”</w:t>
      </w:r>
      <w:r>
        <w:rPr>
          <w:rFonts w:ascii="Arial" w:cs="Arial" w:eastAsia="Arial" w:hAnsi="Arial"/>
          <w:sz w:val="17"/>
          <w:szCs w:val="17"/>
          <w:color w:val="auto"/>
        </w:rPr>
        <w:t>);</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no Participant shall have any obligation to disclose all or any portion of the Sub-Participant Register (including the identity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Sub-Participant or any information relating to a Participant’s interest in any commitments, loans, letters of credit or its other obligations under this Participation Agreement or the other Operative Documents and the Collateral (including, without limitation, all or portion of the Rent owing to it)) to any Person except to the extent that such disclosure is necessary to establish that such interest is in registered form under Section 5f.103-1(c) of the United States Treasury Regulations. The entries in the Sub-Participant Register shall be conclusive absent manifest error, and such Participant shall treat each Person whose name is recorded in the Sub-Participant Register as the owner of such participation for all purposes of this Participation Agreement and the other Operative Documents notwithstanding any notice to the contrary. For the avoidance of doubt, the Administrative Agent (in its capacity as Administrative Agent) shall have no responsibility for maintaining a Sub-Participant Register.</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Section 12.3. Withholding Taxes; Disclosure of Information; Pledge Under Regulation A</w:t>
      </w:r>
      <w:r>
        <w:rPr>
          <w:rFonts w:ascii="Arial" w:cs="Arial" w:eastAsia="Arial" w:hAnsi="Arial"/>
          <w:sz w:val="17"/>
          <w:szCs w:val="17"/>
          <w:color w:val="auto"/>
        </w:rPr>
        <w:t xml:space="preserve">. (a) If any Participant and any assignee or, or Sub-Participant in, any Rent Assignment Contribution or Lessor Amount (each such assignee or Participant, a </w:t>
      </w:r>
      <w:r>
        <w:rPr>
          <w:rFonts w:ascii="Arial" w:cs="Arial" w:eastAsia="Arial" w:hAnsi="Arial"/>
          <w:sz w:val="17"/>
          <w:szCs w:val="17"/>
          <w:i w:val="1"/>
          <w:iCs w:val="1"/>
          <w:color w:val="auto"/>
        </w:rPr>
        <w:t>“Recipient”</w:t>
      </w:r>
      <w:r>
        <w:rPr>
          <w:rFonts w:ascii="Arial" w:cs="Arial" w:eastAsia="Arial" w:hAnsi="Arial"/>
          <w:sz w:val="17"/>
          <w:szCs w:val="17"/>
          <w:color w:val="auto"/>
        </w:rPr>
        <w:t>) is organized under the laws of the United States of America or any State thereof, then such Recipient shall (i) furnish to the Lessor, the Administrative Agent and the Lessee in duplicate, for each taxable year of Recipient during the Term, a properly completed and executed Internal Revenue Service Form W-9 and any additional form (or such other form) as is necessary to claim complete exemption from United States withholding taxes on all payments hereunder, and (ii) provide to the Lessor, the Administrative Agent, the Guarantors and the Lessee a new Internal Revenue Service Form W-9 and any such additional form (or other such form) upon the expiration or obsolescence of any previously delivered form in accordance with applicable United States laws and regulations duly executed and completed by the Lessor or Recipient, as the case may be.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left="1100" w:hanging="444"/>
        <w:spacing w:after="0"/>
        <w:tabs>
          <w:tab w:leader="none" w:pos="11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any Recipient is organized under the laws of any jurisdiction other than the United States or any State thereof, then the Recipient shall</w:t>
      </w:r>
    </w:p>
    <w:p>
      <w:pPr>
        <w:spacing w:after="0" w:line="46" w:lineRule="exact"/>
        <w:rPr>
          <w:rFonts w:ascii="Arial" w:cs="Arial" w:eastAsia="Arial" w:hAnsi="Arial"/>
          <w:sz w:val="16"/>
          <w:szCs w:val="16"/>
          <w:color w:val="auto"/>
        </w:rPr>
      </w:pPr>
    </w:p>
    <w:p>
      <w:pPr>
        <w:jc w:val="both"/>
        <w:ind w:firstLine="8"/>
        <w:spacing w:after="0" w:line="281" w:lineRule="auto"/>
        <w:tabs>
          <w:tab w:leader="none" w:pos="238" w:val="left"/>
        </w:tabs>
        <w:numPr>
          <w:ilvl w:val="0"/>
          <w:numId w:val="48"/>
        </w:numPr>
        <w:rPr>
          <w:rFonts w:ascii="Arial" w:cs="Arial" w:eastAsia="Arial" w:hAnsi="Arial"/>
          <w:sz w:val="16"/>
          <w:szCs w:val="16"/>
          <w:color w:val="auto"/>
        </w:rPr>
      </w:pPr>
      <w:r>
        <w:rPr>
          <w:rFonts w:ascii="Arial" w:cs="Arial" w:eastAsia="Arial" w:hAnsi="Arial"/>
          <w:sz w:val="16"/>
          <w:szCs w:val="16"/>
          <w:color w:val="auto"/>
        </w:rPr>
        <w:t>furnish to the Lessor, the Administrative Agent, the Guarantors and the Lessee in duplicate, for each taxable year of Recipient during the Term, a properly completed and executed Internal Revenue Service Form W-8 ECI, Internal Revenue Service Form W-8 BEN-E or Internal Revenue Service Form W-8 IMY, as applicable, and any additional form (or such other form) as is necessary to benefit from complete exemption from United States withholding taxes on all payments hereunder, (ii) provide to the Lessor, the Administrative Agent, the Guarantors and the Lessee a new Internal Revenue Service Form W-8 ECI, Internal Revenue Service Form W-8 BEN-E or Internal Revenue Service Form W-8 IMY, as applicable, and any such additional form (or such other form) upon the expiration or obsolescence of any previously delivered form duly executed and completed by such Recipient, and</w:t>
      </w:r>
    </w:p>
    <w:p>
      <w:pPr>
        <w:spacing w:after="0" w:line="3" w:lineRule="exact"/>
        <w:rPr>
          <w:rFonts w:ascii="Arial" w:cs="Arial" w:eastAsia="Arial" w:hAnsi="Arial"/>
          <w:sz w:val="16"/>
          <w:szCs w:val="16"/>
          <w:color w:val="auto"/>
        </w:rPr>
      </w:pPr>
    </w:p>
    <w:p>
      <w:pPr>
        <w:ind w:firstLine="8"/>
        <w:spacing w:after="0" w:line="260" w:lineRule="auto"/>
        <w:tabs>
          <w:tab w:leader="none" w:pos="3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comply at all times with all applicable United States laws and regulations and all provisions of any applicable tax treaty with regard to such withholding tax exemption.</w:t>
      </w:r>
    </w:p>
    <w:p>
      <w:pPr>
        <w:spacing w:after="0" w:line="185" w:lineRule="exact"/>
        <w:rPr>
          <w:rFonts w:ascii="Arial" w:cs="Arial" w:eastAsia="Arial" w:hAnsi="Arial"/>
          <w:sz w:val="18"/>
          <w:szCs w:val="18"/>
          <w:color w:val="auto"/>
        </w:rPr>
      </w:pPr>
    </w:p>
    <w:p>
      <w:pPr>
        <w:jc w:val="both"/>
        <w:ind w:firstLine="656"/>
        <w:spacing w:after="0" w:line="286" w:lineRule="auto"/>
        <w:tabs>
          <w:tab w:leader="none" w:pos="1072" w:val="left"/>
        </w:tabs>
        <w:numPr>
          <w:ilvl w:val="1"/>
          <w:numId w:val="49"/>
        </w:numPr>
        <w:rPr>
          <w:rFonts w:ascii="Arial" w:cs="Arial" w:eastAsia="Arial" w:hAnsi="Arial"/>
          <w:sz w:val="17"/>
          <w:szCs w:val="17"/>
          <w:color w:val="auto"/>
        </w:rPr>
      </w:pPr>
      <w:r>
        <w:rPr>
          <w:rFonts w:ascii="Arial" w:cs="Arial" w:eastAsia="Arial" w:hAnsi="Arial"/>
          <w:sz w:val="17"/>
          <w:szCs w:val="17"/>
          <w:color w:val="auto"/>
        </w:rPr>
        <w:t>By its acceptance of an assignment of or participation in the interests, in whole or in part, of any Participant under this Participation Agreement, each assignee or Sub-Participant shall be deemed bound by the provisions set forth in this Article XII and to represent on the date it becomes a Recipient, that it is entitled to complete exemption from United States withholding taxes on all payments hereunder.</w:t>
      </w:r>
    </w:p>
    <w:p>
      <w:pPr>
        <w:spacing w:after="0" w:line="165" w:lineRule="exact"/>
        <w:rPr>
          <w:rFonts w:ascii="Arial" w:cs="Arial" w:eastAsia="Arial" w:hAnsi="Arial"/>
          <w:sz w:val="17"/>
          <w:szCs w:val="17"/>
          <w:color w:val="auto"/>
        </w:rPr>
      </w:pPr>
    </w:p>
    <w:p>
      <w:pPr>
        <w:jc w:val="both"/>
        <w:ind w:firstLine="656"/>
        <w:spacing w:after="0" w:line="263" w:lineRule="auto"/>
        <w:tabs>
          <w:tab w:leader="none" w:pos="1083"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Subject to Section 15.14 hereof, the Administrative Agent or any Participant may, in connection with any assignment, participation or proposed assignment or participation permitted pursuant to this Article XII, disclose to the Recipient or proposed Recipient any information relating to the Lessee.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Anything in this Article XII to the contrary notwithstanding, any Participant may, without the consent of the Lessee, assign and pledge all or any portion of its interest in the Rent Assignment Contributions or this Participation Agreement to any Federal Reserve Bank as collateral security pursuant to Regulation A of the F.R.S. Board.</w:t>
      </w:r>
    </w:p>
    <w:p>
      <w:pPr>
        <w:spacing w:after="0" w:line="183" w:lineRule="exact"/>
        <w:rPr>
          <w:rFonts w:ascii="Arial" w:cs="Arial" w:eastAsia="Arial" w:hAnsi="Arial"/>
          <w:sz w:val="18"/>
          <w:szCs w:val="18"/>
          <w:color w:val="auto"/>
        </w:rPr>
      </w:pPr>
    </w:p>
    <w:p>
      <w:pPr>
        <w:jc w:val="both"/>
        <w:ind w:firstLine="656"/>
        <w:spacing w:after="0" w:line="271" w:lineRule="auto"/>
        <w:tabs>
          <w:tab w:leader="none" w:pos="1053" w:val="left"/>
        </w:tabs>
        <w:numPr>
          <w:ilvl w:val="1"/>
          <w:numId w:val="49"/>
        </w:numPr>
        <w:rPr>
          <w:rFonts w:ascii="Arial" w:cs="Arial" w:eastAsia="Arial" w:hAnsi="Arial"/>
          <w:sz w:val="17"/>
          <w:szCs w:val="17"/>
          <w:color w:val="auto"/>
        </w:rPr>
      </w:pPr>
      <w:r>
        <w:rPr>
          <w:rFonts w:ascii="Arial" w:cs="Arial" w:eastAsia="Arial" w:hAnsi="Arial"/>
          <w:sz w:val="17"/>
          <w:szCs w:val="17"/>
          <w:color w:val="auto"/>
        </w:rPr>
        <w:t>If a payment made to a Participant under any Operative Document would be subject to U.S. federal withholding Tax imposed by FATCA if such Participant were to fail to comply with the applicable reporting requirements of FATCA (including those contained in Section 1471(b) or 1472(b) of the Code, as applicable), such Participant shall deliver to the Lessee and the Administrative Agent at the time or times prescribed by law and at such time or times reasonably requested by the Lessee or the Administrative Agent such documentation prescribed by applicable law (including as prescribed by Section 1471(b)(3)(C)(i) of the Code) and such additional documentation reasonably requested by the Lessee or the Administrative Agent as may be necessary for the Lessee and the Administrative Agent to comply with their obligations under FATCA and to determine that such Participant has complied with such Participant’s obligations under FATCA or to determine the amount to deduct and withhold from such payment. Solely for purposes of this clause (f), “FATCA” shall include any amendments made to FATCA after the Restatement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NDEMNIFICATION</w:t>
      </w:r>
    </w:p>
    <w:p>
      <w:pPr>
        <w:spacing w:after="0" w:line="211"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i w:val="1"/>
          <w:iCs w:val="1"/>
          <w:color w:val="auto"/>
        </w:rPr>
        <w:t>Section 13.1.</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93" w:lineRule="auto"/>
        <w:tabs>
          <w:tab w:leader="none" w:pos="1072"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General Indemnification</w:t>
      </w:r>
      <w:r>
        <w:rPr>
          <w:rFonts w:ascii="Arial" w:cs="Arial" w:eastAsia="Arial" w:hAnsi="Arial"/>
          <w:sz w:val="16"/>
          <w:szCs w:val="16"/>
          <w:color w:val="auto"/>
        </w:rPr>
        <w:t>. Without limitation on the rights of any Indemnitee under any other indemnification set forth in this Article XIII,</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or not any of the transactions contemplated hereby shall be consummated, Lessee shall pay and assume liability for, and does hereby agree to indemnify, protect, defend, save and keep harmless each General Indemnitee from and against any and all Claims that may be imposed on, incurred by or asserted against such General Indemnitee (whether because of action or omission by such General Indemnitee), whether or not such Claim is covered by any other indemnification under this Article XIII or such General Indemnitee shall also be indemnified as to any such Claim by any other Person, and whether or not such Claim arises or accrues after the Expiration Date, in each case under this Section 13.1(a), arising out of or in any way relating to:</w:t>
      </w:r>
    </w:p>
    <w:p>
      <w:pPr>
        <w:spacing w:after="0" w:line="164" w:lineRule="exact"/>
        <w:rPr>
          <w:rFonts w:ascii="Arial" w:cs="Arial" w:eastAsia="Arial" w:hAnsi="Arial"/>
          <w:sz w:val="16"/>
          <w:szCs w:val="16"/>
          <w:color w:val="auto"/>
        </w:rPr>
      </w:pPr>
    </w:p>
    <w:p>
      <w:pPr>
        <w:ind w:left="660" w:firstLine="644"/>
        <w:spacing w:after="0" w:line="277" w:lineRule="auto"/>
        <w:tabs>
          <w:tab w:leader="none" w:pos="1743"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of the Operative Documents, any of the transactions contemplated thereby or any investigation, litigation or proceeding in connection therewith, and any amendment, modification or waiver in respect thereof;</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Leased Property, or any part thereof or interest therein;</w:t>
      </w:r>
    </w:p>
    <w:p>
      <w:pPr>
        <w:spacing w:after="0" w:line="225" w:lineRule="exact"/>
        <w:rPr>
          <w:rFonts w:ascii="Arial" w:cs="Arial" w:eastAsia="Arial" w:hAnsi="Arial"/>
          <w:sz w:val="18"/>
          <w:szCs w:val="18"/>
          <w:color w:val="auto"/>
        </w:rPr>
      </w:pPr>
    </w:p>
    <w:p>
      <w:pPr>
        <w:jc w:val="both"/>
        <w:ind w:left="660" w:firstLine="644"/>
        <w:spacing w:after="0" w:line="283" w:lineRule="auto"/>
        <w:tabs>
          <w:tab w:leader="none" w:pos="1743"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purchase, manufacturing, mortgaging, design, construction, preparation, installation, inspection, delivery, non-delivery, acceptance, rejection, purchase, ownership, possession, rental, lease, sublease, repossession, maintenance, repair, alteration, modification, addition or substitution, storage, transfer of title, redelivery, use, financing, refinancing, operation, condition, sale (including, without limitation, any sale or other transfer pursuant to Sections 15.1 or 16.2 of the Lease or any sale or transfer pursuant to Articles XVIII, XX or XXI of the Lease), return or other disposition of all or any part of any interest in the Leased Property or the Site or the imposition of any Lien (or incurring of any liability to refund or pay over any amount as a result of any Lien) thereon, including, without limitation: (i) Claims or penalties arising under the Purchase Agreement or any other agreements or obligations relating to the acquisition of the Site or from any violation of law or in tort (strict liability or otherwise) by Lessee, Administrative Agent, Lessor, any Participant or any other Person or with respect to the use, operation or maintenance of the Leased Property or the Site, (ii) loss of or damage to the environment (including, without limitation, investigation costs, cleanup costs, response costs, remediation and removal costs, costs of corrective action, costs of financial assurance, and all other damages, costs, fees and expenses, fines and penalties, including natural resource damages), or death or injury to any Person, and all expenses associated with the protection of wildlife, aquatic species, vegetation, flora and fauna, and any mitigating action required by or under any Environmental Laws,</w:t>
      </w:r>
    </w:p>
    <w:p>
      <w:pPr>
        <w:spacing w:after="0" w:line="2" w:lineRule="exact"/>
        <w:rPr>
          <w:rFonts w:ascii="Arial" w:cs="Arial" w:eastAsia="Arial" w:hAnsi="Arial"/>
          <w:sz w:val="16"/>
          <w:szCs w:val="16"/>
          <w:color w:val="auto"/>
        </w:rPr>
      </w:pPr>
    </w:p>
    <w:p>
      <w:pPr>
        <w:jc w:val="both"/>
        <w:ind w:left="660" w:hanging="4"/>
        <w:spacing w:after="0" w:line="290" w:lineRule="auto"/>
        <w:tabs>
          <w:tab w:leader="none" w:pos="9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Claim resulting from or related to latent or other defects in the Leased Property, whether or not discoverable, (iv) any Claims resulting from the existence or Release of any Hazardous Substance at or from the Leased Property or the Site, (v) any Claim resulting from or related to the purchase, acquisition, lease or transfer of the Leased Property, (vi) any Claim based upon a violation or alleged violation of the terms of any restriction, easement, condition or covenant or other matter affecting title to the Leased Property or the Site, (vii) the making of any Modifications in violation of any standards imposed by any insurance policies required to be maintained by the Lessee pursuant to the Lease which are in effect at any time with respect to the Leased Property or the Site or any part thereof, or (viii) any Claim for patent, trademark or copyright infringement;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left="660" w:firstLine="644"/>
        <w:spacing w:after="0" w:line="277" w:lineRule="auto"/>
        <w:tabs>
          <w:tab w:leader="none" w:pos="17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offer, issuance, sale, transfer or delivery of the Rent Assignment Contributions or Lessor Amount in accordance with the terms of this Participation Agreement;</w:t>
      </w:r>
    </w:p>
    <w:p>
      <w:pPr>
        <w:spacing w:after="0" w:line="170" w:lineRule="exact"/>
        <w:rPr>
          <w:rFonts w:ascii="Arial" w:cs="Arial" w:eastAsia="Arial" w:hAnsi="Arial"/>
          <w:sz w:val="18"/>
          <w:szCs w:val="18"/>
          <w:color w:val="auto"/>
        </w:rPr>
      </w:pPr>
    </w:p>
    <w:p>
      <w:pPr>
        <w:ind w:left="660" w:firstLine="644"/>
        <w:spacing w:after="0" w:line="277" w:lineRule="auto"/>
        <w:tabs>
          <w:tab w:leader="none" w:pos="17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inaccuracy of any representation or warranty made by Lessee or any of its Subsidiaries in any Operative Document or any certificate delivered by it with respect to any of the Operative Documents;</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transactions contemplated hereby or by any other Operative Document, in respect of the application of Parts 4 and 5 of Subtitle B of Title I of ERISA and any prohibited transaction described in Section 4975(c) of the Code other than as a result of a breach of the representation set forth in Section 8.1(d) hereof;</w:t>
      </w:r>
    </w:p>
    <w:p>
      <w:pPr>
        <w:spacing w:after="0" w:line="183" w:lineRule="exact"/>
        <w:rPr>
          <w:rFonts w:ascii="Arial" w:cs="Arial" w:eastAsia="Arial" w:hAnsi="Arial"/>
          <w:sz w:val="18"/>
          <w:szCs w:val="18"/>
          <w:color w:val="auto"/>
        </w:rPr>
      </w:pPr>
    </w:p>
    <w:p>
      <w:pPr>
        <w:ind w:left="660" w:firstLine="644"/>
        <w:spacing w:after="0" w:line="277" w:lineRule="auto"/>
        <w:tabs>
          <w:tab w:leader="none" w:pos="17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retaining or employment of any broker, finder or financial advisor by the Lessee to act on its behalf in connection with this Participation Agreement;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agreement entered into or assumed by Lessee or its Affiliate in connection with the Leased Property (including, in connection with each of the matters described in this Section 13.1 to which this indemnity shall apply, matters based on or arising from the negligence of any Participant Indemnitee or any General Indemnitee).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expressly understood and agreed that the indemnities provided for herein shall, except as otherwise provided herein, (i) survive the expiration or termination of and shall be separate and independent from any remedy under the Lease or any other Operative Document and (ii) continue to benefit a Participant that has been replaced pursuant to Section 14.9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jc w:val="both"/>
        <w:ind w:firstLine="656"/>
        <w:spacing w:after="0" w:line="269" w:lineRule="auto"/>
        <w:tabs>
          <w:tab w:leader="none" w:pos="1083"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Exclusions from Indemnities</w:t>
      </w:r>
      <w:r>
        <w:rPr>
          <w:rFonts w:ascii="Arial" w:cs="Arial" w:eastAsia="Arial" w:hAnsi="Arial"/>
          <w:sz w:val="17"/>
          <w:szCs w:val="17"/>
          <w:color w:val="auto"/>
        </w:rPr>
        <w:t>. Notwithstanding the foregoing provisions of this Article XIII, Lessee shall not be obligated to indemnify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General Indemnitee under Section 13.1 and Lessor shall not be required to indemnify a Participant Indemnitee under Section 13.1(a) for any Claim to the extent that such Claim is attributable to: (i) criminal acts or the gross negligence or willful misconduct of such Indemnitee, as determined by a court of competent jurisdiction in a final, non-appealable judgment; (ii) the breach by such Indemnitee of its representations and warranties in Section 8.1 or 8.3, as the case may be, or the breach by such Indemnitee of its covenants as set forth in this Participation Agreement or in any other Operative Document to which such Indemnitee is a party; (iii) any Claim resulting from the imposition of any Lessor Lien which such Indemnitee is responsible for discharging under the Operative Documents; (iv) acts occurring with respect to the Leased Property after any sale or taking possession pursuant to Section 16.2 of the Lease; or (v) acts occurring after the expiration or earlier termination of the Term, but, in the case of this clause (v), only to the extent not attributable to, relating to, or arising from, the Lessor’s ownership interests in the Leased Property);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in the foregoing clauses shall be deemed to exclude or limit any (x) Claim that Lessor or any Participant Indemnitee may have under any Operative Document or Applicable Laws for damages from the Lessee for breach by Lessee or the Guarantors of its representations or warranties made by it in any Operative Document or (y) any remedy under or right to damages pursuant to Article XVI of the Lease.</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Section 13.2. Nonconformance</w:t>
      </w:r>
      <w:r>
        <w:rPr>
          <w:rFonts w:ascii="Arial" w:cs="Arial" w:eastAsia="Arial" w:hAnsi="Arial"/>
          <w:sz w:val="17"/>
          <w:szCs w:val="17"/>
          <w:color w:val="auto"/>
        </w:rPr>
        <w:t>. If (a) Lessee elects the Sale Option, an Event of Default occurs, or Lessee returns the Leased Property to Lessor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Administrative Agent and (b) after paying to Lessor, for the benefit of the Participants, any amounts then due under the Operative Documents (including the Sale Option Recourse Amount), the Lease Balance shall not have been reduced to zero (0), then Lessee shall promptly pay no later than the earlier of Expiration Date and the date which is thirty (30) days following the delivery of the report described below, an amount (the </w:t>
      </w:r>
      <w:r>
        <w:rPr>
          <w:rFonts w:ascii="Arial" w:cs="Arial" w:eastAsia="Arial" w:hAnsi="Arial"/>
          <w:sz w:val="17"/>
          <w:szCs w:val="17"/>
          <w:i w:val="1"/>
          <w:iCs w:val="1"/>
          <w:color w:val="auto"/>
        </w:rPr>
        <w:t>“Nonconformance Amount”</w:t>
      </w:r>
      <w:r>
        <w:rPr>
          <w:rFonts w:ascii="Arial" w:cs="Arial" w:eastAsia="Arial" w:hAnsi="Arial"/>
          <w:sz w:val="17"/>
          <w:szCs w:val="17"/>
          <w:color w:val="auto"/>
        </w:rPr>
        <w:t>) not to exceed the shortfall which such report indicates is the result of extraordinary wear and tear to or excessive usage of the Leased Property, whether or not permitted under the Lease. For purposes of making the determination provided for in this Section 13.2, Lessor shall cause to be delivered to Administrative Agent and Lessee within twenty (20) days of the occurrence of the event described in the first sentence of this Section 13.2 but in any event not less than ten (10) Business Days prior to the consummation of a sale of the Leased Property, at Lessee’s sole cost and expense, a report from an appraiser selected by the Required Participants and reasonably approved by Lessee, in form and substance reasonably satisfactory to the Required Participants and using approved methods reasonably satisfactory to the Required Participants, concerning the extent to which the fact that the actual Fair Market Value of the Leased Property as of the date of determination is less than the Fair Market Value anticipated for such date in the appraisal is due to any of the factors enumerated in the preceding sentence hereof. Any Nonconformance Amounts payable by Lessee shall be distributed in accordance with Section 5.3(d).</w:t>
      </w:r>
    </w:p>
    <w:p>
      <w:pPr>
        <w:spacing w:after="0" w:line="18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Section 13.3. Proceedings in Respect of Claims</w:t>
      </w:r>
      <w:r>
        <w:rPr>
          <w:rFonts w:ascii="Arial" w:cs="Arial" w:eastAsia="Arial" w:hAnsi="Arial"/>
          <w:sz w:val="17"/>
          <w:szCs w:val="17"/>
          <w:color w:val="auto"/>
        </w:rPr>
        <w:t>. With respect to any amount that the Lessee is requested by an Indemnitee to pay by reason of</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13.1 or 13.2, such Indemnitee shall, if so requested by the Lessee and prior to any payment, submit such additional information to the Lessee as Lessee may reasonably request and which is in the possession of such Indemnitee to substantiate properly the requested payment.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ind w:firstLine="648"/>
        <w:spacing w:after="0" w:line="284" w:lineRule="auto"/>
        <w:rPr>
          <w:sz w:val="20"/>
          <w:szCs w:val="20"/>
          <w:color w:val="auto"/>
        </w:rPr>
      </w:pPr>
      <w:r>
        <w:rPr>
          <w:rFonts w:ascii="Arial" w:cs="Arial" w:eastAsia="Arial" w:hAnsi="Arial"/>
          <w:sz w:val="16"/>
          <w:szCs w:val="16"/>
          <w:color w:val="auto"/>
        </w:rPr>
        <w:t xml:space="preserve">In case any action, suit or proceeding shall be brought against any Indemnitee, such Indemnitee shall, within a reasonable period, notify the Lessee in writing of the commencement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failure to notify Lessee shall not alter such Indemnitee’s rights under this Section 13.3, except to the extent such failure precludes or materially impairs Lessee’s ability to conduct a defense, and the Lessee shall be entitled, at its expense, to participate in, and, to the extent that the Lessee desires to, assume and control the defense thereof through its own counsel, which shall be subject to the reasonable approval of such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Lessee shall have acknowledged in writing its obligation to fully indemnify such Indemnitee in respect of such action, suit or proceeding and, at the request of the Indemnitee, provide an indemnity and, if requested by such Indemnitee, collateral security, reasonably satisfactory to the Indemnitee, and, the Lessee shall keep such Indemnitee fully appraised of the status of such action, suit or proceeding and shall provide such Indemnitee with all information with respect to such action, suit or proceeding as such Indemnitee shall reasonably request. Lessee must indicate its election to assume such defense by written notice to the Indemnitee within ninety (90) days following receipt of Indemnitee’s notice of the Claim, or in the case of a third party claim which requires a shorter time for response then within such shorter period as specified in the Indemnitee’s notice of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Indemnitee has given Lessee notice thereof. Lessee shall not be entitled to assume and control the defense of any such action, suit or proceeding if and to the extent that, (A) in the reasonable opinion of such Indemnitee, (x) such action, suit or proceeding involves any risk of imposition of criminal liability or any material risk of imposition of material civil liability on such Indemnitee or will involve a material risk of the sale, forfeiture or loss of, or the creation of any Lien (other than a Permitted Lien) on the Leased Property unless, in the case of civil liability, the Lessee shall have posted a bond or other security reasonably satisfactory to the relevant Indemnitees in respect to such risk or (y) the control of such action, suit or proceeding would involve an actual or potential conflict of interest, (B) such proceeding involves Claims not fully indemnified by the Lessee which the Lessee and the Indemnitee have been unable to sever from the indemnified Claim(s), or (C) an Event of Default has occurred and is continuing. The Indemnitee may participate in a reasonable manner at its own expense and with its own counsel in any proceeding controlled by the Lessee in accordance with the foregoing. The Lessee shall not enter into any settlement or other compromise with respect to any Claim which is entitled to be indemnified under Section 13.1 or 13.2, as applicable, without the prior written consent of the Indemnitee, which consent shall not be unreasonably withheld or delayed in the case of a money settlement not involving an admission of liability of such Indemnitee.</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party controlling the defense shall consult in good faith with the other party and its counsel with respect to the defense and shall keep the non-controlling party reasonably informed as to the progress of the defense. Each Indemnitee shall supply the Lessee with such information and documents reasonably requested by the Lessee as are necessary or advisable for the Lessee to participate in any action, suit or proceeding to the extent permitted by Section 13.1 or 13.2, as applicable, and Lessee shall reimburse the Indemnitee for the reasonable out-of-pocket expenses of supplying such information and documents. Except during the occurrence of an Event of Default where Lessee or the Guarantors shall have failed to provide indemnity and, if requested by an Indemnitee, collateral security, both in form, substance and in such amounts reasonably satisfactory to each Indemnitee, no Indemnitee shall enter into any settlement or other compromise with respect to any Claim which is entitled to be indemnified under Section 13.1 or 13.2, as applicable, without the prior written consent of the Lessee, which consent shall not be unreasonably withheld, unless such Indemnitee waives its right to be indemnified under Section 13.1 or 13.2, as applicable, with respect to such Claim, does not admit any criminal liability or civil liability on behalf of the Lessee in connection with such Claim, and uses reasonable efforts to advise the Lessee on the status of proceedings from time to time during the pendency of such Claim.</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ind w:firstLine="648"/>
        <w:spacing w:after="0" w:line="296" w:lineRule="auto"/>
        <w:rPr>
          <w:sz w:val="20"/>
          <w:szCs w:val="20"/>
          <w:color w:val="auto"/>
        </w:rPr>
      </w:pPr>
      <w:r>
        <w:rPr>
          <w:rFonts w:ascii="Arial" w:cs="Arial" w:eastAsia="Arial" w:hAnsi="Arial"/>
          <w:sz w:val="16"/>
          <w:szCs w:val="16"/>
          <w:color w:val="auto"/>
        </w:rPr>
        <w:t>Upon payment in full of any Claim by the Lessee pursuant to Section 13.1 or 13.2, as applicable, to or on behalf of an Indemnitee, the Lessee, without any further action, shall be subrogated to any and all claims that such Indemnitee may have relating thereto (other than claims in respect of insurance policies maintained by such Indemnitee at its own expense), and such Indemnitee shall execute such instruments of assignment and conveyance, evidence of claims and payment and such other documents, instruments and agreements as may be necessary to preserve any such claims and otherwise cooperate with the Lessee and give such further assurances as are necessary or advisable to enable the Lessee vigorously to pursue such claims.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Any amount payable to an Indemnitee pursuant to Section 13.1 or 13.2 shall be paid to such Indemnitee promptly, but in no event no later than thirty (30) days, after receipt of a written demand therefor from such Indemnitee, accompanied by a written statement describing in reasonable detail the basis for such indemnity and the computation of the amount so payable;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limit any obligation of the Lessee to indemnify an Indemnitee for costs and expenses incurred by such Indemnitee in contesting such Claim in accordance with the terms herein.</w:t>
      </w:r>
    </w:p>
    <w:p>
      <w:pPr>
        <w:spacing w:after="0" w:line="157"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i w:val="1"/>
          <w:iCs w:val="1"/>
          <w:color w:val="auto"/>
        </w:rPr>
        <w:t>Section 13.4.</w:t>
      </w:r>
      <w:r>
        <w:rPr>
          <w:sz w:val="20"/>
          <w:szCs w:val="20"/>
          <w:color w:val="auto"/>
        </w:rPr>
        <w:tab/>
      </w:r>
      <w:r>
        <w:rPr>
          <w:rFonts w:ascii="Arial" w:cs="Arial" w:eastAsia="Arial" w:hAnsi="Arial"/>
          <w:sz w:val="16"/>
          <w:szCs w:val="16"/>
          <w:i w:val="1"/>
          <w:iCs w:val="1"/>
          <w:color w:val="auto"/>
        </w:rPr>
        <w:t>General Tax Indemnity</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5" w:lineRule="auto"/>
        <w:tabs>
          <w:tab w:leader="none" w:pos="1072"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Without limitation on the rights of any Tax Indemnitee under any other indemnification provision of this Article XIII,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immediately preceding sentence, the Lessee shall pay and assume liability for, and does hereby agree to indemnify, protect and defend the Leased Property and all Tax Indemnitees, and hold it and them harmless against, all Impositions on an After Tax Basis. It is expressly understood and agreed that the indemnities provided for in this Section 13.4 shall, except as otherwise provided herein, (i) survive the expiration or termination of and shall be separate and independent from any remedy under the Lease or any other Operative Document and (ii) continue to benefit a Participant that has been replaced pursuant to Section 14.9 hereof.</w:t>
      </w:r>
    </w:p>
    <w:p>
      <w:pPr>
        <w:spacing w:after="0" w:line="192" w:lineRule="exact"/>
        <w:rPr>
          <w:rFonts w:ascii="Arial" w:cs="Arial" w:eastAsia="Arial" w:hAnsi="Arial"/>
          <w:sz w:val="18"/>
          <w:szCs w:val="18"/>
          <w:color w:val="auto"/>
        </w:rPr>
      </w:pPr>
    </w:p>
    <w:p>
      <w:pPr>
        <w:jc w:val="both"/>
        <w:ind w:firstLine="656"/>
        <w:spacing w:after="0" w:line="269" w:lineRule="auto"/>
        <w:tabs>
          <w:tab w:leader="none" w:pos="1083"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Contests</w:t>
      </w:r>
      <w:r>
        <w:rPr>
          <w:rFonts w:ascii="Arial" w:cs="Arial" w:eastAsia="Arial" w:hAnsi="Arial"/>
          <w:sz w:val="17"/>
          <w:szCs w:val="17"/>
          <w:color w:val="auto"/>
        </w:rPr>
        <w:t>. If any claim shall be made against any Tax Indemnitee or if any proceeding shall be commenced against any Tax Indemnitee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 written notice of such proceeding) for any Imposition as to which the Lessee may have an indemnity obligation pursuant to this Section 13.4, or if any Tax Indemnitee shall determine that any Imposition for which the Lessee may have an indemnity obligation pursuant to this Section 13.4 may be payable, such Tax Indemnitee shall promptly (and in any event, within twenty (20) days) notify the Lessee in writing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failure to so notify the Lessee within twenty (20) days shall not alter such Tax Indemnitee’s rights under this Section 13.4, except to the extent such failure precludes or materially adversely affects the ability to conduct a contest of any indemnified Taxes) and shall not take any action with respect to such claim, proceeding or Imposition without the written consent of the Lessee (such consent not to be unreasonably withheld or unreasonably delayed) for thirty (30) days after the receipt of such notice by the Lessee;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any such claim or proceeding, if such Tax Indemnitee shall be required by law or regulation to take action prior to the end of such thirty (30) day period, such Tax Indemnitee shall in such notice to the Lessee, so inform the Lessee, and such Tax Indemnitee shall not take any action with respect to such claim, proceeding or Imposition without the consent of the Lessee (such consent not to be unreasonably withheld or unreasonably delayed) for ten (10) days after the receipt of such notice by the Lessee, unless the Tax Indemnitee shall be required by law or regulation to take action prior to the end of such ten (10) day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ind w:firstLine="648"/>
        <w:spacing w:after="0" w:line="286" w:lineRule="auto"/>
        <w:rPr>
          <w:sz w:val="20"/>
          <w:szCs w:val="20"/>
          <w:color w:val="auto"/>
        </w:rPr>
      </w:pPr>
      <w:r>
        <w:rPr>
          <w:rFonts w:ascii="Arial" w:cs="Arial" w:eastAsia="Arial" w:hAnsi="Arial"/>
          <w:sz w:val="16"/>
          <w:szCs w:val="16"/>
          <w:color w:val="auto"/>
        </w:rPr>
        <w:t>The Lessee shall be entitled for a period of thirty (30) days from receipt of such notice from the Tax Indemnitee (or such shorter period as the Tax Indemnitee has notified the Lessee is required by law or regulation for the Tax Indemnitee to commence such contest), to request in writing that such Tax Indemnitee contest the imposition of such Tax, at the Lessee’s expense. If (x) such contest can be pursued in the name of the Lessee and independently from any other proceeding involving a Tax liability of such Tax Indemnitee for which the Lessee has not agreed to indemnify such Tax Indemnitee,</w:t>
      </w:r>
    </w:p>
    <w:p>
      <w:pPr>
        <w:spacing w:after="0" w:line="1" w:lineRule="exact"/>
        <w:rPr>
          <w:sz w:val="20"/>
          <w:szCs w:val="20"/>
          <w:color w:val="auto"/>
        </w:rPr>
      </w:pPr>
    </w:p>
    <w:p>
      <w:pPr>
        <w:jc w:val="both"/>
        <w:ind w:firstLine="8"/>
        <w:spacing w:after="0" w:line="281" w:lineRule="auto"/>
        <w:tabs>
          <w:tab w:leader="none" w:pos="259"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such contest must be pursued in the name of the Tax Indemnitee, but can be pursued independently from any other proceeding involving a Tax liability of such Tax Indemnitee for which the Lessee has not agreed to indemnify such Tax Indemnitee or (z) the Tax Indemnitee so requests, then the Lessee shall be permitted to control the contest of such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contest described in any of clause (x), (y) or (z) above, if the Tax Indemnitee determines in good faith that such contest by the Lessee could have a material adverse impact on the business or operations of the Tax Indemnitee and provides a written explanation to the Lessee of such determination, the Tax Indemnitee may elect to control or reassert control of the contest,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by taking control of the contest, Lessee acknowledges that it is responsible for the Imposition ultimately determined to be due by reason of such claim,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determining the application of clauses (x) and (y) of this sentence, each Tax Indemnitee shall take any and all reasonable steps to segregate claims for any Taxes for which the Lessee indemnifies hereunder from Taxes for which the Lessee is not obligated to indemnify hereunder, so that the Lessee can control the contest of the former. In all other claims requested to be contested by the Lessee, the Tax Indemnitee shall control the contest of such claim, acting through counsel reasonably acceptable to the Lessee. In no event shall the Lessee be permitted to contest (or the Tax Indemnitee required to contest) any claim, (A) if such Tax Indemnitee provides the Lessee with a legal opinion of independent counsel that such action, suit or proceeding involves a risk of imposition of criminal liability or will involve a material risk of the sale, forfeiture or loss of, or the creation of any Lien (other than a Permitted Lien) on the Leased Property or any part of any thereof unless the Lessee shall have posted and maintained a bond or other security reasonably satisfactory to the relevant Tax Indemnitee in respect to such risk, (B) if an Event of Default has occurred and is continuing, unless the Lessee shall have posted and maintained a bond or other security reasonably satisfactory to the relevant Tax Indemnitee in respect of the Taxes subject to such claim and any and all expenses for which the Lessee is responsible hereunder reasonably foreseeable in connection with the contest of such claim,</w:t>
      </w:r>
    </w:p>
    <w:p>
      <w:pPr>
        <w:spacing w:after="0" w:line="9" w:lineRule="exact"/>
        <w:rPr>
          <w:rFonts w:ascii="Arial" w:cs="Arial" w:eastAsia="Arial" w:hAnsi="Arial"/>
          <w:sz w:val="16"/>
          <w:szCs w:val="16"/>
          <w:color w:val="auto"/>
        </w:rPr>
      </w:pP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(C) unless the Lessee shall have agreed to pay and shall pay to such Tax Indemnitee on demand all reasonable out-of-pocket costs, losses and expenses that such Tax Indemnitee may incur in connection with contesting such Imposition, including all reasonable legal, accounting and investigatory fees and disbursements as well as the Impositions which are the subject of such claim to the extent the contest is unsuccessful, or (D) if such contest shall involve the payment of the Tax prior to the contest, unless the Lessee shall provide to the Tax Indemnitee an interest-free advance in an amount equal to the Imposition that the Indemnitee is required to pay (with no additional net after-tax costs (including Taxes) to such Tax Indemnitee). In addition for Tax Indemnitee controlled contests and claims contested in the name of the Tax Indemnitee in a public forum, no contest shall be required: (A) unless the amount of the potential indemnity (taking into account all similar or logically related claims that have been or could be raised in any audit involving such Tax Indemnitee for which the Lessee may be liable to pay an indemnity under this Section 13.4(b)) exceeds $50,000 and (B) unless, if requested by the Tax Indemnitee, the Lessee shall have provided to the Tax Indemnitee an opinion of counsel selected by the Lessee (which may be in-house counsel, except, in the case of income taxes indemnified hereunder, which opinion shall be that of independent tax counsel selected by the Tax Indemnitee and reasonably acceptable to the Lessee) that a reasonable basis exists to contest such claim. In no event shall a Tax Indemnitee be required to appeal an adverse judicial determination to the United States Supreme Court.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ind w:firstLine="648"/>
        <w:spacing w:after="0" w:line="271" w:lineRule="auto"/>
        <w:rPr>
          <w:sz w:val="20"/>
          <w:szCs w:val="20"/>
          <w:color w:val="auto"/>
        </w:rPr>
      </w:pPr>
      <w:r>
        <w:rPr>
          <w:rFonts w:ascii="Arial" w:cs="Arial" w:eastAsia="Arial" w:hAnsi="Arial"/>
          <w:sz w:val="17"/>
          <w:szCs w:val="17"/>
          <w:color w:val="auto"/>
        </w:rPr>
        <w:t xml:space="preserve">The party conducting the contest shall consult in good faith with the other party and its counsel with respect to the contest of such claim for Taxes (or claim for refund) but the decisions regarding what actions to be taken shall be made by the controlling party in its sole judgment;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Tax Indemnitee is the controlling party and the Lessee recommends the acceptance of a settlement offer made by the relevant Governmental Authority and such Tax Indemnitee rejects such settlement offer then the amount for which the Lessee will be required to indemnify such Tax Indemnitee with respect to the Taxes subject to such offer shall not exceed the amount which it would have owed if such settlement offer had been accepted. In addition, the controlling party shall keep the non-controlling party reasonably informed as to the progress of the contest, and shall provide the non-controlling party with a copy of (or appropriate excerpts from) any reports or claims issued by the relevant auditing agents or taxing authority to the controlling party thereof, in connection with such claim or the contest thereof.</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Each Tax Indemnitee shall supply the Lessee with such information and documents reasonably requested by the Lessee as are necessary or advisable for the Lessee to participate in any action, suit or proceeding to the extent permitted by this Section 13.4(b), and the Lessee shall promptly reimburse such Indemnitee for the reasonable out-of-pocket expenses of supplying such information and documents. Except during the occurrence of an Event of Default where Lessee and/or the Guarantors shall have failed to provide indemnity and, if requested by a Tax Indemnitee, collateral security, both in form, substance and in such amounts reasonably satisfactory to each Tax Indemnitee, no Tax Indemnitee shall enter into any settlement or other compromise or fail to appeal an adverse ruling with respect to any claim which is entitled to be indemnified under this Section 13.4 (and with respect to which contest is required under this Section 13.4(b)) without the prior written consent of the Lessee, unless such Tax Indemnitee waives its right to be indemnified under this Section 13.4 with respect to such claim.</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anything contained herein to the contrary, a Tax Indemnitee will not be required to contest (and the Lessee shall not be permitted to contest) a claim with respect to the imposition of any Tax if (i) such Tax Indemnitee shall waive its right to indemnification under this Section 13.4 with respect to such claim (and any claim with respect to such year or any other taxable year, the contest of which is materially adversely affected as a result of such waiver) or (ii) such Tax is the sole result of a claim of a continuing and consistent nature, which claim has previously been resolved against the relevant Tax Indemnitee (unless a change in law or facts has occurred since such prior adverse resolution and Lessee provides an opinion of independent tax counsel to the effect it is more likely than not that such change in law or facts will result in a favorable resolution of the claim at issue).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left="444" w:hanging="444"/>
        <w:spacing w:after="0"/>
        <w:tabs>
          <w:tab w:leader="none" w:pos="44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69" w:lineRule="auto"/>
        <w:tabs>
          <w:tab w:leader="none" w:pos="912" w:val="left"/>
        </w:tabs>
        <w:numPr>
          <w:ilvl w:val="1"/>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To, or for the Account of, a Tax Indemnitee. </w:t>
      </w:r>
      <w:r>
        <w:rPr>
          <w:rFonts w:ascii="Arial" w:cs="Arial" w:eastAsia="Arial" w:hAnsi="Arial"/>
          <w:sz w:val="17"/>
          <w:szCs w:val="17"/>
          <w:color w:val="auto"/>
        </w:rPr>
        <w:t>Any Imposition indemnifiable under this Section 13.4 shall be paid directly when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applicable taxing authority if direct payment is practicable and permitted. If direct payment to the applicable taxing authority is not permitted or is otherwise not made, any amount payable to a Tax Indemnitee pursuant to this Section 13.4 shall be paid within thirty (30) days after receipt of a written demand therefor from such Tax Indemnitee, accompanied by a written statement describing in reasonable detail the amount so payable, but not before two (2) Business Days prior to the date that the relevant Taxes are due. Any indemnification payments made pursuant to this Section 13.4 shall be made directly to the Tax Indemnitee entitled thereto in immediately available funds at such bank or to such account as specified by the Tax Indemnitee in written directions to the Lessee, or, if no such direction shall have been given, by check of the Lessee payable to the order of the Tax Indemnitee by certified mail, postage prepaid at its address as set forth in this Participation Agreement. Upon the request of any Tax Indemnitee with respect to a Tax that the Lessee is required to pay, the Lessee shall furnish to such Tax Indemnitee the original or a certified copy of a receipt for the Lessee’s payment of such Tax or such other evidence of payment as is reasonably acceptable to such Tax Indemnitee.</w:t>
      </w:r>
    </w:p>
    <w:p>
      <w:pPr>
        <w:spacing w:after="0" w:line="181" w:lineRule="exact"/>
        <w:rPr>
          <w:rFonts w:ascii="Arial" w:cs="Arial" w:eastAsia="Arial" w:hAnsi="Arial"/>
          <w:sz w:val="17"/>
          <w:szCs w:val="17"/>
          <w:color w:val="auto"/>
        </w:rPr>
      </w:pPr>
    </w:p>
    <w:p>
      <w:pPr>
        <w:jc w:val="both"/>
        <w:ind w:left="4" w:firstLine="644"/>
        <w:spacing w:after="0" w:line="286" w:lineRule="auto"/>
        <w:tabs>
          <w:tab w:leader="none" w:pos="939" w:val="left"/>
        </w:tabs>
        <w:numPr>
          <w:ilvl w:val="1"/>
          <w:numId w:val="56"/>
        </w:numPr>
        <w:rPr>
          <w:rFonts w:ascii="Arial" w:cs="Arial" w:eastAsia="Arial" w:hAnsi="Arial"/>
          <w:sz w:val="16"/>
          <w:szCs w:val="16"/>
          <w:color w:val="auto"/>
        </w:rPr>
      </w:pPr>
      <w:r>
        <w:rPr>
          <w:rFonts w:ascii="Arial" w:cs="Arial" w:eastAsia="Arial" w:hAnsi="Arial"/>
          <w:sz w:val="16"/>
          <w:szCs w:val="16"/>
          <w:i w:val="1"/>
          <w:iCs w:val="1"/>
          <w:color w:val="auto"/>
        </w:rPr>
        <w:t>To the Lessee</w:t>
      </w:r>
      <w:r>
        <w:rPr>
          <w:rFonts w:ascii="Arial" w:cs="Arial" w:eastAsia="Arial" w:hAnsi="Arial"/>
          <w:sz w:val="16"/>
          <w:szCs w:val="16"/>
          <w:color w:val="auto"/>
        </w:rPr>
        <w:t>. (x) If any Tax Indemnitee actually shall realize a Tax benefit (whether by way of deduction, or use of a credit)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 to a Tax not indemnifiable hereunder which, in the Tax Indemnitee’s reasonable determination, would not have been realized but for any Tax with respect to which the Lessee has reimbursed or indemnified such Tax Indemnitee pursuant to the Operative Documents, which benefit was not previously taken into account in determining the amount of the Lessee’s payment to such Tax Indemnitee, such Tax Indemnitee shall pay to the Lessee an amount equal to the amount of such Tax benefit, increased by any actual Tax savings realized by such Tax Indemnitee and net of any additional Taxes and any expenses related to obtaining the Tax benefit actually borne by such Tax Indemnitee as a result of such payment (a </w:t>
      </w:r>
      <w:r>
        <w:rPr>
          <w:rFonts w:ascii="Arial" w:cs="Arial" w:eastAsia="Arial" w:hAnsi="Arial"/>
          <w:sz w:val="16"/>
          <w:szCs w:val="16"/>
          <w:i w:val="1"/>
          <w:iCs w:val="1"/>
          <w:color w:val="auto"/>
        </w:rPr>
        <w:t>“Grossed-Up Basis”</w:t>
      </w:r>
      <w:r>
        <w:rPr>
          <w:rFonts w:ascii="Arial" w:cs="Arial" w:eastAsia="Arial" w:hAnsi="Arial"/>
          <w:sz w:val="16"/>
          <w:szCs w:val="16"/>
          <w:color w:val="auto"/>
        </w:rPr>
        <w: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as long as an Event of Default is continuing any such amounts may be applied against any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due and owing by Lessee under the Lease;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Tax Indemnitee shall be required to pay to the Lessee any Tax benefit to the extent such payment would be greater than the amount of such Taxes in respect of which the reimbursement or indemnification was paid by the Lessee, reduced by all prior payments by such Tax Indemnitee under this Section 13.4(c)(ii)(x) in respect of such amount; any payment to the Lessee which is so limited shall, to the extent of such unpaid excess, be carried over and shall be available to offset any future obligations of the Lessee under this Section 13.4. If such repaid Tax benefit is thereafter lost, the additional Tax payable shall be treated as a Tax indemnifiable hereunder without regard to the exclusions set forth in clauses (i) through (ix) of the definition of Impositions.</w:t>
      </w:r>
    </w:p>
    <w:p>
      <w:pPr>
        <w:spacing w:after="0" w:line="39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6" w:name="page47"/>
    <w:bookmarkEnd w:id="46"/>
    <w:p>
      <w:pPr>
        <w:jc w:val="both"/>
        <w:ind w:left="660" w:firstLine="644"/>
        <w:spacing w:after="0" w:line="269" w:lineRule="auto"/>
        <w:tabs>
          <w:tab w:leader="none" w:pos="1585"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Upon receipt by a Tax Indemnitee of a refund or the benefit of a credit which in the Tax Indemnitee’s reasonable determination was derived all or in part from any Taxes paid or indemnified against by the Lessee, which refund or credit was not previously taken into account in determining the amount of the Lessee’s payment to such Tax Indemnitee, such Tax Indemnitee shall pay to the Lessee, on a Grossed-Up Basis, an amount equal to the amount of such refund, plus any interest received by or credited to such Tax Indemnitee with respect to such refund;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as long as an Event of Default is continuing any such amounts may be applied against any amounts due and owing by Lessee under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Lease;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Tax Indemnitee shall be required to pay to the Lessee any refund or credit to the extent such refund or credit is greater than the amount of Taxes in respect of which payment or indemnification was made by the Lessee, reduced by all prior payments by such Tax Indemnitee under this Section 13.4(c)(ii)(y) in respect of such amount. If such repaid refund or credit is thereafter lost, the additional Tax payable shall be treated as a Tax indemnifiable hereunder without regard to the exclusions set forth in clauses (i) through (ix) of the definition of Impositions.</w:t>
      </w:r>
    </w:p>
    <w:p>
      <w:pPr>
        <w:spacing w:after="0" w:line="185" w:lineRule="exact"/>
        <w:rPr>
          <w:rFonts w:ascii="Arial" w:cs="Arial" w:eastAsia="Arial" w:hAnsi="Arial"/>
          <w:sz w:val="17"/>
          <w:szCs w:val="17"/>
          <w:color w:val="auto"/>
        </w:rPr>
      </w:pPr>
    </w:p>
    <w:p>
      <w:pPr>
        <w:jc w:val="both"/>
        <w:ind w:firstLine="656"/>
        <w:spacing w:after="0" w:line="270" w:lineRule="auto"/>
        <w:tabs>
          <w:tab w:leader="none" w:pos="1105"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Reports</w:t>
      </w:r>
      <w:r>
        <w:rPr>
          <w:rFonts w:ascii="Arial" w:cs="Arial" w:eastAsia="Arial" w:hAnsi="Arial"/>
          <w:sz w:val="17"/>
          <w:szCs w:val="17"/>
          <w:color w:val="auto"/>
        </w:rPr>
        <w:t>. In the case of any report, return or statement required to be filed with respect to any Taxes that are subject to indemnification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this Section 13.4 and of which the Lessee has knowledge, the Lessee shall promptly notify the Tax Indemnitee of such requirement and, at the Lessee’s expense (i) if the Lessee is permitted (unless otherwise requested by the Tax Indemnitee) by Applicable Laws, timely file such report, return or statement in its own name or (ii) if such report, return or statement is required to be in the name of or filed by such Tax Indemnitee or the Tax Indemnitee otherwise requests that such report, return or statement be filed in the name of or by such Tax Indemnitee, the Lessee shall prepare such report, return or statement for filing by such Tax Indemnitee in such manner as shall be satisfactory to such Tax Indemnitee and send the same to the Tax Indemnitee for filing no later than fifteen (15) days prior to the due date therefor. In any case in which the Tax Indemnitee will file any such report, return or statement, the Lessee shall, upon written request of such Tax Indemnitee, provide such Tax Indemnitee with such information as is reasonably necessary to allow the Tax Indemnitee to file such report, return or statement.</w:t>
      </w:r>
    </w:p>
    <w:p>
      <w:pPr>
        <w:spacing w:after="0" w:line="180" w:lineRule="exact"/>
        <w:rPr>
          <w:rFonts w:ascii="Arial" w:cs="Arial" w:eastAsia="Arial" w:hAnsi="Arial"/>
          <w:sz w:val="17"/>
          <w:szCs w:val="17"/>
          <w:color w:val="auto"/>
        </w:rPr>
      </w:pPr>
    </w:p>
    <w:p>
      <w:pPr>
        <w:jc w:val="both"/>
        <w:ind w:firstLine="656"/>
        <w:spacing w:after="0" w:line="254" w:lineRule="auto"/>
        <w:tabs>
          <w:tab w:leader="none" w:pos="109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Withholding Taxes</w:t>
      </w:r>
      <w:r>
        <w:rPr>
          <w:rFonts w:ascii="Arial" w:cs="Arial" w:eastAsia="Arial" w:hAnsi="Arial"/>
          <w:sz w:val="18"/>
          <w:szCs w:val="18"/>
          <w:color w:val="auto"/>
        </w:rPr>
        <w:t>. (i) Except as otherwise required by law, each payment to an Indemnitee under or contemplated by any Operative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shall be free of Withholding Taxes (including any Withholding Taxes in respect of payments pursuant to this Section 13.4) and the Lessee agrees to indemnify, protect, defend and hold harmless the Tax Indemnitees against all such Withholding Taxes. If any such withholding is so required, the Lessee shall make the withholding and pay the amount withheld to the appropriate taxing authority before penalties attach thereto or interest accrues thereon. The Lessee shall forthwith pay the relevant Tax Indemnitee an amount that, after making all required deductions (including deductions applicable to additional sums payable under this Section), equals the amount that would have been paid if such withholding had not been required. Notwithstanding the first sentence of this Section 13.4(e), the Lessee shall not be required to make any additional payment to or on behalf of a Tax Indemnitee pursuant to this paragraph on account of:</w:t>
      </w:r>
    </w:p>
    <w:p>
      <w:pPr>
        <w:spacing w:after="0" w:line="192" w:lineRule="exact"/>
        <w:rPr>
          <w:sz w:val="20"/>
          <w:szCs w:val="20"/>
          <w:color w:val="auto"/>
        </w:rPr>
      </w:pPr>
    </w:p>
    <w:p>
      <w:pPr>
        <w:ind w:left="660" w:right="20" w:firstLine="644"/>
        <w:spacing w:after="0" w:line="277" w:lineRule="auto"/>
        <w:tabs>
          <w:tab w:leader="none" w:pos="1603"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Withholding Taxes while they are being contested in accordance with Section 13.4(b), so long as such Tax Indemnitee shall be receiving all payments required to be made to it without reduction for any such Withholding Taxes;</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6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Withholding Taxes imposed on an assignee or transferee on the day of the assignment or transfer to the extent of the excess of such Withholding Taxes over the total amount of Withholding Taxes that would have been imposed on the transferor on the date of the transfer had there not been an assignment or transfer;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left="660" w:firstLine="644"/>
        <w:spacing w:after="0" w:line="263" w:lineRule="auto"/>
        <w:tabs>
          <w:tab w:leader="none" w:pos="16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Withholding Taxes imposed on a Recipient to the extent of the excess of such Withholding Taxes over the total amount of the Withholding Taxes that would have been imposed had such Recipient not relocated its Applicable Lending Office after the date on which it became a Recipient;</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6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Withholding Taxes resulting from the gross negligence, willful misconduct, or fraud of the Tax Indemnitee or any of its Affiliates or the breach of the Operative Documents by the Tax Indemnitee including directing the Lessor to engage in any activity not permitted under the Operative Documents;</w:t>
      </w:r>
    </w:p>
    <w:p>
      <w:pPr>
        <w:spacing w:after="0" w:line="183" w:lineRule="exact"/>
        <w:rPr>
          <w:rFonts w:ascii="Arial" w:cs="Arial" w:eastAsia="Arial" w:hAnsi="Arial"/>
          <w:sz w:val="18"/>
          <w:szCs w:val="18"/>
          <w:color w:val="auto"/>
        </w:rPr>
      </w:pPr>
    </w:p>
    <w:p>
      <w:pPr>
        <w:ind w:left="660" w:right="20" w:firstLine="644"/>
        <w:spacing w:after="0" w:line="308" w:lineRule="auto"/>
        <w:tabs>
          <w:tab w:leader="none" w:pos="1605" w:val="left"/>
        </w:tabs>
        <w:numPr>
          <w:ilvl w:val="0"/>
          <w:numId w:val="60"/>
        </w:numPr>
        <w:rPr>
          <w:rFonts w:ascii="Arial" w:cs="Arial" w:eastAsia="Arial" w:hAnsi="Arial"/>
          <w:sz w:val="17"/>
          <w:szCs w:val="17"/>
          <w:color w:val="auto"/>
        </w:rPr>
      </w:pPr>
      <w:r>
        <w:rPr>
          <w:rFonts w:ascii="Arial" w:cs="Arial" w:eastAsia="Arial" w:hAnsi="Arial"/>
          <w:sz w:val="17"/>
          <w:szCs w:val="17"/>
          <w:color w:val="auto"/>
        </w:rPr>
        <w:t>Withholding Taxes imposed under the laws of any jurisdiction other than the United States, or any state or local jurisdiction thereof, or any jurisdiction where such Tax is imposed solely as a result of the Lessee making the payment from such jurisdiction;</w:t>
      </w:r>
    </w:p>
    <w:p>
      <w:pPr>
        <w:spacing w:after="0" w:line="146" w:lineRule="exact"/>
        <w:rPr>
          <w:rFonts w:ascii="Arial" w:cs="Arial" w:eastAsia="Arial" w:hAnsi="Arial"/>
          <w:sz w:val="17"/>
          <w:szCs w:val="17"/>
          <w:color w:val="auto"/>
        </w:rPr>
      </w:pPr>
    </w:p>
    <w:p>
      <w:pPr>
        <w:ind w:left="1600" w:hanging="296"/>
        <w:spacing w:after="0"/>
        <w:tabs>
          <w:tab w:leader="none" w:pos="1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Withholding Taxes imposed under FATCA due to the failure of a Recipient to comply with the provisions of Section 12.3; and</w:t>
      </w:r>
    </w:p>
    <w:p>
      <w:pPr>
        <w:spacing w:after="0" w:line="236" w:lineRule="exact"/>
        <w:rPr>
          <w:rFonts w:ascii="Arial" w:cs="Arial" w:eastAsia="Arial" w:hAnsi="Arial"/>
          <w:sz w:val="17"/>
          <w:szCs w:val="17"/>
          <w:color w:val="auto"/>
        </w:rPr>
      </w:pPr>
    </w:p>
    <w:p>
      <w:pPr>
        <w:ind w:left="660" w:right="20" w:firstLine="644"/>
        <w:spacing w:after="0" w:line="277" w:lineRule="auto"/>
        <w:tabs>
          <w:tab w:leader="none" w:pos="16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Withholding Taxes imposed on any Recipient that would have been imposed under then Applicable Law as of the date such Person becomes a Recipient.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If the Lessee pays any amount to a Tax Indemnitee with respect to Withholding Taxes required to be withheld by law but not subject to indemnity pursuant to this Section 13.4, such Tax Indemnitee shall reimburse the Lessee within thirty (30) days of written demand therefor for the amount so paid by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Tax Indemnitee fails to reimburse the Lessee within such thirty (30) days, such Tax Indemnitee shall thereafter be obligated to reimburse the Lessee for such amount together with interest on such amount at the Overdue Rate from the date such reimbursement was due until the date it is paid.</w:t>
      </w:r>
    </w:p>
    <w:p>
      <w:pPr>
        <w:spacing w:after="0" w:line="188" w:lineRule="exact"/>
        <w:rPr>
          <w:sz w:val="20"/>
          <w:szCs w:val="20"/>
          <w:color w:val="auto"/>
        </w:rPr>
      </w:pPr>
    </w:p>
    <w:p>
      <w:pPr>
        <w:ind w:firstLine="656"/>
        <w:spacing w:after="0" w:line="277" w:lineRule="auto"/>
        <w:tabs>
          <w:tab w:leader="none" w:pos="11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purposes of this Section 13.4, it shall be assumed that the Lease constitutes a loan for United States federal income tax purposes (as is the parties’ intention).</w:t>
      </w:r>
    </w:p>
    <w:p>
      <w:pPr>
        <w:spacing w:after="0" w:line="170" w:lineRule="exact"/>
        <w:rPr>
          <w:sz w:val="20"/>
          <w:szCs w:val="20"/>
          <w:color w:val="auto"/>
        </w:rPr>
      </w:pPr>
    </w:p>
    <w:p>
      <w:pPr>
        <w:jc w:val="both"/>
        <w:ind w:firstLine="656"/>
        <w:spacing w:after="0" w:line="263" w:lineRule="auto"/>
        <w:tabs>
          <w:tab w:leader="none" w:pos="1098"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Disclosure</w:t>
      </w:r>
      <w:r>
        <w:rPr>
          <w:rFonts w:ascii="Arial" w:cs="Arial" w:eastAsia="Arial" w:hAnsi="Arial"/>
          <w:sz w:val="18"/>
          <w:szCs w:val="18"/>
          <w:color w:val="auto"/>
        </w:rPr>
        <w:t>. The parties agree that any party to this Participation Agreement (and each employee, representative, or other agent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party) may disclose the tax aspects of the transactions contemplated by this Participation Agreement and the structural aspects of these transactions as they relate to such tax aspects without limitation of any kind on such disclosure.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Section 13.5. After Tax Basis</w:t>
      </w:r>
      <w:r>
        <w:rPr>
          <w:rFonts w:ascii="Arial" w:cs="Arial" w:eastAsia="Arial" w:hAnsi="Arial"/>
          <w:sz w:val="18"/>
          <w:szCs w:val="18"/>
          <w:color w:val="auto"/>
        </w:rPr>
        <w:t>. If an Indemnitee shall not be entitled to a corresponding and equal deduction with respect to any payment or Tax</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Lessee is required to pay or reimburse under any other provision of this Article XIII (each such payment or reimbursement under this Article XIII, an </w:t>
      </w:r>
      <w:r>
        <w:rPr>
          <w:rFonts w:ascii="Arial" w:cs="Arial" w:eastAsia="Arial" w:hAnsi="Arial"/>
          <w:sz w:val="18"/>
          <w:szCs w:val="18"/>
          <w:i w:val="1"/>
          <w:iCs w:val="1"/>
          <w:color w:val="auto"/>
        </w:rPr>
        <w:t>“original payment”</w:t>
      </w:r>
      <w:r>
        <w:rPr>
          <w:rFonts w:ascii="Arial" w:cs="Arial" w:eastAsia="Arial" w:hAnsi="Arial"/>
          <w:sz w:val="18"/>
          <w:szCs w:val="18"/>
          <w:color w:val="auto"/>
        </w:rPr>
        <w:t>) and which original payment constitutes income to such Indemnitee when accrued or received, then Lessee shall pay to, or for the account of, such Indemnitee on demand the amount of such original payment on an After Tax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left="340"/>
        <w:spacing w:after="0"/>
        <w:tabs>
          <w:tab w:leader="none" w:pos="1440" w:val="left"/>
        </w:tabs>
        <w:rPr>
          <w:sz w:val="20"/>
          <w:szCs w:val="20"/>
          <w:color w:val="auto"/>
        </w:rPr>
      </w:pPr>
      <w:r>
        <w:rPr>
          <w:rFonts w:ascii="Arial" w:cs="Arial" w:eastAsia="Arial" w:hAnsi="Arial"/>
          <w:sz w:val="18"/>
          <w:szCs w:val="18"/>
          <w:i w:val="1"/>
          <w:iCs w:val="1"/>
          <w:color w:val="auto"/>
        </w:rPr>
        <w:t>Section 13.6.</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Section 13.7. Environmental Indemnity</w:t>
      </w:r>
      <w:r>
        <w:rPr>
          <w:rFonts w:ascii="Arial" w:cs="Arial" w:eastAsia="Arial" w:hAnsi="Arial"/>
          <w:sz w:val="17"/>
          <w:szCs w:val="17"/>
          <w:color w:val="auto"/>
        </w:rPr>
        <w:t>. Without limitation of the other provisions of this Article XIII, Lessee hereby agrees to indemnify, hold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harmless and defend each Indemnitee, in each case, from and against any and all Claims, losses, damages, liabilities, fines, penalties, charges, administrative and judicial proceedings (including informal proceedings) and orders, judgments, remedial action, requirements, enforcement actions of any kind, and all reasonable and documented costs and expenses incurred in connection therewith (including reasonable and documented attorneys’ and/or paralegals’ fees and expenses), including all costs incurred in connection with any investigation or monitoring of the condition of the Leased Property or any clean-up, remedial, removal or restoration work required or conducted by any Governmental Authority or required by Environmental Laws (collectively, </w:t>
      </w:r>
      <w:r>
        <w:rPr>
          <w:rFonts w:ascii="Arial" w:cs="Arial" w:eastAsia="Arial" w:hAnsi="Arial"/>
          <w:sz w:val="17"/>
          <w:szCs w:val="17"/>
          <w:i w:val="1"/>
          <w:iCs w:val="1"/>
          <w:color w:val="auto"/>
        </w:rPr>
        <w:t>“Environmental Claims”</w:t>
      </w:r>
      <w:r>
        <w:rPr>
          <w:rFonts w:ascii="Arial" w:cs="Arial" w:eastAsia="Arial" w:hAnsi="Arial"/>
          <w:sz w:val="17"/>
          <w:szCs w:val="17"/>
          <w:color w:val="auto"/>
        </w:rPr>
        <w:t>), arising in whole or in part, out of:</w:t>
      </w:r>
    </w:p>
    <w:p>
      <w:pPr>
        <w:spacing w:after="0" w:line="177" w:lineRule="exact"/>
        <w:rPr>
          <w:sz w:val="20"/>
          <w:szCs w:val="20"/>
          <w:color w:val="auto"/>
        </w:rPr>
      </w:pPr>
    </w:p>
    <w:p>
      <w:pPr>
        <w:ind w:left="660" w:firstLine="644"/>
        <w:spacing w:after="0" w:line="277" w:lineRule="auto"/>
        <w:tabs>
          <w:tab w:leader="none" w:pos="15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presence on, under or around the Leased Property or any portion thereof of any Hazardous Substance, or any Release of any Hazardous Substance on, under, from, onto or around the Leased Property or any portion thereof,</w:t>
      </w:r>
    </w:p>
    <w:p>
      <w:pPr>
        <w:spacing w:after="0" w:line="170" w:lineRule="exact"/>
        <w:rPr>
          <w:rFonts w:ascii="Arial" w:cs="Arial" w:eastAsia="Arial" w:hAnsi="Arial"/>
          <w:sz w:val="18"/>
          <w:szCs w:val="18"/>
          <w:color w:val="auto"/>
        </w:rPr>
      </w:pPr>
    </w:p>
    <w:p>
      <w:pPr>
        <w:jc w:val="both"/>
        <w:ind w:left="660" w:firstLine="644"/>
        <w:spacing w:after="0" w:line="272" w:lineRule="auto"/>
        <w:tabs>
          <w:tab w:leader="none" w:pos="1585"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activity, including, without limitation, construction, carried on or undertaken on the Leased Property or any portion thereof or off the Leased Property, and whether by Lessee or any of its Affiliates or any predecessor in title or any employees, agents, sublessees, contractors or subcontractors of Lessee, any of its Affiliates or any predecessor in title, or any other Persons (including such Indemnitee), in connection with the investigation, handling, treatment, remediation, removal, storage, decontamination, clean-up, transport or disposal of any Hazardous Substance that at any time has been or is Released, located or present on, under or around, or that at any time has or may migrate, flow, percolate, diffuse or in any way move onto or under the Leased Property or any portion thereof, or any activity that aggravates, contributes to or exacerbates existing environmental conditions or results in a violation of existing deed restrictions,</w:t>
      </w:r>
    </w:p>
    <w:p>
      <w:pPr>
        <w:spacing w:after="0" w:line="177" w:lineRule="exact"/>
        <w:rPr>
          <w:rFonts w:ascii="Arial" w:cs="Arial" w:eastAsia="Arial" w:hAnsi="Arial"/>
          <w:sz w:val="17"/>
          <w:szCs w:val="17"/>
          <w:color w:val="auto"/>
        </w:rPr>
      </w:pPr>
    </w:p>
    <w:p>
      <w:pPr>
        <w:jc w:val="both"/>
        <w:ind w:left="660" w:firstLine="644"/>
        <w:spacing w:after="0" w:line="255" w:lineRule="auto"/>
        <w:tabs>
          <w:tab w:leader="none" w:pos="15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loss of or damage to any property or the environment arising from, or in any way related to, the Leased Property or Lessee or any of its Affiliates (including, without limitation, investigation costs, clean-up costs, response costs, remediation, restoration and removal costs, cost of corrective action, costs of financial assurance, fines and penalties and natural resource damages), or death or injury to any Person, and all expenses associated with the protection of wildlife, aquatic species, vegetation, flora and fauna, and any mitigating action required by or under Environmental Laws, in each case arising from, or in any way related to, the Leased Property, Lessee, any of its Affiliates or the Overall Transaction or any portion thereof,</w:t>
      </w:r>
    </w:p>
    <w:p>
      <w:pPr>
        <w:spacing w:after="0" w:line="192" w:lineRule="exact"/>
        <w:rPr>
          <w:rFonts w:ascii="Arial" w:cs="Arial" w:eastAsia="Arial" w:hAnsi="Arial"/>
          <w:sz w:val="18"/>
          <w:szCs w:val="18"/>
          <w:color w:val="auto"/>
        </w:rPr>
      </w:pPr>
    </w:p>
    <w:p>
      <w:pPr>
        <w:jc w:val="both"/>
        <w:ind w:left="660" w:firstLine="644"/>
        <w:spacing w:after="0" w:line="263" w:lineRule="auto"/>
        <w:tabs>
          <w:tab w:leader="none" w:pos="15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claim concerning lack of compliance with Environmental Laws in connection with the Leased Property, or any act or omission causing an environmental condition that requires remediation or would allow any Governmental Authority to record a Lien against the Leased Property or any portion thereof, 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left="660" w:firstLine="644"/>
        <w:spacing w:after="0" w:line="301" w:lineRule="auto"/>
        <w:tabs>
          <w:tab w:leader="none" w:pos="157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residual contamination on or under any of the Leased Property, or affecting any natural resources, and any contamination of any property or natural resources arising in connection with the generation, use, handling, storage, transport or disposal of any such Hazardous Substance, in each case arising from, or in any way related to, the Leased Property, Lessee, any of its Affiliates, or the Overall Transaction or any portion thereof, and irrespective of whether any of such activities were or will be undertaken in accordance with Applicable Laws.</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Notwithstanding the foregoing provisions of this Section 13.7, Lessee shall not be obligated to indemnify an Indemnitee under this Section 13.7 for any Claim (i) to the extent that such Claim is attributable to the gross negligence or willful misconduct of such Indemnitee, (ii) to the extent attributable to acts occurring after any sale or taking possession pursuant to Section 16.2 of the Lease or (iii) to the extent attributable to acts occurring after the expiration or earlier termination of the Term, but, in the case of this clause (iii), only to the extent not attributable to, arising from, or relating to, the Lessor’s ownership interests in the Leased Property. It is expressly understood and agreed that the indemnities provided for in this Section 13.7 shall, except as otherwise provided herein, (i) survive the expiration or termination of and shall be separate and independent from any remedy under the Lease or any other Operative Document and (ii) continue to benefit a Participant that has been replaced pursuant to Section 14.9 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ONTINGENT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SOFR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OSTS</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Section 14.1. Term SOFR Rate Lending Unlawful</w:t>
      </w:r>
      <w:r>
        <w:rPr>
          <w:rFonts w:ascii="Arial" w:cs="Arial" w:eastAsia="Arial" w:hAnsi="Arial"/>
          <w:sz w:val="17"/>
          <w:szCs w:val="17"/>
          <w:color w:val="auto"/>
        </w:rPr>
        <w:t>. If any Participant shall reasonably determine (which determination shall, upon notice thereof to</w:t>
      </w:r>
      <w:r>
        <w:rPr>
          <w:rFonts w:ascii="Arial" w:cs="Arial" w:eastAsia="Arial" w:hAnsi="Arial"/>
          <w:sz w:val="17"/>
          <w:szCs w:val="17"/>
          <w:i w:val="1"/>
          <w:iCs w:val="1"/>
          <w:color w:val="auto"/>
        </w:rPr>
        <w:t xml:space="preserve"> </w:t>
      </w:r>
      <w:r>
        <w:rPr>
          <w:rFonts w:ascii="Arial" w:cs="Arial" w:eastAsia="Arial" w:hAnsi="Arial"/>
          <w:sz w:val="17"/>
          <w:szCs w:val="17"/>
          <w:color w:val="auto"/>
        </w:rPr>
        <w:t>the Lessee and the Participants, be conclusive and binding on the Lessee and which notice shall be withdrawn whenever the applicable circumstances no longer exist) that the introduction of or any change in or in the interpretation of any applicable law makes it unlawful, or any central bank or other Governmental Authority asserts that it is unlawful, for such Participant to make available, continue or maintain any Rent Assignment Contribution or Lessor Amount that bears Yield based upon the Term SOFR Rate, as the case may be, the obligation of such Participant to make available, continue or maintain any such Rent Assignment Contribution or Lessor Amount, as the case may be, on a Term SOFR Rate basis shall, upon such determination, forthwith be suspended (unless such Participant determines in its sole discretion that it can continue to make any Rent Assignment Contribution or Lessor Amount based upon the Term SOFR Rate at one of its lending offices where such action would not be deemed unlawful) until such Participant shall notify the Lessee and Lessor that the circumstances causing such suspension no longer exist and, to the extent required by any such introduction of or change in or in the interpretation of any law, all Rent Assignment Contributions and Lessor Amount, as the case may be, of such Participant shall automatically accrue Yield at the Alternate Base Rate (unless and until a Successor Rate has been determined in accordance with Section 14.10(b)) either (a) on the last day of the then current Interest Period applicable to such Rent Assignment Contribution or Lessor Amount, as the case may be, if such Participant may lawfully continue to maintain and fund such Rent Assignment Contribution or Lessor Amount, or (b) immediately if such Participant shall determine that it may not lawfully continue to maintain and fund such Rent Assignment Contribution or Lessor Amount, as the case may be, to such day or sooner, if required by such law or assertion.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340"/>
        <w:spacing w:after="0"/>
        <w:tabs>
          <w:tab w:leader="none" w:pos="1440" w:val="left"/>
        </w:tabs>
        <w:rPr>
          <w:sz w:val="20"/>
          <w:szCs w:val="20"/>
          <w:color w:val="auto"/>
        </w:rPr>
      </w:pPr>
      <w:r>
        <w:rPr>
          <w:rFonts w:ascii="Arial" w:cs="Arial" w:eastAsia="Arial" w:hAnsi="Arial"/>
          <w:sz w:val="18"/>
          <w:szCs w:val="18"/>
          <w:i w:val="1"/>
          <w:iCs w:val="1"/>
          <w:color w:val="auto"/>
        </w:rPr>
        <w:t>Section 14.2.</w:t>
      </w:r>
      <w:r>
        <w:rPr>
          <w:sz w:val="20"/>
          <w:szCs w:val="20"/>
          <w:color w:val="auto"/>
        </w:rPr>
        <w:tab/>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Section 14.3. Increased Costs, etc</w:t>
      </w:r>
      <w:r>
        <w:rPr>
          <w:rFonts w:ascii="Arial" w:cs="Arial" w:eastAsia="Arial" w:hAnsi="Arial"/>
          <w:sz w:val="16"/>
          <w:szCs w:val="16"/>
          <w:color w:val="auto"/>
        </w:rPr>
        <w:t>. If any change in, or the introduction, adoption, effectiveness, interpretation, reinterpretation or phase-in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 or regulation, directive, guideline, decision or request (whether or not having the force of law) of any court, central bank, regulator or other Governmental Authority after the Restatement Date increases or would increase the cost other than in respect of Taxes, except for withholding taxes imposed as the result of any change in law, regulation or treaty first enacted, promulgated or signed after the Restatement Date (and without limiting Lessee’s obligations pursuant to Sections 13.4, 13.5 or 14.6 hereof), to any Participant of, or reduces or would reduce the amount of any sum receivable by, such Participant in respect of making available, continuing or maintaining (or of its obligation to make available, continue or maintain) or prevents or would prevent any Participant from being legally entitled to a complete exemption from withholding as described in Section 12.3 with respect to, any Rent Assignment Contributions or Lessor Amount, as the case may be, then the Lessee shall from time to time, within thirty (30) days of demand by such Participant together with the certificate referred to below (with a copy of such demand and certificate to the Administrative Agent), pay to the Administrative Agent for the account of such Participant additional amounts sufficient to compensate such Participant for such increased cost;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Participant shall be entitled to demand such compensation more than ninety (90) days following the later of such Participant’s incurrence or sufferance thereof and such Participant’s actual knowledge of the event giving rise to such Participant’s rights under this section;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provision shall in no way limit the right of any Participant to demand or receive such compensation to the extent that such compensation relates to the retroactive application of any law, regulation, guideline or request if such demand is made within ninety (90) days after the implementation of such retroactive law, interpretation, guideline or request. A reasonably detailed certificate as to the nature and amount of such increased cost, submitted to the Lessee and the Administrative Agent by such Participant in good faith, shall be conclusive and binding for all purposes, absent manifest error.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Section 14.4. Funding Losses</w:t>
      </w:r>
      <w:r>
        <w:rPr>
          <w:rFonts w:ascii="Arial" w:cs="Arial" w:eastAsia="Arial" w:hAnsi="Arial"/>
          <w:sz w:val="18"/>
          <w:szCs w:val="18"/>
          <w:color w:val="auto"/>
        </w:rPr>
        <w:t>. In the event any Participant shall incur any loss or out-of-pocket expense (including any Break Costs and any loss or</w:t>
      </w:r>
      <w:r>
        <w:rPr>
          <w:rFonts w:ascii="Arial" w:cs="Arial" w:eastAsia="Arial" w:hAnsi="Arial"/>
          <w:sz w:val="18"/>
          <w:szCs w:val="18"/>
          <w:i w:val="1"/>
          <w:iCs w:val="1"/>
          <w:color w:val="auto"/>
        </w:rPr>
        <w:t xml:space="preserve"> </w:t>
      </w:r>
      <w:r>
        <w:rPr>
          <w:rFonts w:ascii="Arial" w:cs="Arial" w:eastAsia="Arial" w:hAnsi="Arial"/>
          <w:sz w:val="18"/>
          <w:szCs w:val="18"/>
          <w:color w:val="auto"/>
        </w:rPr>
        <w:t>out-of-pocket expense incurred by reason of the liquidation or reemployment of deposits or other funds acquired by such Participant to make available, continue or maintain any portion of the principal amount of any Rent Assignment Contribution or Lessor Amount, as the case may be, but in any such case excluding loss of anticipated profits) as a result of:</w:t>
      </w:r>
    </w:p>
    <w:p>
      <w:pPr>
        <w:spacing w:after="0" w:line="187" w:lineRule="exact"/>
        <w:rPr>
          <w:sz w:val="20"/>
          <w:szCs w:val="20"/>
          <w:color w:val="auto"/>
        </w:rPr>
      </w:pPr>
    </w:p>
    <w:p>
      <w:pPr>
        <w:ind w:left="660" w:firstLine="644"/>
        <w:spacing w:after="0" w:line="277" w:lineRule="auto"/>
        <w:tabs>
          <w:tab w:leader="none" w:pos="159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conversion or repayment or prepayment of the principal amount of any Rent Assignment Contribution or Lessor Amount, as the case may be, on a date other than the scheduled last day of the Interest Period applicable thereto,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1300"/>
        <w:spacing w:after="0"/>
        <w:rPr>
          <w:sz w:val="20"/>
          <w:szCs w:val="20"/>
          <w:color w:val="auto"/>
        </w:rPr>
      </w:pPr>
      <w:r>
        <w:rPr>
          <w:rFonts w:ascii="Arial" w:cs="Arial" w:eastAsia="Arial" w:hAnsi="Arial"/>
          <w:sz w:val="18"/>
          <w:szCs w:val="18"/>
          <w:color w:val="auto"/>
        </w:rPr>
        <w:t>(b) [Omitted],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then, upon the written notice of such Participant to the Lessee (with a copy to Lessor), the Lessee shall, within thirty (30) days after its receipt thereof, pay directly to such Participant as Supplemental Rent such amount (determined on the basis of such Participant’s standard practices) as will reimburse such Participant for such loss or out-of-pocket expense. Such written notice (which shall include calculations in sufficiently reasonable detail to indicate the incurrence and amount of such loss and out-of-pocket expense) shall be presumed correct and binding on the Lessee absent demonstrable error. Notwithstanding anything herein to the contrary, Lessee shall not be required to compensate a Participant pursuant to this Section for any amounts under this Section 14.4 incurred more than one hundred twenty (120) days prior to the date that such Participant notifies Lessee of such amount and of such Participant’s intention to claim compensation therefor.</w:t>
      </w:r>
    </w:p>
    <w:p>
      <w:pPr>
        <w:spacing w:after="0" w:line="19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Section 14.5. Increased Capital Costs</w:t>
      </w:r>
      <w:r>
        <w:rPr>
          <w:rFonts w:ascii="Arial" w:cs="Arial" w:eastAsia="Arial" w:hAnsi="Arial"/>
          <w:sz w:val="16"/>
          <w:szCs w:val="16"/>
          <w:color w:val="auto"/>
        </w:rPr>
        <w:t>. If any Participant reasonably determines that compliance with any law or regulation or any guideline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request from any central bank or other Governmental Authority (whether or not having the force of law) issued, promulgated or made, as the case may be, after the Restatement Date affects or would affect the amount or liquidity of capital required or expected to be maintained by such Participant or any corporation controlling such Participant and that the amount or liquidity of such capital is increased by or based upon the existence of such Participant’s Commitment hereunder and other commitments of this type then, within thirty (30) days of demand by such Participant together with the certificate referred to below (with a copy of such demand and certificate to the Administrative Agent), the Lessee shall pay to the Administrative Agent for the account of such Participant, from time to time as specified by such Participant, additional amounts sufficient to compensate such Participant or such corporation in the light of such circumstances, to the extent that such Participant determines such increase in capital to be allocable to the existence of such Participant’s Commitment hereunder or the Fundings made by such Participant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Participant shall be entitled to demand such compensation if more than ninety (90) days following the later of such Participant’s incurrence or sufferance thereof and such Participant’s actual knowledge of the event giving rise to such Participant’s rights under this section;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proviso shall in no way limit the right of any Participant to demand or receive such compensation to the extent that such compensation relates to the retroactive application of any law, regulation, guideline or request described above if such demand is made within one hundred twenty (120) days after the implementation of such retroactive law, interpretation, guidelines or request. A reasonably detailed certificate as to such amounts submitted to the Lessee and the Administrative Agent by such Participant in good faith shall be conclusive and binding for all purposes, absent manifest error. Notwithstanding anything herein to the contrary,</w:t>
      </w:r>
    </w:p>
    <w:p>
      <w:pPr>
        <w:jc w:val="both"/>
        <w:ind w:firstLine="8"/>
        <w:spacing w:after="0" w:line="253" w:lineRule="auto"/>
        <w:tabs>
          <w:tab w:leader="none" w:pos="2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ind w:left="340"/>
        <w:spacing w:after="0"/>
        <w:tabs>
          <w:tab w:leader="none" w:pos="1440" w:val="left"/>
        </w:tabs>
        <w:rPr>
          <w:sz w:val="20"/>
          <w:szCs w:val="20"/>
          <w:color w:val="auto"/>
        </w:rPr>
      </w:pPr>
      <w:r>
        <w:rPr>
          <w:rFonts w:ascii="Arial" w:cs="Arial" w:eastAsia="Arial" w:hAnsi="Arial"/>
          <w:sz w:val="18"/>
          <w:szCs w:val="18"/>
          <w:i w:val="1"/>
          <w:iCs w:val="1"/>
          <w:color w:val="auto"/>
        </w:rPr>
        <w:t>Section 14.6.</w:t>
      </w:r>
      <w:r>
        <w:rPr>
          <w:sz w:val="20"/>
          <w:szCs w:val="20"/>
          <w:color w:val="auto"/>
        </w:rPr>
        <w:tab/>
      </w:r>
      <w:r>
        <w:rPr>
          <w:rFonts w:ascii="Arial" w:cs="Arial" w:eastAsia="Arial" w:hAnsi="Arial"/>
          <w:sz w:val="16"/>
          <w:szCs w:val="16"/>
          <w:i w:val="1"/>
          <w:iCs w:val="1"/>
          <w:color w:val="auto"/>
        </w:rPr>
        <w:t>After Tax Basis</w:t>
      </w:r>
      <w:r>
        <w:rPr>
          <w:rFonts w:ascii="Arial" w:cs="Arial" w:eastAsia="Arial" w:hAnsi="Arial"/>
          <w:sz w:val="16"/>
          <w:szCs w:val="16"/>
          <w:color w:val="auto"/>
        </w:rPr>
        <w:t>. Lessee shall pay all amounts owing by it under this Article XIV on an After Tax Basis.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Section 14.7. Applicability of Certain Sections</w:t>
      </w:r>
      <w:r>
        <w:rPr>
          <w:rFonts w:ascii="Arial" w:cs="Arial" w:eastAsia="Arial" w:hAnsi="Arial"/>
          <w:sz w:val="18"/>
          <w:szCs w:val="18"/>
          <w:color w:val="auto"/>
        </w:rPr>
        <w:t>. The provisions of Sections 14.1 through 14.6 are applicable to the Lessor and the Participants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any funding or maintenance thereof by reference to the Term SOFR Rate, and not otherwise.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Section 14.8. Funding Office</w:t>
      </w:r>
      <w:r>
        <w:rPr>
          <w:rFonts w:ascii="Arial" w:cs="Arial" w:eastAsia="Arial" w:hAnsi="Arial"/>
          <w:sz w:val="18"/>
          <w:szCs w:val="18"/>
          <w:color w:val="auto"/>
        </w:rPr>
        <w:t>. If the Lessee is required to pay additional amounts to or for the account of any Participant pursuant to Sections 13.4,</w:t>
      </w:r>
      <w:r>
        <w:rPr>
          <w:rFonts w:ascii="Arial" w:cs="Arial" w:eastAsia="Arial" w:hAnsi="Arial"/>
          <w:sz w:val="18"/>
          <w:szCs w:val="18"/>
          <w:i w:val="1"/>
          <w:iCs w:val="1"/>
          <w:color w:val="auto"/>
        </w:rPr>
        <w:t xml:space="preserve"> </w:t>
      </w:r>
      <w:r>
        <w:rPr>
          <w:rFonts w:ascii="Arial" w:cs="Arial" w:eastAsia="Arial" w:hAnsi="Arial"/>
          <w:sz w:val="18"/>
          <w:szCs w:val="18"/>
          <w:color w:val="auto"/>
        </w:rPr>
        <w:t>14.1 to 14.3 or Section 14.5, to the extent applicable, then such Participant will agree to use reasonable efforts to reduce or eliminate any claim for compensation thereunder, including, without limitation, to change the jurisdiction of its Applicable Lending Office so as to eliminate or reduce any such additional payment which may thereafter accrue if such change, in the sole judgment of such Participant, is not otherwise disadvantageous to such Participant.</w:t>
      </w:r>
    </w:p>
    <w:p>
      <w:pPr>
        <w:spacing w:after="0" w:line="18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Section 14.9. Replacement of Participants</w:t>
      </w:r>
      <w:r>
        <w:rPr>
          <w:rFonts w:ascii="Arial" w:cs="Arial" w:eastAsia="Arial" w:hAnsi="Arial"/>
          <w:sz w:val="16"/>
          <w:szCs w:val="16"/>
          <w:color w:val="auto"/>
        </w:rPr>
        <w:t>. (a) If (i) any Participant shall make demand for payment under Section 14.3 or 14.5, or shall deliver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notice to the Administrative Agent pursuant to Section 14.1 resulting in the suspension of certain obligations of such Participant with respect to the accrual of Yield based upon the Term SOFR Rate, (ii) any Participant is a Non-Renewing Participant, (iii) any Participant shall refuse to consent to any amendment, modification or waiver which has been approved by the Required Participants but can only become effective upon the consent of all Participants, all Rent Assignees, each Participant affected thereby or each Rent Assignee affected thereby, as the case may be, or (iv) any Recipient becomes subject to a Withholding Tax or any other Tax in respect of which Lessee is required to pay additional amounts pursuant to Section 13.4, then within sixty (60) days of such demand, failure to consent or refusal, Lessee may elect to replace such Participant as a party to this Participation Agreement (or, if later with respect to any Non-Renewing Participant, prior to the Renewal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concurrently with such replacement,</w:t>
      </w:r>
    </w:p>
    <w:p>
      <w:pPr>
        <w:spacing w:after="0" w:line="1" w:lineRule="exact"/>
        <w:rPr>
          <w:sz w:val="20"/>
          <w:szCs w:val="20"/>
          <w:color w:val="auto"/>
        </w:rPr>
      </w:pPr>
    </w:p>
    <w:p>
      <w:pPr>
        <w:jc w:val="both"/>
        <w:ind w:firstLine="8"/>
        <w:spacing w:after="0" w:line="288" w:lineRule="auto"/>
        <w:tabs>
          <w:tab w:leader="none" w:pos="269"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another Eligible Assignee designated by the Lessee shall agree, as of such date, to (x) purchase for cash all (but not less than all) of the outstanding Participant Balance of such Participant being replaced (other than amounts, if any, paid by the Lessee pursuant to subclause (2) below) pursuant to an Assignment Agreement and (y) become a Participant for all purposes under this Participation Agreement and to comply with the requirements of Section 12.1, and (2) Lessee shall pay to such Participant being replaced in same day funds on the day of such replacement (x) all interest, fees and other amounts then accrued but unpaid to such Participant by Lessee hereunder to and including the date of termination (other than amounts, if any, paid by the replacement Participant pursuant to subclause (1) above), and (y) an amount, if any, which would have been due to such Participant under Section 14.4 hereof if such Participant’s Rent Assignment Contribution and/or Lessor Amount had been prepaid rather than assigned.</w:t>
      </w:r>
    </w:p>
    <w:p>
      <w:pPr>
        <w:spacing w:after="0" w:line="168" w:lineRule="exact"/>
        <w:rPr>
          <w:rFonts w:ascii="Arial" w:cs="Arial" w:eastAsia="Arial" w:hAnsi="Arial"/>
          <w:sz w:val="16"/>
          <w:szCs w:val="16"/>
          <w:color w:val="auto"/>
        </w:rPr>
      </w:pPr>
    </w:p>
    <w:p>
      <w:pPr>
        <w:ind w:right="20" w:firstLine="656"/>
        <w:spacing w:after="0" w:line="277" w:lineRule="auto"/>
        <w:tabs>
          <w:tab w:leader="none" w:pos="1105"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Administrative Agent and the Lessor hereby agree to reasonably cooperate with the Lessee, at Lessee’s sole cost and expense, in Lessee’s efforts to arrange one or more replacement Participants as contemplated by this Section 14.9.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656"/>
        <w:spacing w:after="0" w:line="255" w:lineRule="auto"/>
        <w:tabs>
          <w:tab w:leader="none" w:pos="10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party hereto agrees that an assignment required pursuant to this Section 14.9 may be effected pursuant to an Assignment Agreement executed by the Lessee, the Administrative Agent and the assignee, and the Participant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Participant, provided that any such documents shall be without recourse to or warranty by the parties thereto.</w:t>
      </w:r>
    </w:p>
    <w:p>
      <w:pPr>
        <w:spacing w:after="0" w:line="192"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i w:val="1"/>
          <w:iCs w:val="1"/>
          <w:color w:val="auto"/>
        </w:rPr>
        <w:t>Section 14.10.</w:t>
      </w:r>
      <w:r>
        <w:rPr>
          <w:sz w:val="20"/>
          <w:szCs w:val="20"/>
          <w:color w:val="auto"/>
        </w:rPr>
        <w:tab/>
      </w:r>
      <w:r>
        <w:rPr>
          <w:rFonts w:ascii="Arial" w:cs="Arial" w:eastAsia="Arial" w:hAnsi="Arial"/>
          <w:sz w:val="16"/>
          <w:szCs w:val="16"/>
          <w:i w:val="1"/>
          <w:iCs w:val="1"/>
          <w:color w:val="auto"/>
        </w:rPr>
        <w:t>Inability to Determine Rates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5" w:lineRule="auto"/>
        <w:tabs>
          <w:tab w:leader="none" w:pos="1095"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(i) the Administrative Agent determines (which determination shall be conclusive absent manifest error) that (x) no Successor Rate has been determined in accordance with Section 14.10(b), and the circumstances under clause (i) of Section 14.10(b) or the Scheduled Unavailability Date has occurred, or (y) adequate and reasonable means do not otherwise exist for determining Term SOFR for any Interest Period, or (ii) the Administrative Agent or the Required Participants determine that for any reason that Term SOFR for any Interest Period does not adequately and fairly reflect the cost to such Participants of their Funding, then the Administrative Agent will promptly so notify the Lessee and each Participant.</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Thereafter, the obligation of the Participants to maintain the Advances at the Term SOFR Rate shall be suspended (to the extent of the affected Advances or Interest Periods), and until the Administrative Agent (or, in the case of a determination by the Required Participants described in clause (ii) of this Section 14.10(a) and any such Advance (to the extent of the affected Advances or Interest Periods) shall bear Yield on an Alternate Base Rate basis (unless and until a Successor Rate has been determined in accordance with Section 14.10(b)), until the Administrative Agent upon instruction of the Required Participants) revokes such notice.</w:t>
      </w:r>
    </w:p>
    <w:p>
      <w:pPr>
        <w:spacing w:after="0" w:line="188" w:lineRule="exact"/>
        <w:rPr>
          <w:sz w:val="20"/>
          <w:szCs w:val="20"/>
          <w:color w:val="auto"/>
        </w:rPr>
      </w:pPr>
    </w:p>
    <w:p>
      <w:pPr>
        <w:jc w:val="both"/>
        <w:ind w:firstLine="656"/>
        <w:spacing w:after="0" w:line="259" w:lineRule="auto"/>
        <w:tabs>
          <w:tab w:leader="none" w:pos="110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Replacement of Term SOFR or Successor Rate</w:t>
      </w:r>
      <w:r>
        <w:rPr>
          <w:rFonts w:ascii="Arial" w:cs="Arial" w:eastAsia="Arial" w:hAnsi="Arial"/>
          <w:sz w:val="18"/>
          <w:szCs w:val="18"/>
          <w:color w:val="auto"/>
        </w:rPr>
        <w:t>. Notwithstanding anything to the contrary in this Participation Agreement or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if the Administrative Agent determines (which determination shall be conclusive absent manifest error), or the Lessee or Required Participants notify the Administrative Agent (with, in the case of the Required Participants, a copy to the Lessee) that the Lessee or Required Participants (as applicable) have determined, that:</w:t>
      </w:r>
    </w:p>
    <w:p>
      <w:pPr>
        <w:spacing w:after="0" w:line="187" w:lineRule="exact"/>
        <w:rPr>
          <w:sz w:val="20"/>
          <w:szCs w:val="20"/>
          <w:color w:val="auto"/>
        </w:rPr>
      </w:pPr>
    </w:p>
    <w:p>
      <w:pPr>
        <w:ind w:left="660" w:hanging="4"/>
        <w:spacing w:after="0" w:line="277"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Term SOFR, including, without limitation, because the Term SOFR Screen Rate is not available or published on a current basis and such circumstances are unlikely to be temporary; or</w:t>
      </w:r>
    </w:p>
    <w:p>
      <w:pPr>
        <w:spacing w:after="0" w:line="170" w:lineRule="exact"/>
        <w:rPr>
          <w:rFonts w:ascii="Arial" w:cs="Arial" w:eastAsia="Arial" w:hAnsi="Arial"/>
          <w:sz w:val="18"/>
          <w:szCs w:val="18"/>
          <w:color w:val="auto"/>
        </w:rPr>
      </w:pPr>
    </w:p>
    <w:p>
      <w:pPr>
        <w:jc w:val="both"/>
        <w:ind w:left="660" w:hanging="4"/>
        <w:spacing w:after="0" w:line="254" w:lineRule="auto"/>
        <w:tabs>
          <w:tab w:leader="none" w:pos="1127" w:val="left"/>
        </w:tabs>
        <w:numPr>
          <w:ilvl w:val="0"/>
          <w:numId w:val="71"/>
        </w:numPr>
        <w:rPr>
          <w:rFonts w:ascii="Arial" w:cs="Arial" w:eastAsia="Arial" w:hAnsi="Arial"/>
          <w:sz w:val="18"/>
          <w:szCs w:val="18"/>
          <w:color w:val="auto"/>
        </w:rPr>
      </w:pPr>
      <w:r>
        <w:rPr>
          <w:rFonts w:ascii="Arial" w:cs="Arial" w:eastAsia="Arial" w:hAnsi="Arial"/>
          <w:sz w:val="18"/>
          <w:szCs w:val="18"/>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Term SOFR after such specific date (the latest date on which Term SOFR or the Term SOFR Screen Rate are no longer available permanently or indefinitely, the “</w:t>
      </w:r>
      <w:r>
        <w:rPr>
          <w:rFonts w:ascii="Arial" w:cs="Arial" w:eastAsia="Arial" w:hAnsi="Arial"/>
          <w:sz w:val="18"/>
          <w:szCs w:val="18"/>
          <w:i w:val="1"/>
          <w:iCs w:val="1"/>
          <w:color w:val="auto"/>
        </w:rPr>
        <w:t>Scheduled Unavailability Date</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then, on a date and time determined by the Administrative Agent (any such date, the “</w:t>
      </w:r>
      <w:r>
        <w:rPr>
          <w:rFonts w:ascii="Arial" w:cs="Arial" w:eastAsia="Arial" w:hAnsi="Arial"/>
          <w:sz w:val="18"/>
          <w:szCs w:val="18"/>
          <w:i w:val="1"/>
          <w:iCs w:val="1"/>
          <w:color w:val="auto"/>
        </w:rPr>
        <w:t>Term SOFR Replacement Date</w:t>
      </w:r>
      <w:r>
        <w:rPr>
          <w:rFonts w:ascii="Arial" w:cs="Arial" w:eastAsia="Arial" w:hAnsi="Arial"/>
          <w:sz w:val="18"/>
          <w:szCs w:val="18"/>
          <w:color w:val="auto"/>
        </w:rPr>
        <w:t xml:space="preserve">”), which date shall be at the end of an Interest Period for Yield calculated and, solely with respect to clause (ii) above, no later than the Scheduled Unavailability Date, Term SOFR will be replaced hereunder and under any Operative Document with Daily Simple SOFR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SOFR Adjustment for any payment period for Yield calculated that can be determined by the Administrative Agent, in each case, without any amendment to, or further action or consent of any other party to, this Participation Agreement or any other Operative Document (the “</w:t>
      </w:r>
      <w:r>
        <w:rPr>
          <w:rFonts w:ascii="Arial" w:cs="Arial" w:eastAsia="Arial" w:hAnsi="Arial"/>
          <w:sz w:val="18"/>
          <w:szCs w:val="18"/>
          <w:i w:val="1"/>
          <w:iCs w:val="1"/>
          <w:color w:val="auto"/>
        </w:rPr>
        <w:t>Successor Rate</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Successor Rate is Daily Simple SOFR plus the SOFR Adjustment, all Yield payments will be payable on a monthly basis on the applicable Payment Date.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Notwithstanding anything to the contrary herein or in any other Operative Document, (x) if the Administrative Agent determines that Daily Simple SOFR is not available on or prior to the Term SOFR Replacement Date, or (y) if the events or circumstances of the type described in Section 14.10(b)(i) or (ii) have occurred with respect to the Successor Rate then in effect, then in each case, the Administrative Agent and the Lessee may amend this Participation Agreement solely for the purpose of replacing Term SOFR or any then current Successor Rate in accordance with this Section 14.10 at the end of any Interest Period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Arial" w:cs="Arial" w:eastAsia="Arial" w:hAnsi="Arial"/>
          <w:sz w:val="17"/>
          <w:szCs w:val="17"/>
          <w:i w:val="1"/>
          <w:iCs w:val="1"/>
          <w:color w:val="auto"/>
        </w:rPr>
        <w:t>Successor Rate</w:t>
      </w:r>
      <w:r>
        <w:rPr>
          <w:rFonts w:ascii="Arial" w:cs="Arial" w:eastAsia="Arial" w:hAnsi="Arial"/>
          <w:sz w:val="17"/>
          <w:szCs w:val="17"/>
          <w:color w:val="auto"/>
        </w:rPr>
        <w:t>”. Any such amendment shall become effective at 5:00 p.m. on the fifth Business Day after the Administrative Agent shall have posted such proposed amendment to all Participants and the Lessee unless, prior to such time, Participants comprising the Required Participants have delivered to the Administrative Agent written notice that such Required Participants object to such amendment. If no Successor Rate is agreed to by Administrative Agent and Lessee, the Rent Assignment Contribution Amount and the Lessor Amount will be deemed to bear Yield on an Alternate Base Rate basis until a Successor Rate is so agreed to by Administrative Agent and Lessee. The Administrative Agent will promptly (in one or more notices) notify the Lessee and each Participant of the implementation of any Successor Rate.</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Any Successor Rate shall be applied in a manner consistent with market practice;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277" w:lineRule="auto"/>
        <w:rPr>
          <w:sz w:val="20"/>
          <w:szCs w:val="20"/>
          <w:color w:val="auto"/>
        </w:rPr>
      </w:pPr>
      <w:r>
        <w:rPr>
          <w:rFonts w:ascii="Arial" w:cs="Arial" w:eastAsia="Arial" w:hAnsi="Arial"/>
          <w:sz w:val="18"/>
          <w:szCs w:val="18"/>
          <w:color w:val="auto"/>
        </w:rPr>
        <w:t>Notwithstanding anything else herein, if at any time any Successor Rate as so determined would otherwise be less than 0%, the Successor Rate will be deemed to be 0% for the purposes of this Participation Agreement and the other Operative Documents.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Operative Document, any amendments implementing such Conforming Changes will become effective without any further action or consent of any other party to this Participation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such amendment effected, the Administrative Agent shall post each such amendment implementing such Conforming Changes to the Lessee and the Participants reasonably promptly after such amendment becomes effective.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Section 15.1. Survival of Agreements</w:t>
      </w:r>
      <w:r>
        <w:rPr>
          <w:rFonts w:ascii="Arial" w:cs="Arial" w:eastAsia="Arial" w:hAnsi="Arial"/>
          <w:sz w:val="17"/>
          <w:szCs w:val="17"/>
          <w:color w:val="auto"/>
        </w:rPr>
        <w:t>. All covenants, agreements, representations and warranties in the Operative Documents made by the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thereto and in the certificates or other instruments delivered in connection with or pursuant to any Operative Document shall be considered to have been relied upon by the other parties hereto and thereto and shall survive the execution and delivery of the Operative Documents and the making of the Advance, regardless of any investigation made by any such other party or on its behalf and notwithstanding that any party hereto or thereto may have had notice or knowledge of any default or incorrect representation or warranty at the time any credit is extended hereunder or thereunder, and shall continue in full force and effect until the Lease Balance has been paid in full and the Commitments have expired or been terminated. The provisions of Article XIII and Sections 14.3, 14.4, 14.5, 15.15, 15.16 and 15.17 shall survive and remain in full force and effect regardless of the consummation of the transactions contemplated hereby, the repayment of the Lease Balance, the expiration or termination of the Commitments or the termination of this Participation Agreement or any other Operative Document or any provision hereof or thereof.</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Section 15.2. No Broker, Etc</w:t>
      </w:r>
      <w:r>
        <w:rPr>
          <w:rFonts w:ascii="Arial" w:cs="Arial" w:eastAsia="Arial" w:hAnsi="Arial"/>
          <w:sz w:val="17"/>
          <w:szCs w:val="17"/>
          <w:color w:val="auto"/>
        </w:rPr>
        <w:t>. Except for Lessee’s and the Guarantors’ dealing with Banc of America Leasing &amp; Capital, LLC, as the Arranger,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parties hereto represents to the others that it has not retained or employed the Arranger, or any broker, finder or financial advisor to act on its behalf in connection with this Participation Agreement, nor has it authorized the Arranger, or any broker, finder or financial adviser retained or employed by any other Person so to act, nor has it incurred any fees or commissions to which Lessor, Administrative Agent or any Participant might be subjected by virtue of their entering into the Overall Transaction. Any party who is in breach of this representation shall indemnify and hold the other parties harmless from and against any liability arising out of such breach of this representation.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324"/>
        <w:spacing w:after="0" w:line="253" w:lineRule="auto"/>
        <w:rPr>
          <w:sz w:val="20"/>
          <w:szCs w:val="20"/>
          <w:color w:val="auto"/>
        </w:rPr>
      </w:pPr>
      <w:r>
        <w:rPr>
          <w:rFonts w:ascii="Arial" w:cs="Arial" w:eastAsia="Arial" w:hAnsi="Arial"/>
          <w:sz w:val="18"/>
          <w:szCs w:val="18"/>
          <w:i w:val="1"/>
          <w:iCs w:val="1"/>
          <w:color w:val="auto"/>
        </w:rPr>
        <w:t>Section 15.3. Notices</w:t>
      </w:r>
      <w:r>
        <w:rPr>
          <w:rFonts w:ascii="Arial" w:cs="Arial" w:eastAsia="Arial" w:hAnsi="Arial"/>
          <w:sz w:val="18"/>
          <w:szCs w:val="18"/>
          <w:color w:val="auto"/>
        </w:rPr>
        <w:t>. (a) Unless otherwise specified herein, all notices, requests, demands or other communications to or upon the respective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hereto shall be in writing and shall be deemed to have been duly given and shall be effective: (i) in the case of notice by letter, the earlier of when delivered to the addressee by hand or courier if delivered on a Business Day and, if not delivered on a Business Day, the first Business Day thereafter or on the third Business Day after depositing the same in the mails, registered or certified mail, postage prepaid, return receipt requested, (ii) in the case of a prepaid delivery to a reputable national overnight air courier service, on the Business Day following such date of delivery, and (iii) in the case of notice by facsimile or bank wire, when receipt is confirmed if delivered on a Business Day and, if not delivered on a Business Day, the first Business Day thereafter, addressed as provided on Schedule III hereto, or to such other address as any of the parties hereto may designate by written notice. Notices and other communications delivered through Electronic Systems, to the extent provided in Section 15.3(b) below, shall be effective as provided in such Section 15.3(b).</w:t>
      </w:r>
    </w:p>
    <w:p>
      <w:pPr>
        <w:spacing w:after="0" w:line="196" w:lineRule="exact"/>
        <w:rPr>
          <w:sz w:val="20"/>
          <w:szCs w:val="20"/>
          <w:color w:val="auto"/>
        </w:rPr>
      </w:pPr>
    </w:p>
    <w:p>
      <w:pPr>
        <w:jc w:val="both"/>
        <w:ind w:firstLine="656"/>
        <w:spacing w:after="0" w:line="269" w:lineRule="auto"/>
        <w:tabs>
          <w:tab w:leader="none" w:pos="110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Notices and other communications to the Participants under the Operative Documents may be delivered or furnished by using Electronic Systems pursuant to procedures approved by the Administrative Agent. The Administrative Agent, the Lessee or any Guarantor may, in its discretion, agree to accept notices and other communications to such party under the Operative Documents by electronic communications pursuant to procedures approved by such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1" w:lineRule="exact"/>
        <w:rPr>
          <w:rFonts w:ascii="Arial" w:cs="Arial" w:eastAsia="Arial" w:hAnsi="Arial"/>
          <w:sz w:val="17"/>
          <w:szCs w:val="17"/>
          <w:color w:val="auto"/>
        </w:rPr>
      </w:pPr>
    </w:p>
    <w:p>
      <w:pPr>
        <w:jc w:val="both"/>
        <w:ind w:firstLine="656"/>
        <w:spacing w:after="0" w:line="273" w:lineRule="auto"/>
        <w:tabs>
          <w:tab w:leader="none" w:pos="10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Each Participant agrees that notice to it (as provided in the next sentence) (a </w:t>
      </w:r>
      <w:r>
        <w:rPr>
          <w:rFonts w:ascii="Arial" w:cs="Arial" w:eastAsia="Arial" w:hAnsi="Arial"/>
          <w:sz w:val="17"/>
          <w:szCs w:val="17"/>
          <w:i w:val="1"/>
          <w:iCs w:val="1"/>
          <w:color w:val="auto"/>
        </w:rPr>
        <w:t>“Notice”</w:t>
      </w:r>
      <w:r>
        <w:rPr>
          <w:rFonts w:ascii="Arial" w:cs="Arial" w:eastAsia="Arial" w:hAnsi="Arial"/>
          <w:sz w:val="17"/>
          <w:szCs w:val="17"/>
          <w:color w:val="auto"/>
        </w:rPr>
        <w:t>) specifying that any Lessee Communications have been posted to the Approved Electronic Platform shall constitute effective delivery of the Lessee Communications to such Participant for purposes of this Participation Agreement and other applicable Operative Documents. Each Participant agrees (i) to notify the Administrative Agent in writing of such Participant’s e-mail address to which a Notice may be sent by electronic transmission (including by electronic communication) on or before the date such Participant becomes a party to this Participation Agreement (and from time to time thereafter to ensure that the Administrative Agent has on record an effective e-mail address for such Participant) and (ii) that any Notice may be sent to such e-mail address.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1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Lessee agrees that the Administrative Agent may, but shall not be obligated to, make any Lessee Communications available to the Participants by posting the Lessee Communications on IntraLinks™, DebtDomain, SyndTrak, ClearPar or any other electronic platform chosen by the Administrative Agent to be its electronic transmission system in connection with the transactions contemplated hereby (the </w:t>
      </w:r>
      <w:r>
        <w:rPr>
          <w:rFonts w:ascii="Arial" w:cs="Arial" w:eastAsia="Arial" w:hAnsi="Arial"/>
          <w:sz w:val="18"/>
          <w:szCs w:val="18"/>
          <w:i w:val="1"/>
          <w:iCs w:val="1"/>
          <w:color w:val="auto"/>
        </w:rPr>
        <w:t>“Approved Electronic</w:t>
      </w:r>
      <w:r>
        <w:rPr>
          <w:rFonts w:ascii="Arial" w:cs="Arial" w:eastAsia="Arial" w:hAnsi="Arial"/>
          <w:sz w:val="18"/>
          <w:szCs w:val="18"/>
          <w:color w:val="auto"/>
        </w:rPr>
        <w:t xml:space="preserve"> </w:t>
      </w:r>
      <w:r>
        <w:rPr>
          <w:rFonts w:ascii="Arial" w:cs="Arial" w:eastAsia="Arial" w:hAnsi="Arial"/>
          <w:sz w:val="18"/>
          <w:szCs w:val="18"/>
          <w:i w:val="1"/>
          <w:iCs w:val="1"/>
          <w:color w:val="auto"/>
        </w:rPr>
        <w:t>Platform”</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656"/>
        <w:spacing w:after="0" w:line="254" w:lineRule="auto"/>
        <w:tabs>
          <w:tab w:leader="none" w:pos="10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Although the Approved Electronic Platform and its primary web portal are secured with generally-applicable security procedures and policies implemented or modified by the Administrative Agent from time to time (including, as of the Original Closing Date, a user ID/password authorization system) and the Approved Electronic Platform is secured through a per-deal authorization method whereby each user may access the Approved Electronic Platform only on a deal-by-deal basis, each of the Participants and the Lessee acknowledge and agree that the distribution of material through an electronic medium is not necessarily secure, that the Administrative Agent is not responsible for approving or vetting the representatives or contacts of any Participant that are added to the Approved Electronic Platform, and that there are confidentiality and other risks associated with such distribution. Each of the Participants and the Lessee hereby approve distribution of the Lessee Communications through the Approved Electronic Platform and understands and assumes the risks of such distribution.</w:t>
      </w:r>
    </w:p>
    <w:p>
      <w:pPr>
        <w:spacing w:after="0" w:line="191" w:lineRule="exact"/>
        <w:rPr>
          <w:rFonts w:ascii="Arial" w:cs="Arial" w:eastAsia="Arial" w:hAnsi="Arial"/>
          <w:sz w:val="18"/>
          <w:szCs w:val="18"/>
          <w:color w:val="auto"/>
        </w:rPr>
      </w:pPr>
    </w:p>
    <w:p>
      <w:pPr>
        <w:jc w:val="both"/>
        <w:ind w:firstLine="656"/>
        <w:spacing w:after="0" w:line="267" w:lineRule="auto"/>
        <w:tabs>
          <w:tab w:leader="none" w:pos="1075"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APPROVED ELECTRONIC PLATFORM AND THE LESSEE COMMUNICATIONS ARE PROVIDED “AS IS” AND “AS AVAILABLE.” THE APPLICABLE PARTIES (AS DEFINED BELOW) DO NOT WARRANT THE ACCURACY OR COMPLETENESS OF THE LESSEE COMMUNICATIONS, OR THE ADEQUACY OF THE APPROVED ELECTRONIC PLATFORM AND EXPRESSLY DISCLAIM LIABILITY FOR ERRORS OR OMISSIONS IN THE APPROVED ELECTRONIC PLATFORM AND THE LESSEE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LESSEE COMMUNICATIONS OR THE APPROVED ELECTRONIC PLATFORM. IN NO EVENT SHALL THE ADMINISTRATIVE AGENT OR ANY OF ITS RELATED PARTIES (COLLECTIVELY, </w:t>
      </w:r>
      <w:r>
        <w:rPr>
          <w:rFonts w:ascii="Arial" w:cs="Arial" w:eastAsia="Arial" w:hAnsi="Arial"/>
          <w:sz w:val="17"/>
          <w:szCs w:val="17"/>
          <w:i w:val="1"/>
          <w:iCs w:val="1"/>
          <w:color w:val="auto"/>
        </w:rPr>
        <w:t>“APPLICABLE</w:t>
      </w:r>
      <w:r>
        <w:rPr>
          <w:rFonts w:ascii="Arial" w:cs="Arial" w:eastAsia="Arial" w:hAnsi="Arial"/>
          <w:sz w:val="17"/>
          <w:szCs w:val="17"/>
          <w:color w:val="auto"/>
        </w:rPr>
        <w:t xml:space="preserve"> </w:t>
      </w:r>
      <w:r>
        <w:rPr>
          <w:rFonts w:ascii="Arial" w:cs="Arial" w:eastAsia="Arial" w:hAnsi="Arial"/>
          <w:sz w:val="17"/>
          <w:szCs w:val="17"/>
          <w:i w:val="1"/>
          <w:iCs w:val="1"/>
          <w:color w:val="auto"/>
        </w:rPr>
        <w:t>PARTIES”</w:t>
      </w:r>
      <w:r>
        <w:rPr>
          <w:rFonts w:ascii="Arial" w:cs="Arial" w:eastAsia="Arial" w:hAnsi="Arial"/>
          <w:sz w:val="17"/>
          <w:szCs w:val="17"/>
          <w:color w:val="auto"/>
        </w:rPr>
        <w:t>) HAVE ANY LIABILITY TO THE LESSEE, ANY GUARANTOR, ANY PARTICIPANT OR ANY OTHER PERSON OR ENTITY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DAMAGES OF ANY KIND, INCLUDING DIRECT OR INDIRECT, SPECIAL, INCIDENTAL OR CONSEQUENTIAL DAMAGES, LOSSES OR EXPENSES (WHETHER IN TORT, CONTRACT OR OTHERWISE) ARISING OUT OF TRANSMISSION OF COMMUNICATIONS BY THE LESSEE, ANY GUARANTOR, THE LESSOR OR THE ADMINISTRATIVE AGENT THROUGH THE INTERNET OR THE APPROVED ELECTRONIC PLATFORM EXCEPT WITH RESPECT TO ACTUAL OR DIRECT DAMAGES TO THE EXTENT DETERMINED BY A COURT OF COMPETENT JURISDICTION BY FINAL AND NONAPPEALABLE JUDGMENT TO HAVE RESULTED FROM THE WILLFUL MISCONDUCT OR GROSS NEGLIGENCE OF ANY APPLICABLE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LESSEE COMMUNICATION OR ANY OTHER DISSEMINATION OR DISCLOSURE OF ANY INFORMATION (AS DEFINED IN SECTION 15.14) TO ANY PARTICIPANTS, PROSPECTIVE PARTICIPANTS, SUB-PARTICIPANTS OR PROSPECTIVE SUB-PARTICIPANTS OR, TO THE EXTENT SUCH DISCLOSURE IS OTHERWISE PERMITTED BY SECTION 15.14, TO ANY OTHER PERSON THROUGH THE APPROVED ELECTRONIC PLATFORM SHALL BE MADE SUBJECT TO THE ACKNOWLEDGEMENT AND ACCEPTANCE BY SUCH PERSON THAT SUCH LESSEE COMMUNICATION OR SUCH OTHER INFORMATION IS BEING DISSEMINATED OR DISCLOSED ON A CONFIDENTIAL BASIS (ON TERMS SUBSTANTIALLY THE SAME AS SET FORTH IN SECTION 15.14 OR OTHERWISE REASONABLY ACCEPTABLE TO THE ADMINISTRATIVE AGENT AND THE LESSEE), WHICH SHALL IN ANY EVENT REQUIRE “CLICK THROUGH” OR OTHER AFFIRMATIVE ACTIONS ON THE PART OF THE RECIPIENT TO ACCESS SUCH COMMUNICATION OR SUCH OTHER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656"/>
        <w:spacing w:after="0" w:line="263" w:lineRule="auto"/>
        <w:tabs>
          <w:tab w:leader="none" w:pos="11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the Participants and the Lessee agrees that the Administrative Agent may, but (except as may be required by applicable law) shall not be obligated to, store the Lessee Communications on the Approved Electronic Platform in accordance with the Administrative Agent’s generally applicable document retention procedures and policies.</w:t>
      </w:r>
    </w:p>
    <w:p>
      <w:pPr>
        <w:spacing w:after="0" w:line="183" w:lineRule="exact"/>
        <w:rPr>
          <w:rFonts w:ascii="Arial" w:cs="Arial" w:eastAsia="Arial" w:hAnsi="Arial"/>
          <w:sz w:val="18"/>
          <w:szCs w:val="18"/>
          <w:color w:val="auto"/>
        </w:rPr>
      </w:pPr>
    </w:p>
    <w:p>
      <w:pPr>
        <w:ind w:firstLine="656"/>
        <w:spacing w:after="0" w:line="277" w:lineRule="auto"/>
        <w:tabs>
          <w:tab w:leader="none" w:pos="11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Nothing herein shall prejudice the right of the Lessee, any Guarantor, the Administrative Agent or any Participant to give any notice or other communication pursuant to any Operative Document in any other manner specified in such Operative Document.</w:t>
      </w:r>
    </w:p>
    <w:p>
      <w:pPr>
        <w:spacing w:after="0" w:line="17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Section 15.4. Counterparts</w:t>
      </w:r>
      <w:r>
        <w:rPr>
          <w:rFonts w:ascii="Arial" w:cs="Arial" w:eastAsia="Arial" w:hAnsi="Arial"/>
          <w:sz w:val="16"/>
          <w:szCs w:val="16"/>
          <w:color w:val="auto"/>
        </w:rPr>
        <w:t>. (a) This Participation Agreement, any Operative Document and any document, amendment, approval,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notice, certificate, request, statement, disclosure or authorization related to this Participation Agreement or any Operative Document (each a “</w:t>
      </w:r>
      <w:r>
        <w:rPr>
          <w:rFonts w:ascii="Arial" w:cs="Arial" w:eastAsia="Arial" w:hAnsi="Arial"/>
          <w:sz w:val="16"/>
          <w:szCs w:val="16"/>
          <w:i w:val="1"/>
          <w:iCs w:val="1"/>
          <w:color w:val="auto"/>
        </w:rPr>
        <w:t>Communication</w:t>
      </w:r>
      <w:r>
        <w:rPr>
          <w:rFonts w:ascii="Arial" w:cs="Arial" w:eastAsia="Arial" w:hAnsi="Arial"/>
          <w:sz w:val="16"/>
          <w:szCs w:val="16"/>
          <w:color w:val="auto"/>
        </w:rPr>
        <w:t>”), including Communications required to be in writing, may, if agreed by the Lessor and Administrative Agent, be in the form of an Electronic Record and may be executed using Electronic Signatures, including, without limitation, facsimile and/or .pdf. Each of the parties hereto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Lessor and each of the Rent Assignees of a manually signed paper Communication which has been converted into electronic form (such as scanned into PDF format), or an electronically signed Communication converted into another format for transmission, delivery and/or retention. Any party hereto may, at its option, create one or more copies of any Communication in the form of an imaged Electronic Record (“</w:t>
      </w:r>
      <w:r>
        <w:rPr>
          <w:rFonts w:ascii="Arial" w:cs="Arial" w:eastAsia="Arial" w:hAnsi="Arial"/>
          <w:sz w:val="16"/>
          <w:szCs w:val="16"/>
          <w:i w:val="1"/>
          <w:iCs w:val="1"/>
          <w:color w:val="auto"/>
        </w:rPr>
        <w:t>Electronic Copy</w:t>
      </w:r>
      <w:r>
        <w:rPr>
          <w:rFonts w:ascii="Arial" w:cs="Arial" w:eastAsia="Arial" w:hAnsi="Arial"/>
          <w:sz w:val="16"/>
          <w:szCs w:val="16"/>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without limiting the foregoing, (i) to the extent the Administrative Agent has agreed to accept such Electronic Signature, the Administrative Agent, Lessor and each of the Rent Assignees shall be entitled to rely on any such Electronic Signature purportedly given by or on behalf of Lessee or a Guarantor without further verification and regardless of the appearance or form of such Electronic Signature and (ii) upon the request of the Administrative Agent, Lessor or any Rent Assignee, any Communication executed using any Electronic Signature shall be promptly followed by a manually executed, original counterpart. For purposes hereof, “</w:t>
      </w:r>
      <w:r>
        <w:rPr>
          <w:rFonts w:ascii="Arial" w:cs="Arial" w:eastAsia="Arial" w:hAnsi="Arial"/>
          <w:sz w:val="16"/>
          <w:szCs w:val="16"/>
          <w:i w:val="1"/>
          <w:iCs w:val="1"/>
          <w:color w:val="auto"/>
        </w:rPr>
        <w:t>Electronic Record</w:t>
      </w:r>
      <w:r>
        <w:rPr>
          <w:rFonts w:ascii="Arial" w:cs="Arial" w:eastAsia="Arial" w:hAnsi="Arial"/>
          <w:sz w:val="16"/>
          <w:szCs w:val="16"/>
          <w:color w:val="auto"/>
        </w:rPr>
        <w:t>” and “</w:t>
      </w:r>
      <w:r>
        <w:rPr>
          <w:rFonts w:ascii="Arial" w:cs="Arial" w:eastAsia="Arial" w:hAnsi="Arial"/>
          <w:sz w:val="16"/>
          <w:szCs w:val="16"/>
          <w:i w:val="1"/>
          <w:iCs w:val="1"/>
          <w:color w:val="auto"/>
        </w:rPr>
        <w:t>Electronic Signature</w:t>
      </w:r>
      <w:r>
        <w:rPr>
          <w:rFonts w:ascii="Arial" w:cs="Arial" w:eastAsia="Arial" w:hAnsi="Arial"/>
          <w:sz w:val="16"/>
          <w:szCs w:val="16"/>
          <w:color w:val="auto"/>
        </w:rPr>
        <w:t>” shall have the meanings assigned to them, respectively, by 15 USC §7006, as it may be amended from time to time.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656"/>
        <w:spacing w:after="0" w:line="254" w:lineRule="auto"/>
        <w:tabs>
          <w:tab w:leader="none" w:pos="11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Neither the Administrative Agent nor Lessor (except that Lessor shall be responsible for its representations and warranties made with respect to itself) shall be responsible for or have any duty to ascertain or inquire into the sufficiency, validity, enforceability, effectiveness or genuineness of any Operative Document or any other agreement, instrument or document (including, for the avoidance of doubt, in connection with the Administrative Agent’s or Lessor’s reliance on any Electronic Signature transmitted by telecopy, emailed .pdf or any other electronic means). The Administrative Agent and Lessor shall be entitled to rely on, and shall incur no liability under or in respect of this Participation Agreement or any other Operative Document by acting upon, any Communication or any statement made to it orally or by telephone and believed by it to be genuine and signed or sent or otherwise authenticated by the proper Person (whether or not such Person in fact meets the requirements set forth in the Operative Documents for being the maker thereof).</w:t>
      </w:r>
    </w:p>
    <w:p>
      <w:pPr>
        <w:spacing w:after="0" w:line="191" w:lineRule="exact"/>
        <w:rPr>
          <w:rFonts w:ascii="Arial" w:cs="Arial" w:eastAsia="Arial" w:hAnsi="Arial"/>
          <w:sz w:val="18"/>
          <w:szCs w:val="18"/>
          <w:color w:val="auto"/>
        </w:rPr>
      </w:pPr>
    </w:p>
    <w:p>
      <w:pPr>
        <w:jc w:val="both"/>
        <w:ind w:firstLine="656"/>
        <w:spacing w:after="0" w:line="255" w:lineRule="auto"/>
        <w:tabs>
          <w:tab w:leader="none" w:pos="10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the parties hereto hereby waives (i) any argument, defense or right to contest the legal effect, validity or enforceability of this Participation Agreement and/or any other Operative Document based solely on the lack of paper original copies of this Participation Agreement and/or such other Operative Document, and (ii) any claim against the Administrative Agent, Lessor and/or any Rent Assignee for any liabilities arising solely from the Administrative Agent’s, Lessor’s and/or any Rent Assignee’s reliance on or use of Electronic Signatures, including any liabilities arising as a result of the failure of the Lessee or any Guarantor to use any available security measures in connection with the execution, delivery or transmission of any Electronic Signature.</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573" w:val="left"/>
        </w:tabs>
        <w:numPr>
          <w:ilvl w:val="1"/>
          <w:numId w:val="75"/>
        </w:numPr>
        <w:rPr>
          <w:rFonts w:ascii="Arial" w:cs="Arial" w:eastAsia="Arial" w:hAnsi="Arial"/>
          <w:sz w:val="18"/>
          <w:szCs w:val="18"/>
          <w:color w:val="auto"/>
        </w:rPr>
      </w:pPr>
      <w:r>
        <w:rPr>
          <w:rFonts w:ascii="Arial" w:cs="Arial" w:eastAsia="Arial" w:hAnsi="Arial"/>
          <w:sz w:val="18"/>
          <w:szCs w:val="18"/>
          <w:color w:val="auto"/>
        </w:rPr>
        <w:t>Each of the parties hereto represents and warrants to the other parties that it has the corporate or other requisite organizational capacity and authority to execute this Participation Agreement and any other Communication through electronic means and there are no restrictions on doing so in that party’s constitutive documents.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Section 15.5. Amendments</w:t>
      </w:r>
      <w:r>
        <w:rPr>
          <w:rFonts w:ascii="Arial" w:cs="Arial" w:eastAsia="Arial" w:hAnsi="Arial"/>
          <w:sz w:val="17"/>
          <w:szCs w:val="17"/>
          <w:color w:val="auto"/>
        </w:rPr>
        <w:t>. Except as provided in Section 14.10(b), no Operative Document nor any of the terms thereof may be terminated,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amended, restated, supplemented, waived or modified without the written agreement or consent of Administrative Agent, Lessee and the Required Participants;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Section 15.19 hereof may not be terminated, amended, restated, supplemented, waived or modified without the written agreement or consent of the Arranger;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such termination, amendment, supplement, waiver or modification shall require the written agreement or consent of each Participant if such termination, amendment, supplement, waiver or modification would:</w:t>
      </w:r>
    </w:p>
    <w:p>
      <w:pPr>
        <w:spacing w:after="0" w:line="176" w:lineRule="exact"/>
        <w:rPr>
          <w:sz w:val="20"/>
          <w:szCs w:val="20"/>
          <w:color w:val="auto"/>
        </w:rPr>
      </w:pPr>
    </w:p>
    <w:p>
      <w:pPr>
        <w:ind w:left="660" w:firstLine="644"/>
        <w:spacing w:after="0" w:line="277" w:lineRule="auto"/>
        <w:tabs>
          <w:tab w:leader="none" w:pos="1597"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modify any of the provisions of this Section 15.5, change the definition of “Required Participants” or modify or waive any provision of an Operative Document expressly requiring consent, approval or action by each Participant or each Affected Participant;</w:t>
      </w:r>
    </w:p>
    <w:p>
      <w:pPr>
        <w:spacing w:after="0" w:line="170" w:lineRule="exact"/>
        <w:rPr>
          <w:rFonts w:ascii="Arial" w:cs="Arial" w:eastAsia="Arial" w:hAnsi="Arial"/>
          <w:sz w:val="18"/>
          <w:szCs w:val="18"/>
          <w:color w:val="auto"/>
        </w:rPr>
      </w:pPr>
    </w:p>
    <w:p>
      <w:pPr>
        <w:ind w:left="660" w:firstLine="644"/>
        <w:spacing w:after="0" w:line="277" w:lineRule="auto"/>
        <w:tabs>
          <w:tab w:leader="none" w:pos="15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amend, modify, waive or supplement any of the provisions of Sections 4.1, 4.2, 4.5, 4.7 and 5.3 hereof or Sections 2.5, 2.6 or 2.7 of the Rent Assignment Agreement or the definitions of “Applicable Margin,” “Yield 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left="652" w:right="20" w:firstLine="644"/>
        <w:spacing w:after="0" w:line="342" w:lineRule="auto"/>
        <w:tabs>
          <w:tab w:leader="none" w:pos="1589"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reduce, modify, amend or waive any fees or indemnities in favor of any Participant, including without limitation amounts payable pursuant to Article XIII (except that any Person may consent to any reduction, modification, amendment or waiver of any indemnity payable to it);</w:t>
      </w:r>
    </w:p>
    <w:p>
      <w:pPr>
        <w:spacing w:after="0" w:line="123" w:lineRule="exact"/>
        <w:rPr>
          <w:rFonts w:ascii="Arial" w:cs="Arial" w:eastAsia="Arial" w:hAnsi="Arial"/>
          <w:sz w:val="16"/>
          <w:szCs w:val="16"/>
          <w:color w:val="auto"/>
        </w:rPr>
      </w:pPr>
    </w:p>
    <w:p>
      <w:pPr>
        <w:jc w:val="both"/>
        <w:ind w:left="652" w:firstLine="644"/>
        <w:spacing w:after="0" w:line="290" w:lineRule="auto"/>
        <w:tabs>
          <w:tab w:leader="none" w:pos="1577" w:val="left"/>
        </w:tabs>
        <w:numPr>
          <w:ilvl w:val="0"/>
          <w:numId w:val="77"/>
        </w:numPr>
        <w:rPr>
          <w:rFonts w:ascii="Arial" w:cs="Arial" w:eastAsia="Arial" w:hAnsi="Arial"/>
          <w:sz w:val="16"/>
          <w:szCs w:val="16"/>
          <w:color w:val="auto"/>
        </w:rPr>
      </w:pPr>
      <w:r>
        <w:rPr>
          <w:rFonts w:ascii="Arial" w:cs="Arial" w:eastAsia="Arial" w:hAnsi="Arial"/>
          <w:sz w:val="16"/>
          <w:szCs w:val="16"/>
          <w:color w:val="auto"/>
        </w:rPr>
        <w:t>modify, postpone, reduce or forgive, in whole or in part, any payment of Rent (other than pursuant to the terms of the Operative Documents), any Rent Assignment Contribution or Lessor Amount, the Lease Balance, the Rent Assignment Contribution Balance, Sale Option Recourse Amount, Permitted Development Area Release Payment, amounts due pursuant to Section 20.2 of the Lease, Yield or Upfront Fee (except that any Person may consent to any modification, postponement, reduction or forgiveness of any payment of any Fees payable to it or, subject to clause (c) above, any other amount payable to it under the Lease or this Participation Agreement), modify the definition or method of calculation of Rent (other than pursuant to the terms of the Operative Documents), Rent Assignment Contribution or Lessor Amounts, Lease Balance, Rent Assignment Contribution Balance, Lessor Balance, Sale Option Recourse Amount, Commitment, Participant Balance or any other definition which would affect the amounts to be advanced or which are payable under the Operative Documents;</w:t>
      </w:r>
    </w:p>
    <w:p>
      <w:pPr>
        <w:spacing w:after="0" w:line="165" w:lineRule="exact"/>
        <w:rPr>
          <w:rFonts w:ascii="Arial" w:cs="Arial" w:eastAsia="Arial" w:hAnsi="Arial"/>
          <w:sz w:val="16"/>
          <w:szCs w:val="16"/>
          <w:color w:val="auto"/>
        </w:rPr>
      </w:pPr>
    </w:p>
    <w:p>
      <w:pPr>
        <w:jc w:val="both"/>
        <w:ind w:left="652" w:right="20" w:firstLine="644"/>
        <w:spacing w:after="0" w:line="263" w:lineRule="auto"/>
        <w:tabs>
          <w:tab w:leader="none" w:pos="1567"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consent to any assignment of the Lease (other than any assignment or sublease permitted by Article VI of the Lease) by the Lessee releasing the Lessee from its obligations in respect of the payments of Rent, Rent Assignment Contribution Balance, Lessor Balance or Lease Balance or changing the absolute and unconditional character of such obligations;</w:t>
      </w:r>
    </w:p>
    <w:p>
      <w:pPr>
        <w:spacing w:after="0" w:line="183" w:lineRule="exact"/>
        <w:rPr>
          <w:rFonts w:ascii="Arial" w:cs="Arial" w:eastAsia="Arial" w:hAnsi="Arial"/>
          <w:sz w:val="18"/>
          <w:szCs w:val="18"/>
          <w:color w:val="auto"/>
        </w:rPr>
      </w:pPr>
    </w:p>
    <w:p>
      <w:pPr>
        <w:jc w:val="both"/>
        <w:ind w:left="652" w:firstLine="644"/>
        <w:spacing w:after="0" w:line="259" w:lineRule="auto"/>
        <w:tabs>
          <w:tab w:leader="none" w:pos="157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except as provided in the Operative Documents, (i) release of any Lien granted by the Lessee or the Lessor under the Operative Documents, (ii) release of any Guarantor under the Guaranty or release the Guaranty or (iii) modify Section 1 of the Guaranty, or modify or waive any obligation of the Guarantor that relates to an obligation of the Lessee expressly requiring consent, approval or action by each Participant or each Affected Participant;</w:t>
      </w:r>
    </w:p>
    <w:p>
      <w:pPr>
        <w:spacing w:after="0" w:line="186" w:lineRule="exact"/>
        <w:rPr>
          <w:rFonts w:ascii="Arial" w:cs="Arial" w:eastAsia="Arial" w:hAnsi="Arial"/>
          <w:sz w:val="18"/>
          <w:szCs w:val="18"/>
          <w:color w:val="auto"/>
        </w:rPr>
      </w:pPr>
    </w:p>
    <w:p>
      <w:pPr>
        <w:ind w:left="652" w:right="20" w:firstLine="644"/>
        <w:spacing w:after="0" w:line="277" w:lineRule="auto"/>
        <w:tabs>
          <w:tab w:leader="none" w:pos="157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amend, release or waive compliance with the terms of Section 16.1(h), (i) or (j) of the Lease with respect to the Lessee or the Parent Guarantor; or</w:t>
      </w:r>
    </w:p>
    <w:p>
      <w:pPr>
        <w:spacing w:after="0" w:line="170" w:lineRule="exact"/>
        <w:rPr>
          <w:rFonts w:ascii="Arial" w:cs="Arial" w:eastAsia="Arial" w:hAnsi="Arial"/>
          <w:sz w:val="18"/>
          <w:szCs w:val="18"/>
          <w:color w:val="auto"/>
        </w:rPr>
      </w:pPr>
    </w:p>
    <w:p>
      <w:pPr>
        <w:ind w:left="1572" w:hanging="276"/>
        <w:spacing w:after="0"/>
        <w:tabs>
          <w:tab w:leader="none" w:pos="15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increase the Aggregate Commitment Amount without the consent of each Participant.</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7"/>
          <w:szCs w:val="17"/>
          <w:color w:val="auto"/>
        </w:rPr>
        <w:t>Without limiting the foregoing, (1) no increase in the Commitment of any Participant shall occur without the consent of such Participant and</w:t>
      </w:r>
    </w:p>
    <w:p>
      <w:pPr>
        <w:spacing w:after="0" w:line="35" w:lineRule="exact"/>
        <w:rPr>
          <w:sz w:val="20"/>
          <w:szCs w:val="20"/>
          <w:color w:val="auto"/>
        </w:rPr>
      </w:pPr>
    </w:p>
    <w:p>
      <w:pPr>
        <w:jc w:val="both"/>
        <w:ind w:left="-8" w:firstLine="8"/>
        <w:spacing w:after="0" w:line="251" w:lineRule="auto"/>
        <w:tabs>
          <w:tab w:leader="none" w:pos="268"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amendment, supplement, waiver or modification to the Operative Documents (A) shall be effective with respect to the definitions of “Excepted Rights” and “Excepted Payments,” the Rent Assignment Agreement, the Assignment of Leases, Articles VI, IX, X, XI, XIII, XIX or XX of the Lease, Article XII of this Participation Agreement or any definitions used therein, unless Lessor has agreed to such amendment, supplement, waiver or modification or (B) which increases the Lessor’s obligations under the Operative Documents or adversely affect the Lessor’s rights or its interest under the Operative Documents or the Leased Property, without the Lessor’s prior written consent. Notwithstanding anything to the contrary in this Section 15.5, any amendment or modification pursuant to Section 14.10(b) hereof or of the financial covenants in the Guaranty (or of any defined terms set forth in any Operative Document that are used in the financial covenants in the Guaranty) shall not constitute a reduction in the rate of interest, Yield or fees for purposes of this Section 15.5 even if the effect of such amendment or modification would be to reduce the rate of Yield or to reduce any fee payable under any of the Operative Documents.</w:t>
      </w: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1" w:name="page62"/>
    <w:bookmarkEnd w:id="61"/>
    <w:p>
      <w:pPr>
        <w:jc w:val="both"/>
        <w:ind w:firstLine="324"/>
        <w:spacing w:after="0" w:line="311" w:lineRule="auto"/>
        <w:rPr>
          <w:sz w:val="20"/>
          <w:szCs w:val="20"/>
          <w:color w:val="auto"/>
        </w:rPr>
      </w:pPr>
      <w:r>
        <w:rPr>
          <w:rFonts w:ascii="Arial" w:cs="Arial" w:eastAsia="Arial" w:hAnsi="Arial"/>
          <w:sz w:val="16"/>
          <w:szCs w:val="16"/>
          <w:i w:val="1"/>
          <w:iCs w:val="1"/>
          <w:color w:val="auto"/>
        </w:rPr>
        <w:t>Section 15.6. Obligations</w:t>
      </w:r>
      <w:r>
        <w:rPr>
          <w:rFonts w:ascii="Arial" w:cs="Arial" w:eastAsia="Arial" w:hAnsi="Arial"/>
          <w:sz w:val="16"/>
          <w:szCs w:val="16"/>
          <w:color w:val="auto"/>
        </w:rPr>
        <w:t>. The Lessee shall pay, as Supplemental Rent, when due, all costs, expenses and other amounts (other than the principal and</w:t>
      </w:r>
      <w:r>
        <w:rPr>
          <w:rFonts w:ascii="Arial" w:cs="Arial" w:eastAsia="Arial" w:hAnsi="Arial"/>
          <w:sz w:val="16"/>
          <w:szCs w:val="16"/>
          <w:i w:val="1"/>
          <w:iCs w:val="1"/>
          <w:color w:val="auto"/>
        </w:rPr>
        <w:t xml:space="preserve"> </w:t>
      </w:r>
      <w:r>
        <w:rPr>
          <w:rFonts w:ascii="Arial" w:cs="Arial" w:eastAsia="Arial" w:hAnsi="Arial"/>
          <w:sz w:val="16"/>
          <w:szCs w:val="16"/>
          <w:color w:val="auto"/>
        </w:rPr>
        <w:t>Yield on the Rent Assignment Contributions which are payable to the extent otherwise required by the Operative Documents) required to be paid by the Lessor to or on behalf of the Administrative Agent or the Rent Assignees under the Rent Assignment Agreement and any Security Instrument.</w:t>
      </w:r>
    </w:p>
    <w:p>
      <w:pPr>
        <w:spacing w:after="0" w:line="1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Section 15.7. Headings, Etc</w:t>
      </w:r>
      <w:r>
        <w:rPr>
          <w:rFonts w:ascii="Arial" w:cs="Arial" w:eastAsia="Arial" w:hAnsi="Arial"/>
          <w:sz w:val="18"/>
          <w:szCs w:val="18"/>
          <w:color w:val="auto"/>
        </w:rPr>
        <w:t>. The Table of Contents and headings of the various Articles and Sections of this Participation Agreement are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convenience of reference only and shall not modify, define, expand or limit any of the terms or provisions hereof.</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Section 15.8. Parties in Interest</w:t>
      </w:r>
      <w:r>
        <w:rPr>
          <w:rFonts w:ascii="Arial" w:cs="Arial" w:eastAsia="Arial" w:hAnsi="Arial"/>
          <w:sz w:val="18"/>
          <w:szCs w:val="18"/>
          <w:color w:val="auto"/>
        </w:rPr>
        <w:t>. Except as provided in Section 15.19 and as otherwise expressly provided herein, none of the provisions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 is intended for the benefit of any Person except the parties hereto. Except as otherwise specifically provided for in an Operative Document, the Lessee shall not assign or transfer any of its rights or obligations under the Operative Documents without the prior written consent of the Required Participants.</w:t>
      </w:r>
    </w:p>
    <w:p>
      <w:pPr>
        <w:spacing w:after="0" w:line="1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2"/>
          <w:szCs w:val="12"/>
          <w:i w:val="1"/>
          <w:iCs w:val="1"/>
          <w:color w:val="auto"/>
        </w:rPr>
        <w:t>ECTION</w:t>
      </w:r>
      <w:r>
        <w:rPr>
          <w:rFonts w:ascii="Arial" w:cs="Arial" w:eastAsia="Arial" w:hAnsi="Arial"/>
          <w:sz w:val="18"/>
          <w:szCs w:val="18"/>
          <w:i w:val="1"/>
          <w:iCs w:val="1"/>
          <w:color w:val="auto"/>
        </w:rPr>
        <w:t xml:space="preserve"> 15.9. G</w:t>
      </w:r>
      <w:r>
        <w:rPr>
          <w:rFonts w:ascii="Arial" w:cs="Arial" w:eastAsia="Arial" w:hAnsi="Arial"/>
          <w:sz w:val="12"/>
          <w:szCs w:val="12"/>
          <w:i w:val="1"/>
          <w:iCs w:val="1"/>
          <w:color w:val="auto"/>
        </w:rPr>
        <w:t>OVERNING</w:t>
      </w:r>
      <w:r>
        <w:rPr>
          <w:rFonts w:ascii="Arial" w:cs="Arial" w:eastAsia="Arial" w:hAnsi="Arial"/>
          <w:sz w:val="18"/>
          <w:szCs w:val="18"/>
          <w:i w:val="1"/>
          <w:iCs w:val="1"/>
          <w:color w:val="auto"/>
        </w:rPr>
        <w:t xml:space="preserve"> L</w:t>
      </w:r>
      <w:r>
        <w:rPr>
          <w:rFonts w:ascii="Arial" w:cs="Arial" w:eastAsia="Arial" w:hAnsi="Arial"/>
          <w:sz w:val="12"/>
          <w:szCs w:val="12"/>
          <w:i w:val="1"/>
          <w:iCs w:val="1"/>
          <w:color w:val="auto"/>
        </w:rPr>
        <w:t>AW</w:t>
      </w:r>
      <w:r>
        <w:rPr>
          <w:rFonts w:ascii="Arial" w:cs="Arial" w:eastAsia="Arial" w:hAnsi="Arial"/>
          <w:sz w:val="18"/>
          <w:szCs w:val="18"/>
          <w:color w:val="auto"/>
        </w:rPr>
        <w:t>. T</w:t>
      </w:r>
      <w:r>
        <w:rPr>
          <w:rFonts w:ascii="Arial" w:cs="Arial" w:eastAsia="Arial" w:hAnsi="Arial"/>
          <w:sz w:val="12"/>
          <w:szCs w:val="12"/>
          <w:color w:val="auto"/>
        </w:rPr>
        <w:t>HIS</w:t>
      </w:r>
      <w:r>
        <w:rPr>
          <w:rFonts w:ascii="Arial" w:cs="Arial" w:eastAsia="Arial" w:hAnsi="Arial"/>
          <w:sz w:val="18"/>
          <w:szCs w:val="18"/>
          <w:i w:val="1"/>
          <w:iCs w:val="1"/>
          <w:color w:val="auto"/>
        </w:rPr>
        <w:t xml:space="preserve"> </w:t>
      </w:r>
      <w:r>
        <w:rPr>
          <w:rFonts w:ascii="Arial" w:cs="Arial" w:eastAsia="Arial" w:hAnsi="Arial"/>
          <w:sz w:val="18"/>
          <w:szCs w:val="18"/>
          <w:color w:val="auto"/>
        </w:rPr>
        <w:t>P</w:t>
      </w:r>
      <w:r>
        <w:rPr>
          <w:rFonts w:ascii="Arial" w:cs="Arial" w:eastAsia="Arial" w:hAnsi="Arial"/>
          <w:sz w:val="12"/>
          <w:szCs w:val="12"/>
          <w:color w:val="auto"/>
        </w:rPr>
        <w:t>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2"/>
          <w:szCs w:val="12"/>
          <w:color w:val="auto"/>
        </w:rPr>
        <w:t>GREEMENT SHALL IN ALL RESPECTS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2"/>
          <w:szCs w:val="12"/>
          <w:color w:val="auto"/>
        </w:rPr>
        <w:t>EXCEPT AS SET FORTH IN THE PROVISO</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2"/>
          <w:szCs w:val="12"/>
          <w:color w:val="auto"/>
        </w:rPr>
        <w:t>BE GOVERNED BY THE INTERNAL LAW</w:t>
      </w:r>
      <w:r>
        <w:rPr>
          <w:rFonts w:ascii="Arial" w:cs="Arial" w:eastAsia="Arial" w:hAnsi="Arial"/>
          <w:sz w:val="18"/>
          <w:szCs w:val="18"/>
          <w:i w:val="1"/>
          <w:iCs w:val="1"/>
          <w:color w:val="auto"/>
        </w:rPr>
        <w:t xml:space="preserve"> </w:t>
      </w:r>
      <w:r>
        <w:rPr>
          <w:rFonts w:ascii="Arial" w:cs="Arial" w:eastAsia="Arial" w:hAnsi="Arial"/>
          <w:sz w:val="12"/>
          <w:szCs w:val="12"/>
          <w:color w:val="auto"/>
        </w:rPr>
        <w:t xml:space="preserve">OF THE </w:t>
      </w:r>
      <w:r>
        <w:rPr>
          <w:rFonts w:ascii="Arial" w:cs="Arial" w:eastAsia="Arial" w:hAnsi="Arial"/>
          <w:sz w:val="17"/>
          <w:szCs w:val="17"/>
          <w:color w:val="auto"/>
        </w:rPr>
        <w:t>S</w:t>
      </w:r>
      <w:r>
        <w:rPr>
          <w:rFonts w:ascii="Arial" w:cs="Arial" w:eastAsia="Arial" w:hAnsi="Arial"/>
          <w:sz w:val="12"/>
          <w:szCs w:val="12"/>
          <w:color w:val="auto"/>
        </w:rPr>
        <w:t xml:space="preserve">TATE OF </w:t>
      </w:r>
      <w:r>
        <w:rPr>
          <w:rFonts w:ascii="Arial" w:cs="Arial" w:eastAsia="Arial" w:hAnsi="Arial"/>
          <w:sz w:val="17"/>
          <w:szCs w:val="17"/>
          <w:color w:val="auto"/>
        </w:rPr>
        <w:t>N</w:t>
      </w:r>
      <w:r>
        <w:rPr>
          <w:rFonts w:ascii="Arial" w:cs="Arial" w:eastAsia="Arial" w:hAnsi="Arial"/>
          <w:sz w:val="12"/>
          <w:szCs w:val="12"/>
          <w:color w:val="auto"/>
        </w:rPr>
        <w:t xml:space="preserve">EW </w:t>
      </w:r>
      <w:r>
        <w:rPr>
          <w:rFonts w:ascii="Arial" w:cs="Arial" w:eastAsia="Arial" w:hAnsi="Arial"/>
          <w:sz w:val="17"/>
          <w:szCs w:val="17"/>
          <w:color w:val="auto"/>
        </w:rPr>
        <w:t>Y</w:t>
      </w:r>
      <w:r>
        <w:rPr>
          <w:rFonts w:ascii="Arial" w:cs="Arial" w:eastAsia="Arial" w:hAnsi="Arial"/>
          <w:sz w:val="12"/>
          <w:szCs w:val="12"/>
          <w:color w:val="auto"/>
        </w:rPr>
        <w:t>ORK AS TO ALL MATTERS OF CONSTRUCTION</w:t>
      </w:r>
      <w:r>
        <w:rPr>
          <w:rFonts w:ascii="Arial" w:cs="Arial" w:eastAsia="Arial" w:hAnsi="Arial"/>
          <w:sz w:val="17"/>
          <w:szCs w:val="17"/>
          <w:color w:val="auto"/>
        </w:rPr>
        <w:t>,</w:t>
      </w:r>
      <w:r>
        <w:rPr>
          <w:rFonts w:ascii="Arial" w:cs="Arial" w:eastAsia="Arial" w:hAnsi="Arial"/>
          <w:sz w:val="12"/>
          <w:szCs w:val="12"/>
          <w:color w:val="auto"/>
        </w:rPr>
        <w:t xml:space="preserve"> VALIDITY AND PERFORMANCE</w:t>
      </w:r>
      <w:r>
        <w:rPr>
          <w:rFonts w:ascii="Arial" w:cs="Arial" w:eastAsia="Arial" w:hAnsi="Arial"/>
          <w:sz w:val="17"/>
          <w:szCs w:val="17"/>
          <w:color w:val="auto"/>
        </w:rPr>
        <w:t>,</w:t>
      </w:r>
      <w:r>
        <w:rPr>
          <w:rFonts w:ascii="Arial" w:cs="Arial" w:eastAsia="Arial" w:hAnsi="Arial"/>
          <w:sz w:val="12"/>
          <w:szCs w:val="12"/>
          <w:color w:val="auto"/>
        </w:rPr>
        <w:t xml:space="preserve"> WITHOUT REGARD TO CONFLICTS OF LAW PRINCIPLES</w:t>
      </w:r>
      <w:r>
        <w:rPr>
          <w:rFonts w:ascii="Arial" w:cs="Arial" w:eastAsia="Arial" w:hAnsi="Arial"/>
          <w:sz w:val="17"/>
          <w:szCs w:val="17"/>
          <w:color w:val="auto"/>
        </w:rPr>
        <w:t>,</w:t>
      </w:r>
      <w:r>
        <w:rPr>
          <w:rFonts w:ascii="Arial" w:cs="Arial" w:eastAsia="Arial" w:hAnsi="Arial"/>
          <w:sz w:val="12"/>
          <w:szCs w:val="12"/>
          <w:color w:val="auto"/>
        </w:rPr>
        <w:t xml:space="preserve"> EXCEPT </w:t>
      </w:r>
      <w:r>
        <w:rPr>
          <w:rFonts w:ascii="Arial" w:cs="Arial" w:eastAsia="Arial" w:hAnsi="Arial"/>
          <w:sz w:val="17"/>
          <w:szCs w:val="17"/>
          <w:color w:val="auto"/>
        </w:rPr>
        <w:t>T</w:t>
      </w:r>
      <w:r>
        <w:rPr>
          <w:rFonts w:ascii="Arial" w:cs="Arial" w:eastAsia="Arial" w:hAnsi="Arial"/>
          <w:sz w:val="12"/>
          <w:szCs w:val="12"/>
          <w:color w:val="auto"/>
        </w:rPr>
        <w:t xml:space="preserve">ITLE </w:t>
      </w:r>
      <w:r>
        <w:rPr>
          <w:rFonts w:ascii="Arial" w:cs="Arial" w:eastAsia="Arial" w:hAnsi="Arial"/>
          <w:sz w:val="17"/>
          <w:szCs w:val="17"/>
          <w:color w:val="auto"/>
        </w:rPr>
        <w:t>14</w:t>
      </w:r>
      <w:r>
        <w:rPr>
          <w:rFonts w:ascii="Arial" w:cs="Arial" w:eastAsia="Arial" w:hAnsi="Arial"/>
          <w:sz w:val="12"/>
          <w:szCs w:val="12"/>
          <w:color w:val="auto"/>
        </w:rPr>
        <w:t xml:space="preserve"> OF </w:t>
      </w:r>
      <w:r>
        <w:rPr>
          <w:rFonts w:ascii="Arial" w:cs="Arial" w:eastAsia="Arial" w:hAnsi="Arial"/>
          <w:sz w:val="17"/>
          <w:szCs w:val="17"/>
          <w:color w:val="auto"/>
        </w:rPr>
        <w:t>A</w:t>
      </w:r>
      <w:r>
        <w:rPr>
          <w:rFonts w:ascii="Arial" w:cs="Arial" w:eastAsia="Arial" w:hAnsi="Arial"/>
          <w:sz w:val="12"/>
          <w:szCs w:val="12"/>
          <w:color w:val="auto"/>
        </w:rPr>
        <w:t>RTICLE</w:t>
      </w:r>
      <w:r>
        <w:rPr>
          <w:rFonts w:ascii="Arial" w:cs="Arial" w:eastAsia="Arial" w:hAnsi="Arial"/>
          <w:sz w:val="17"/>
          <w:szCs w:val="17"/>
          <w:color w:val="auto"/>
        </w:rPr>
        <w:t xml:space="preserve"> 5 </w:t>
      </w:r>
      <w:r>
        <w:rPr>
          <w:rFonts w:ascii="Arial" w:cs="Arial" w:eastAsia="Arial" w:hAnsi="Arial"/>
          <w:sz w:val="12"/>
          <w:szCs w:val="12"/>
          <w:color w:val="auto"/>
        </w:rPr>
        <w:t>OF THE</w:t>
      </w:r>
      <w:r>
        <w:rPr>
          <w:rFonts w:ascii="Arial" w:cs="Arial" w:eastAsia="Arial" w:hAnsi="Arial"/>
          <w:sz w:val="17"/>
          <w:szCs w:val="17"/>
          <w:color w:val="auto"/>
        </w:rPr>
        <w:t xml:space="preserve"> N</w:t>
      </w:r>
      <w:r>
        <w:rPr>
          <w:rFonts w:ascii="Arial" w:cs="Arial" w:eastAsia="Arial" w:hAnsi="Arial"/>
          <w:sz w:val="12"/>
          <w:szCs w:val="12"/>
          <w:color w:val="auto"/>
        </w:rPr>
        <w:t>EW</w:t>
      </w:r>
      <w:r>
        <w:rPr>
          <w:rFonts w:ascii="Arial" w:cs="Arial" w:eastAsia="Arial" w:hAnsi="Arial"/>
          <w:sz w:val="17"/>
          <w:szCs w:val="17"/>
          <w:color w:val="auto"/>
        </w:rPr>
        <w:t xml:space="preserve"> Y</w:t>
      </w:r>
      <w:r>
        <w:rPr>
          <w:rFonts w:ascii="Arial" w:cs="Arial" w:eastAsia="Arial" w:hAnsi="Arial"/>
          <w:sz w:val="12"/>
          <w:szCs w:val="12"/>
          <w:color w:val="auto"/>
        </w:rPr>
        <w:t>ORK GENERAL OBLIGATIONS LAW</w:t>
      </w:r>
      <w:r>
        <w:rPr>
          <w:rFonts w:ascii="Arial" w:cs="Arial" w:eastAsia="Arial" w:hAnsi="Arial"/>
          <w:sz w:val="17"/>
          <w:szCs w:val="17"/>
          <w:color w:val="auto"/>
        </w:rPr>
        <w:t xml:space="preserve">; </w:t>
      </w:r>
      <w:r>
        <w:rPr>
          <w:rFonts w:ascii="Arial" w:cs="Arial" w:eastAsia="Arial" w:hAnsi="Arial"/>
          <w:sz w:val="12"/>
          <w:szCs w:val="12"/>
          <w:i w:val="1"/>
          <w:iCs w:val="1"/>
          <w:color w:val="auto"/>
        </w:rPr>
        <w:t>PROVIDED</w:t>
      </w:r>
      <w:r>
        <w:rPr>
          <w:rFonts w:ascii="Arial" w:cs="Arial" w:eastAsia="Arial" w:hAnsi="Arial"/>
          <w:sz w:val="17"/>
          <w:szCs w:val="17"/>
          <w:color w:val="auto"/>
        </w:rPr>
        <w:t xml:space="preserve">, </w:t>
      </w:r>
      <w:r>
        <w:rPr>
          <w:rFonts w:ascii="Arial" w:cs="Arial" w:eastAsia="Arial" w:hAnsi="Arial"/>
          <w:sz w:val="12"/>
          <w:szCs w:val="12"/>
          <w:i w:val="1"/>
          <w:iCs w:val="1"/>
          <w:color w:val="auto"/>
        </w:rPr>
        <w:t>HOWEVER</w:t>
      </w:r>
      <w:r>
        <w:rPr>
          <w:rFonts w:ascii="Arial" w:cs="Arial" w:eastAsia="Arial" w:hAnsi="Arial"/>
          <w:sz w:val="17"/>
          <w:szCs w:val="17"/>
          <w:color w:val="auto"/>
        </w:rPr>
        <w:t xml:space="preserve">, </w:t>
      </w:r>
      <w:r>
        <w:rPr>
          <w:rFonts w:ascii="Arial" w:cs="Arial" w:eastAsia="Arial" w:hAnsi="Arial"/>
          <w:sz w:val="12"/>
          <w:szCs w:val="12"/>
          <w:color w:val="auto"/>
        </w:rPr>
        <w:t>THAT WITH RESPECT TO THE CREATION</w:t>
      </w:r>
      <w:r>
        <w:rPr>
          <w:rFonts w:ascii="Arial" w:cs="Arial" w:eastAsia="Arial" w:hAnsi="Arial"/>
          <w:sz w:val="17"/>
          <w:szCs w:val="17"/>
          <w:color w:val="auto"/>
        </w:rPr>
        <w:t xml:space="preserve">, </w:t>
      </w:r>
      <w:r>
        <w:rPr>
          <w:rFonts w:ascii="Arial" w:cs="Arial" w:eastAsia="Arial" w:hAnsi="Arial"/>
          <w:sz w:val="12"/>
          <w:szCs w:val="12"/>
          <w:color w:val="auto"/>
        </w:rPr>
        <w:t>PERFECTION</w:t>
      </w:r>
      <w:r>
        <w:rPr>
          <w:rFonts w:ascii="Arial" w:cs="Arial" w:eastAsia="Arial" w:hAnsi="Arial"/>
          <w:sz w:val="17"/>
          <w:szCs w:val="17"/>
          <w:color w:val="auto"/>
        </w:rPr>
        <w:t xml:space="preserve">, </w:t>
      </w:r>
      <w:r>
        <w:rPr>
          <w:rFonts w:ascii="Arial" w:cs="Arial" w:eastAsia="Arial" w:hAnsi="Arial"/>
          <w:sz w:val="12"/>
          <w:szCs w:val="12"/>
          <w:color w:val="auto"/>
        </w:rPr>
        <w:t>EFFECT OF PERFECTION</w:t>
      </w:r>
      <w:r>
        <w:rPr>
          <w:rFonts w:ascii="Arial" w:cs="Arial" w:eastAsia="Arial" w:hAnsi="Arial"/>
          <w:sz w:val="17"/>
          <w:szCs w:val="17"/>
          <w:color w:val="auto"/>
        </w:rPr>
        <w:t xml:space="preserve">, </w:t>
      </w:r>
      <w:r>
        <w:rPr>
          <w:rFonts w:ascii="Arial" w:cs="Arial" w:eastAsia="Arial" w:hAnsi="Arial"/>
          <w:sz w:val="12"/>
          <w:szCs w:val="12"/>
          <w:color w:val="auto"/>
        </w:rPr>
        <w:t>PRIORITY AND</w:t>
      </w:r>
      <w:r>
        <w:rPr>
          <w:rFonts w:ascii="Arial" w:cs="Arial" w:eastAsia="Arial" w:hAnsi="Arial"/>
          <w:sz w:val="17"/>
          <w:szCs w:val="17"/>
          <w:color w:val="auto"/>
        </w:rPr>
        <w:t xml:space="preserve"> </w:t>
      </w:r>
      <w:r>
        <w:rPr>
          <w:rFonts w:ascii="Arial" w:cs="Arial" w:eastAsia="Arial" w:hAnsi="Arial"/>
          <w:sz w:val="12"/>
          <w:szCs w:val="12"/>
          <w:color w:val="auto"/>
        </w:rPr>
        <w:t xml:space="preserve">ENFORCEMENT OF SECURITY INTERESTS AND LIENS IN THE </w:t>
      </w:r>
      <w:r>
        <w:rPr>
          <w:rFonts w:ascii="Arial" w:cs="Arial" w:eastAsia="Arial" w:hAnsi="Arial"/>
          <w:sz w:val="17"/>
          <w:szCs w:val="17"/>
          <w:color w:val="auto"/>
        </w:rPr>
        <w:t>L</w:t>
      </w:r>
      <w:r>
        <w:rPr>
          <w:rFonts w:ascii="Arial" w:cs="Arial" w:eastAsia="Arial" w:hAnsi="Arial"/>
          <w:sz w:val="12"/>
          <w:szCs w:val="12"/>
          <w:color w:val="auto"/>
        </w:rPr>
        <w:t xml:space="preserve">EASED </w:t>
      </w:r>
      <w:r>
        <w:rPr>
          <w:rFonts w:ascii="Arial" w:cs="Arial" w:eastAsia="Arial" w:hAnsi="Arial"/>
          <w:sz w:val="17"/>
          <w:szCs w:val="17"/>
          <w:color w:val="auto"/>
        </w:rPr>
        <w:t>P</w:t>
      </w:r>
      <w:r>
        <w:rPr>
          <w:rFonts w:ascii="Arial" w:cs="Arial" w:eastAsia="Arial" w:hAnsi="Arial"/>
          <w:sz w:val="12"/>
          <w:szCs w:val="12"/>
          <w:color w:val="auto"/>
        </w:rPr>
        <w:t xml:space="preserve">ROPERTY AND </w:t>
      </w:r>
      <w:r>
        <w:rPr>
          <w:rFonts w:ascii="Arial" w:cs="Arial" w:eastAsia="Arial" w:hAnsi="Arial"/>
          <w:sz w:val="17"/>
          <w:szCs w:val="17"/>
          <w:color w:val="auto"/>
        </w:rPr>
        <w:t>C</w:t>
      </w:r>
      <w:r>
        <w:rPr>
          <w:rFonts w:ascii="Arial" w:cs="Arial" w:eastAsia="Arial" w:hAnsi="Arial"/>
          <w:sz w:val="12"/>
          <w:szCs w:val="12"/>
          <w:color w:val="auto"/>
        </w:rPr>
        <w:t>OLLATERAL</w:t>
      </w:r>
      <w:r>
        <w:rPr>
          <w:rFonts w:ascii="Arial" w:cs="Arial" w:eastAsia="Arial" w:hAnsi="Arial"/>
          <w:sz w:val="17"/>
          <w:szCs w:val="17"/>
          <w:color w:val="auto"/>
        </w:rPr>
        <w:t>,</w:t>
      </w:r>
      <w:r>
        <w:rPr>
          <w:rFonts w:ascii="Arial" w:cs="Arial" w:eastAsia="Arial" w:hAnsi="Arial"/>
          <w:sz w:val="12"/>
          <w:szCs w:val="12"/>
          <w:color w:val="auto"/>
        </w:rPr>
        <w:t xml:space="preserve"> SUCH MATTERS SHALL BE GOVERNED BY THE LAWS OF THE </w:t>
      </w:r>
      <w:r>
        <w:rPr>
          <w:rFonts w:ascii="Arial" w:cs="Arial" w:eastAsia="Arial" w:hAnsi="Arial"/>
          <w:sz w:val="17"/>
          <w:szCs w:val="17"/>
          <w:color w:val="auto"/>
        </w:rPr>
        <w:t>S</w:t>
      </w:r>
      <w:r>
        <w:rPr>
          <w:rFonts w:ascii="Arial" w:cs="Arial" w:eastAsia="Arial" w:hAnsi="Arial"/>
          <w:sz w:val="12"/>
          <w:szCs w:val="12"/>
          <w:color w:val="auto"/>
        </w:rPr>
        <w:t xml:space="preserve">TATE OF </w:t>
      </w:r>
      <w:r>
        <w:rPr>
          <w:rFonts w:ascii="Arial" w:cs="Arial" w:eastAsia="Arial" w:hAnsi="Arial"/>
          <w:sz w:val="17"/>
          <w:szCs w:val="17"/>
          <w:color w:val="auto"/>
        </w:rPr>
        <w:t>N</w:t>
      </w:r>
      <w:r>
        <w:rPr>
          <w:rFonts w:ascii="Arial" w:cs="Arial" w:eastAsia="Arial" w:hAnsi="Arial"/>
          <w:sz w:val="12"/>
          <w:szCs w:val="12"/>
          <w:color w:val="auto"/>
        </w:rPr>
        <w:t xml:space="preserve">EW </w:t>
      </w:r>
      <w:r>
        <w:rPr>
          <w:rFonts w:ascii="Arial" w:cs="Arial" w:eastAsia="Arial" w:hAnsi="Arial"/>
          <w:sz w:val="17"/>
          <w:szCs w:val="17"/>
          <w:color w:val="auto"/>
        </w:rPr>
        <w:t>Y</w:t>
      </w:r>
      <w:r>
        <w:rPr>
          <w:rFonts w:ascii="Arial" w:cs="Arial" w:eastAsia="Arial" w:hAnsi="Arial"/>
          <w:sz w:val="12"/>
          <w:szCs w:val="12"/>
          <w:color w:val="auto"/>
        </w:rPr>
        <w:t>ORK AND</w:t>
      </w:r>
      <w:r>
        <w:rPr>
          <w:rFonts w:ascii="Arial" w:cs="Arial" w:eastAsia="Arial" w:hAnsi="Arial"/>
          <w:sz w:val="17"/>
          <w:szCs w:val="17"/>
          <w:color w:val="auto"/>
        </w:rPr>
        <w:t>,</w:t>
      </w:r>
      <w:r>
        <w:rPr>
          <w:rFonts w:ascii="Arial" w:cs="Arial" w:eastAsia="Arial" w:hAnsi="Arial"/>
          <w:sz w:val="12"/>
          <w:szCs w:val="12"/>
          <w:color w:val="auto"/>
        </w:rPr>
        <w:t xml:space="preserve"> TO THE EXTENT APPLICABLE</w:t>
      </w:r>
      <w:r>
        <w:rPr>
          <w:rFonts w:ascii="Arial" w:cs="Arial" w:eastAsia="Arial" w:hAnsi="Arial"/>
          <w:sz w:val="17"/>
          <w:szCs w:val="17"/>
          <w:color w:val="auto"/>
        </w:rPr>
        <w:t>,</w:t>
      </w:r>
      <w:r>
        <w:rPr>
          <w:rFonts w:ascii="Arial" w:cs="Arial" w:eastAsia="Arial" w:hAnsi="Arial"/>
          <w:sz w:val="12"/>
          <w:szCs w:val="12"/>
          <w:color w:val="auto"/>
        </w:rPr>
        <w:t xml:space="preserve"> THE </w:t>
      </w:r>
      <w:r>
        <w:rPr>
          <w:rFonts w:ascii="Arial" w:cs="Arial" w:eastAsia="Arial" w:hAnsi="Arial"/>
          <w:sz w:val="17"/>
          <w:szCs w:val="17"/>
          <w:color w:val="auto"/>
        </w:rPr>
        <w:t>U</w:t>
      </w:r>
      <w:r>
        <w:rPr>
          <w:rFonts w:ascii="Arial" w:cs="Arial" w:eastAsia="Arial" w:hAnsi="Arial"/>
          <w:sz w:val="12"/>
          <w:szCs w:val="12"/>
          <w:color w:val="auto"/>
        </w:rPr>
        <w:t xml:space="preserve">NIFORM </w:t>
      </w:r>
      <w:r>
        <w:rPr>
          <w:rFonts w:ascii="Arial" w:cs="Arial" w:eastAsia="Arial" w:hAnsi="Arial"/>
          <w:sz w:val="17"/>
          <w:szCs w:val="17"/>
          <w:color w:val="auto"/>
        </w:rPr>
        <w:t>C</w:t>
      </w:r>
      <w:r>
        <w:rPr>
          <w:rFonts w:ascii="Arial" w:cs="Arial" w:eastAsia="Arial" w:hAnsi="Arial"/>
          <w:sz w:val="12"/>
          <w:szCs w:val="12"/>
          <w:color w:val="auto"/>
        </w:rPr>
        <w:t xml:space="preserve">OMMERCIAL </w:t>
      </w:r>
      <w:r>
        <w:rPr>
          <w:rFonts w:ascii="Arial" w:cs="Arial" w:eastAsia="Arial" w:hAnsi="Arial"/>
          <w:sz w:val="17"/>
          <w:szCs w:val="17"/>
          <w:color w:val="auto"/>
        </w:rPr>
        <w:t>C</w:t>
      </w:r>
      <w:r>
        <w:rPr>
          <w:rFonts w:ascii="Arial" w:cs="Arial" w:eastAsia="Arial" w:hAnsi="Arial"/>
          <w:sz w:val="12"/>
          <w:szCs w:val="12"/>
          <w:color w:val="auto"/>
        </w:rPr>
        <w:t xml:space="preserve">ODE OF SUCH </w:t>
      </w:r>
      <w:r>
        <w:rPr>
          <w:rFonts w:ascii="Arial" w:cs="Arial" w:eastAsia="Arial" w:hAnsi="Arial"/>
          <w:sz w:val="17"/>
          <w:szCs w:val="17"/>
          <w:color w:val="auto"/>
        </w:rPr>
        <w:t>S</w:t>
      </w:r>
      <w:r>
        <w:rPr>
          <w:rFonts w:ascii="Arial" w:cs="Arial" w:eastAsia="Arial" w:hAnsi="Arial"/>
          <w:sz w:val="12"/>
          <w:szCs w:val="12"/>
          <w:color w:val="auto"/>
        </w:rPr>
        <w:t xml:space="preserve">TATE </w:t>
      </w:r>
      <w:r>
        <w:rPr>
          <w:rFonts w:ascii="Arial" w:cs="Arial" w:eastAsia="Arial" w:hAnsi="Arial"/>
          <w:sz w:val="17"/>
          <w:szCs w:val="17"/>
          <w:color w:val="auto"/>
        </w:rPr>
        <w:t>(</w:t>
      </w:r>
      <w:r>
        <w:rPr>
          <w:rFonts w:ascii="Arial" w:cs="Arial" w:eastAsia="Arial" w:hAnsi="Arial"/>
          <w:sz w:val="12"/>
          <w:szCs w:val="12"/>
          <w:color w:val="auto"/>
        </w:rPr>
        <w:t xml:space="preserve">INCLUDING THE CHOICE OF LAW RULES UNDER SUCH </w:t>
      </w:r>
      <w:r>
        <w:rPr>
          <w:rFonts w:ascii="Arial" w:cs="Arial" w:eastAsia="Arial" w:hAnsi="Arial"/>
          <w:sz w:val="17"/>
          <w:szCs w:val="17"/>
          <w:color w:val="auto"/>
        </w:rPr>
        <w:t>U</w:t>
      </w:r>
      <w:r>
        <w:rPr>
          <w:rFonts w:ascii="Arial" w:cs="Arial" w:eastAsia="Arial" w:hAnsi="Arial"/>
          <w:sz w:val="12"/>
          <w:szCs w:val="12"/>
          <w:color w:val="auto"/>
        </w:rPr>
        <w:t xml:space="preserve">NIFORM </w:t>
      </w:r>
      <w:r>
        <w:rPr>
          <w:rFonts w:ascii="Arial" w:cs="Arial" w:eastAsia="Arial" w:hAnsi="Arial"/>
          <w:sz w:val="17"/>
          <w:szCs w:val="17"/>
          <w:color w:val="auto"/>
        </w:rPr>
        <w:t>C</w:t>
      </w:r>
      <w:r>
        <w:rPr>
          <w:rFonts w:ascii="Arial" w:cs="Arial" w:eastAsia="Arial" w:hAnsi="Arial"/>
          <w:sz w:val="12"/>
          <w:szCs w:val="12"/>
          <w:color w:val="auto"/>
        </w:rPr>
        <w:t xml:space="preserve">OMMERCIAL </w:t>
      </w:r>
      <w:r>
        <w:rPr>
          <w:rFonts w:ascii="Arial" w:cs="Arial" w:eastAsia="Arial" w:hAnsi="Arial"/>
          <w:sz w:val="17"/>
          <w:szCs w:val="17"/>
          <w:color w:val="auto"/>
        </w:rPr>
        <w:t>C</w:t>
      </w:r>
      <w:r>
        <w:rPr>
          <w:rFonts w:ascii="Arial" w:cs="Arial" w:eastAsia="Arial" w:hAnsi="Arial"/>
          <w:sz w:val="12"/>
          <w:szCs w:val="12"/>
          <w:color w:val="auto"/>
        </w:rPr>
        <w:t>ODE</w:t>
      </w:r>
      <w:r>
        <w:rPr>
          <w:rFonts w:ascii="Arial" w:cs="Arial" w:eastAsia="Arial" w:hAnsi="Arial"/>
          <w:sz w:val="17"/>
          <w:szCs w:val="17"/>
          <w:color w:val="auto"/>
        </w:rPr>
        <w:t>).</w:t>
      </w:r>
    </w:p>
    <w:p>
      <w:pPr>
        <w:spacing w:after="0" w:line="1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Section 15.10. Severability</w:t>
      </w:r>
      <w:r>
        <w:rPr>
          <w:rFonts w:ascii="Arial" w:cs="Arial" w:eastAsia="Arial" w:hAnsi="Arial"/>
          <w:sz w:val="17"/>
          <w:szCs w:val="17"/>
          <w:color w:val="auto"/>
        </w:rPr>
        <w:t>. Any provision of this Participation Agreement that is prohibited or unenforceable in any jurisdiction shall, as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324"/>
        <w:spacing w:after="0" w:line="269" w:lineRule="auto"/>
        <w:rPr>
          <w:sz w:val="20"/>
          <w:szCs w:val="20"/>
          <w:color w:val="auto"/>
        </w:rPr>
      </w:pPr>
      <w:r>
        <w:rPr>
          <w:rFonts w:ascii="Arial" w:cs="Arial" w:eastAsia="Arial" w:hAnsi="Arial"/>
          <w:sz w:val="17"/>
          <w:szCs w:val="17"/>
          <w:i w:val="1"/>
          <w:iCs w:val="1"/>
          <w:color w:val="auto"/>
        </w:rPr>
        <w:t>Section 15.11. Further Assurances</w:t>
      </w:r>
      <w:r>
        <w:rPr>
          <w:rFonts w:ascii="Arial" w:cs="Arial" w:eastAsia="Arial" w:hAnsi="Arial"/>
          <w:sz w:val="17"/>
          <w:szCs w:val="17"/>
          <w:color w:val="auto"/>
        </w:rPr>
        <w:t>. The parties hereto shall promptly cause to be taken, executed, acknowledged or delivered, at the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the Lessee, all such further acts, conveyances, documents and assurances as the other parties may from time to time reasonably request in writing in order to carry out more effectively the intent and purposes of this Participation Agreement and the other Operative Documents and the Overall Transaction, including, without limitation, to establish, preserve, protect and perfect the right, title and interest of Lessor and Administrative Agent in the Leased Property, the Lien of Lessor or the Administrative Agent, as applicable, in the other Collateral, and/or any Participant’s rights under this Participation Agreement and the other Operative Documents (including, without limitation, the preparation, execution and filing of any and all UCC Financing Statements (including precautionary financing statements) and other filings or registrations which the parties hereto may from time to time reasonably request in writing to be filed or effected). The Lessee, at its own expense and without the need of any prior request from any other party, shall take such action as may be necessary (including any action specified in the preceding sentence), or (if the Lessor shall so request) as so requested, in order to maintain and protect all Liens and security interests provided for hereunder or under any other Operative Document.</w:t>
      </w:r>
    </w:p>
    <w:p>
      <w:pPr>
        <w:spacing w:after="0" w:line="185"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i w:val="1"/>
          <w:iCs w:val="1"/>
          <w:color w:val="auto"/>
        </w:rPr>
        <w:t>Section 15.12.</w:t>
      </w:r>
      <w:r>
        <w:rPr>
          <w:sz w:val="20"/>
          <w:szCs w:val="20"/>
          <w:color w:val="auto"/>
        </w:rPr>
        <w:tab/>
      </w:r>
      <w:r>
        <w:rPr>
          <w:rFonts w:ascii="Arial" w:cs="Arial" w:eastAsia="Arial" w:hAnsi="Arial"/>
          <w:sz w:val="16"/>
          <w:szCs w:val="16"/>
          <w:i w:val="1"/>
          <w:iCs w:val="1"/>
          <w:color w:val="auto"/>
        </w:rPr>
        <w:t>Submission to Jurisdiction</w:t>
      </w:r>
      <w:r>
        <w:rPr>
          <w:rFonts w:ascii="Arial" w:cs="Arial" w:eastAsia="Arial" w:hAnsi="Arial"/>
          <w:sz w:val="16"/>
          <w:szCs w:val="16"/>
          <w:color w:val="auto"/>
        </w:rPr>
        <w:t>. Each party hereto irrevocably and unconditionally:</w:t>
      </w:r>
    </w:p>
    <w:p>
      <w:pPr>
        <w:spacing w:after="0" w:line="225" w:lineRule="exact"/>
        <w:rPr>
          <w:sz w:val="20"/>
          <w:szCs w:val="20"/>
          <w:color w:val="auto"/>
        </w:rPr>
      </w:pPr>
    </w:p>
    <w:p>
      <w:pPr>
        <w:jc w:val="both"/>
        <w:ind w:left="660" w:firstLine="644"/>
        <w:spacing w:after="0" w:line="259" w:lineRule="auto"/>
        <w:tabs>
          <w:tab w:leader="none" w:pos="15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Participation Agreement or any other Operative Document, or for recognition and enforcement of any judgment in respect thereof, to the exclusive general jurisdiction of the United States District Court for the Southern District of New York and of any New York state court sitting in the borough of Manhattan, and appellate courts from any thereof;</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608"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consents that any such action or proceedings may be brought to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party at its address set forth on Schedule III or at such other address of which the other parties hereto shall have been notified pursuant to Section 15.3; and</w:t>
      </w:r>
    </w:p>
    <w:p>
      <w:pPr>
        <w:spacing w:after="0" w:line="183" w:lineRule="exact"/>
        <w:rPr>
          <w:rFonts w:ascii="Arial" w:cs="Arial" w:eastAsia="Arial" w:hAnsi="Arial"/>
          <w:sz w:val="18"/>
          <w:szCs w:val="18"/>
          <w:color w:val="auto"/>
        </w:rPr>
      </w:pPr>
    </w:p>
    <w:p>
      <w:pPr>
        <w:ind w:left="660" w:firstLine="644"/>
        <w:spacing w:after="0" w:line="277" w:lineRule="auto"/>
        <w:tabs>
          <w:tab w:leader="none" w:pos="15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affect the right that any Participant or the Administrative Agent may otherwise have to sue in any other jurisdiction.</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S</w:t>
      </w:r>
      <w:r>
        <w:rPr>
          <w:rFonts w:ascii="Arial" w:cs="Arial" w:eastAsia="Arial" w:hAnsi="Arial"/>
          <w:sz w:val="11"/>
          <w:szCs w:val="11"/>
          <w:i w:val="1"/>
          <w:iCs w:val="1"/>
          <w:color w:val="auto"/>
        </w:rPr>
        <w:t>ECTION</w:t>
      </w:r>
      <w:r>
        <w:rPr>
          <w:rFonts w:ascii="Arial" w:cs="Arial" w:eastAsia="Arial" w:hAnsi="Arial"/>
          <w:sz w:val="17"/>
          <w:szCs w:val="17"/>
          <w:i w:val="1"/>
          <w:iCs w:val="1"/>
          <w:color w:val="auto"/>
        </w:rPr>
        <w:t xml:space="preserve"> 15.13. W</w:t>
      </w:r>
      <w:r>
        <w:rPr>
          <w:rFonts w:ascii="Arial" w:cs="Arial" w:eastAsia="Arial" w:hAnsi="Arial"/>
          <w:sz w:val="11"/>
          <w:szCs w:val="11"/>
          <w:i w:val="1"/>
          <w:iCs w:val="1"/>
          <w:color w:val="auto"/>
        </w:rPr>
        <w:t>AIVER OF</w:t>
      </w:r>
      <w:r>
        <w:rPr>
          <w:rFonts w:ascii="Arial" w:cs="Arial" w:eastAsia="Arial" w:hAnsi="Arial"/>
          <w:sz w:val="17"/>
          <w:szCs w:val="17"/>
          <w:i w:val="1"/>
          <w:iCs w:val="1"/>
          <w:color w:val="auto"/>
        </w:rPr>
        <w:t xml:space="preserve"> J</w:t>
      </w:r>
      <w:r>
        <w:rPr>
          <w:rFonts w:ascii="Arial" w:cs="Arial" w:eastAsia="Arial" w:hAnsi="Arial"/>
          <w:sz w:val="11"/>
          <w:szCs w:val="11"/>
          <w:i w:val="1"/>
          <w:iCs w:val="1"/>
          <w:color w:val="auto"/>
        </w:rPr>
        <w:t>URY</w:t>
      </w:r>
      <w:r>
        <w:rPr>
          <w:rFonts w:ascii="Arial" w:cs="Arial" w:eastAsia="Arial" w:hAnsi="Arial"/>
          <w:sz w:val="17"/>
          <w:szCs w:val="17"/>
          <w:i w:val="1"/>
          <w:iCs w:val="1"/>
          <w:color w:val="auto"/>
        </w:rPr>
        <w:t xml:space="preserve"> T</w:t>
      </w:r>
      <w:r>
        <w:rPr>
          <w:rFonts w:ascii="Arial" w:cs="Arial" w:eastAsia="Arial" w:hAnsi="Arial"/>
          <w:sz w:val="11"/>
          <w:szCs w:val="11"/>
          <w:i w:val="1"/>
          <w:iCs w:val="1"/>
          <w:color w:val="auto"/>
        </w:rPr>
        <w:t>RIAL</w:t>
      </w:r>
      <w:r>
        <w:rPr>
          <w:rFonts w:ascii="Arial" w:cs="Arial" w:eastAsia="Arial" w:hAnsi="Arial"/>
          <w:sz w:val="17"/>
          <w:szCs w:val="17"/>
          <w:color w:val="auto"/>
        </w:rPr>
        <w:t>. THE PARTIES HERETO VOLUNTARILY AND INTENTIONALLY WAIVE ANY RIGHTS THEY</w:t>
      </w:r>
      <w:r>
        <w:rPr>
          <w:rFonts w:ascii="Arial" w:cs="Arial" w:eastAsia="Arial" w:hAnsi="Arial"/>
          <w:sz w:val="17"/>
          <w:szCs w:val="17"/>
          <w:i w:val="1"/>
          <w:iCs w:val="1"/>
          <w:color w:val="auto"/>
        </w:rPr>
        <w:t xml:space="preserve"> </w:t>
      </w:r>
      <w:r>
        <w:rPr>
          <w:rFonts w:ascii="Arial" w:cs="Arial" w:eastAsia="Arial" w:hAnsi="Arial"/>
          <w:sz w:val="17"/>
          <w:szCs w:val="17"/>
          <w:color w:val="auto"/>
        </w:rPr>
        <w:t>MAY HAVE TO A TRIAL BY JURY IN RESPECT OF ANY LITIGATION BASED HEREON, OR ARISING OUT OF, UNDER, OR IN CONNECTION WITH, THIS PARTICIPATION AGREEMENT OR ANY OTHER OPERATIVE DOCUMENT, OR ANY COURSE OF CONDUCT, COURSE OF DEALING, STATEMENTS (WHETHER VERBAL OR WRITTEN) OR ACTIONS OF ANY OF THE PARTIES HERETO AND THERETO. THE PARTIES HERETO HEREBY AGREE THAT THEY WILL NOT SEEK TO CONSOLIDATE ANY SUCH LITIGATION WITH ANY OTHER LITIGATION IN WHICH A JURY TRIAL HAS NOT OR CANNOT BE WAIVED. THE PROVISIONS OF THIS SECTION 15.13 HAVE BEEN FULLY NEGOTIATED BY THE PARTIES HERETO AND SHALL BE SUBJECT TO NO EXCEPTIONS. EACH PARTY ACKNOWLEDGES AND AGREES THAT IT HAS RECEIVED FULL AND SUFFICIENT CONSIDERATION FOR THIS PROVISION (AND EACH OTHER PROVISION OF EACH OTHER OPERATIVE DOCUMENT TO WHICH IT IS A PARTY) AND THAT THIS PROVISION IS A MATERIAL INDUCEMENT FOR EACH OTHER PARTY ENTERING INTO THIS PARTICIPATION AGREEMENT AND EACH OTHER OPERATIVE DOCUMENT.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324"/>
        <w:spacing w:after="0" w:line="268" w:lineRule="auto"/>
        <w:rPr>
          <w:sz w:val="20"/>
          <w:szCs w:val="20"/>
          <w:color w:val="auto"/>
        </w:rPr>
      </w:pPr>
      <w:r>
        <w:rPr>
          <w:rFonts w:ascii="Arial" w:cs="Arial" w:eastAsia="Arial" w:hAnsi="Arial"/>
          <w:sz w:val="17"/>
          <w:szCs w:val="17"/>
          <w:i w:val="1"/>
          <w:iCs w:val="1"/>
          <w:color w:val="auto"/>
        </w:rPr>
        <w:t>Section 15.14. Confidentiality</w:t>
      </w:r>
      <w:r>
        <w:rPr>
          <w:rFonts w:ascii="Arial" w:cs="Arial" w:eastAsia="Arial" w:hAnsi="Arial"/>
          <w:sz w:val="17"/>
          <w:szCs w:val="17"/>
          <w:color w:val="auto"/>
        </w:rPr>
        <w:t>. Each of the Participants, the Arranger and the Administrative Agent shall keep confidential, and shall not disclose,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(other than information (a) publicly available other than as a result of a breach of this Section or (b) that becomes available to the Participants, the Arranger or the Administrative Agent on a non-confidential basis from a source other than a party hereto or Lessee, any Guarantor or any of their respective Related Parties) that it obtains about the Lessee, the Guarantors or their respective Affiliates or their respective business or securities or the books and records of Lessee, the Guarantors or their respective Affiliates or relating to the Leased Property (collectively, the </w:t>
      </w:r>
      <w:r>
        <w:rPr>
          <w:rFonts w:ascii="Arial" w:cs="Arial" w:eastAsia="Arial" w:hAnsi="Arial"/>
          <w:sz w:val="17"/>
          <w:szCs w:val="17"/>
          <w:i w:val="1"/>
          <w:iCs w:val="1"/>
          <w:color w:val="auto"/>
        </w:rPr>
        <w:t>“Information”</w:t>
      </w:r>
      <w:r>
        <w:rPr>
          <w:rFonts w:ascii="Arial" w:cs="Arial" w:eastAsia="Arial" w:hAnsi="Arial"/>
          <w:sz w:val="17"/>
          <w:szCs w:val="17"/>
          <w:color w:val="auto"/>
        </w:rPr>
        <w:t xml:space="preserve">), except that such party may disclose such Information (i) to the extent required by Applicable Laws, (ii) to its Affiliates and its and such Affiliates’ respective attorneys, auditors, accountants and other professional advisors (it being understood that the Persons to whom such disclosure is made will be informed of the confidential nature of such Information and instructed to keep such Information confidential);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disclosing Administrative Agent or Participant, as applicable, shall be responsible for compliance by such Persons with the provisions of this Section 15.14, (iii) in connection with the enforcement of its rights or remedies under the Operative Documents, (iv) to any Participant, transferee, potential Participant or potential transferee of such disclosing party’s interests permitted by the Operative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Participant, transferee, potential Participant or potential transferee agrees to the terms of this Section 15.14, and (v) to any federal or state banking authority or other regulatory authority having jurisdiction over such Participant, the Arranger or Administrative Agent or any of their respective Affiliates.</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OF THE ADMINISTRATIVE AGENT AND EACH PARTICIPANT ACKNOWLEDGES THAT SUCH INFORMATION REFERRED TO ABOVE FURNISHED TO IT PURSUANT TO OR IN CONNECTION WITH THIS PARTICIPATION AGREEMENT OR ANY OTHER OPERATIVE DOCUMENT MAY INCLUDE MATERIAL NON-PUBLIC INFORMATION CONCERNING THE LESSEE, ANY GUARANTOR AND THEIR RESPECTIVE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INFORMATION, INCLUDING REQUESTS FOR WAIVERS AND AMENDMENTS, FURNISHED BY OR ON BEHALF OF THE LESSEE OR ANY GUARANTOR OR THE ADMINISTRATIVE AGENT PURSUANT TO, IN CONNECTION WITH OR OTHERWISE IN THE COURSE OF ADMINISTERING, THIS PARTICIPATION AGREEMENT OR ANY OTHER OPERATIVE DOCUMENT WILL BE SYNDICATE-LEVEL INFORMATION, WHICH MAY CONTAIN MATERIAL NON-PUBLIC INFORMATION ABOUT THE LESSEE, THE GUARANTORS AND THEIR RESPECTIVE RELATED PARTIES OR THEIR RESPECTIVE SECURITIES. ACCORDINGLY, EACH PARTICIPANT REPRESENTS TO THE LESSEE AND THE GUARANTORS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324"/>
        <w:spacing w:after="0" w:line="269" w:lineRule="auto"/>
        <w:rPr>
          <w:sz w:val="20"/>
          <w:szCs w:val="20"/>
          <w:color w:val="auto"/>
        </w:rPr>
      </w:pPr>
      <w:r>
        <w:rPr>
          <w:rFonts w:ascii="Arial" w:cs="Arial" w:eastAsia="Arial" w:hAnsi="Arial"/>
          <w:sz w:val="17"/>
          <w:szCs w:val="17"/>
          <w:i w:val="1"/>
          <w:iCs w:val="1"/>
          <w:color w:val="auto"/>
        </w:rPr>
        <w:t>Section 15.15. Limited Liability of Lessor</w:t>
      </w:r>
      <w:r>
        <w:rPr>
          <w:rFonts w:ascii="Arial" w:cs="Arial" w:eastAsia="Arial" w:hAnsi="Arial"/>
          <w:sz w:val="17"/>
          <w:szCs w:val="17"/>
          <w:color w:val="auto"/>
        </w:rPr>
        <w:t>. The parties hereto agree that the Lessor shall have no personal liability whatsoever to Lessee, the Rent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Assignees, Administrative Agent or any of their respective successors and assigns for any Claim based on or in respect of this Participation Agreement or any of the other Operative Documents or arising in any way from the Overall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Lessor shall be liable in its individual capacity: (a) for its own willful misconduct or gross negligence (or negligence in the handling of funds), (b) for liabilities that may result from the inaccuracy or incorrectness of any representation or warranty made by it in this Participation Agreement or in any certificate or document delivered pursuant hereto, or from the failure of the Lessor to perform the covenants and agreements set forth in Section 10.1 hereof or any other breach by the Lessor of any of its other covenants or obligations hereunder or under any of the other Operative Documents, (c) any Lessor Lien attributable to it, (d) for any Tax based on, with respect to or measured by any income, fees, commission, compensation or other amounts received by it as compensation for services (including for acting as Lessor) or otherwise under, or as contemplated by, the Operative Documents and (e) as otherwise expressly provided in the Operative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in no event shall Lessor’s liability exceed its interest in the Facility (except that, notwithstanding this proviso, Lessor shall remain liable for actual damages caused by its gross negligence or willful misconduct).</w:t>
      </w:r>
    </w:p>
    <w:p>
      <w:pPr>
        <w:spacing w:after="0" w:line="18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Section 15.16. Limited Liability of Administrative Agent</w:t>
      </w:r>
      <w:r>
        <w:rPr>
          <w:rFonts w:ascii="Arial" w:cs="Arial" w:eastAsia="Arial" w:hAnsi="Arial"/>
          <w:sz w:val="17"/>
          <w:szCs w:val="17"/>
          <w:color w:val="auto"/>
        </w:rPr>
        <w:t>. The parties hereto agree that Administrative Agent, in its individual capacity, shall have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personal liability whatsoever to Lessee, Lessor, the Rent Assignees or any of their respective successors and assigns for any Claim based on or in respect of this Participation Agreement or any of the other Operative Documents or arising in any way from the Overall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Administrative Agent shall be liable in its individual capacity: (a) for its own willful misconduct or gross negligence (or, to the extent Administrative Agent receives funds from any party hereto or any Guarantor, its negligence in the handling of funds) and, to each Participant for the breach of its obligations to such Participant in respect of the Operative Documents and the Leased Property, (b) for liabilities that may result from the incorrectness of any representation or warranty expressly made by it in this Participation Agreement or from its failure to perform the covenants and agreements set forth in this Participation Agreement or any other Operative Document, or (c) for any Tax based on or measured by any fees, commission or compensation received by it for actions contemplated by the Operative Documents. It is understood and agreed that, except as provided in the preceding proviso, Administrative Agent shall have no personal liability under any of the Operative Documents as a result of acting pursuant to and consistent with any of the Operative Documents.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340"/>
        <w:spacing w:after="0"/>
        <w:tabs>
          <w:tab w:leader="none" w:pos="1540" w:val="left"/>
        </w:tabs>
        <w:rPr>
          <w:sz w:val="20"/>
          <w:szCs w:val="20"/>
          <w:color w:val="auto"/>
        </w:rPr>
      </w:pPr>
      <w:r>
        <w:rPr>
          <w:rFonts w:ascii="Arial" w:cs="Arial" w:eastAsia="Arial" w:hAnsi="Arial"/>
          <w:sz w:val="18"/>
          <w:szCs w:val="18"/>
          <w:i w:val="1"/>
          <w:iCs w:val="1"/>
          <w:color w:val="auto"/>
        </w:rPr>
        <w:t>Section 15.17.</w:t>
      </w:r>
      <w:r>
        <w:rPr>
          <w:sz w:val="20"/>
          <w:szCs w:val="20"/>
          <w:color w:val="auto"/>
        </w:rPr>
        <w:tab/>
      </w:r>
      <w:r>
        <w:rPr>
          <w:rFonts w:ascii="Arial" w:cs="Arial" w:eastAsia="Arial" w:hAnsi="Arial"/>
          <w:sz w:val="16"/>
          <w:szCs w:val="16"/>
          <w:i w:val="1"/>
          <w:iCs w:val="1"/>
          <w:color w:val="auto"/>
        </w:rPr>
        <w:t>Payment of Transaction Expenses and Other Costs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301" w:lineRule="auto"/>
        <w:tabs>
          <w:tab w:leader="none" w:pos="1095" w:val="left"/>
        </w:tabs>
        <w:numPr>
          <w:ilvl w:val="1"/>
          <w:numId w:val="80"/>
        </w:numPr>
        <w:rPr>
          <w:rFonts w:ascii="Arial" w:cs="Arial" w:eastAsia="Arial" w:hAnsi="Arial"/>
          <w:sz w:val="16"/>
          <w:szCs w:val="16"/>
          <w:color w:val="auto"/>
        </w:rPr>
      </w:pPr>
      <w:r>
        <w:rPr>
          <w:rFonts w:ascii="Arial" w:cs="Arial" w:eastAsia="Arial" w:hAnsi="Arial"/>
          <w:sz w:val="16"/>
          <w:szCs w:val="16"/>
          <w:i w:val="1"/>
          <w:iCs w:val="1"/>
          <w:color w:val="auto"/>
        </w:rPr>
        <w:t>Transaction Expenses and Continuing Expenses</w:t>
      </w:r>
      <w:r>
        <w:rPr>
          <w:rFonts w:ascii="Arial" w:cs="Arial" w:eastAsia="Arial" w:hAnsi="Arial"/>
          <w:sz w:val="16"/>
          <w:szCs w:val="16"/>
          <w:color w:val="auto"/>
        </w:rPr>
        <w:t>. Subject to clause (b) below, as and when any portion of Transaction Expenses becomes due</w:t>
      </w:r>
      <w:r>
        <w:rPr>
          <w:rFonts w:ascii="Arial" w:cs="Arial" w:eastAsia="Arial" w:hAnsi="Arial"/>
          <w:sz w:val="16"/>
          <w:szCs w:val="16"/>
          <w:i w:val="1"/>
          <w:iCs w:val="1"/>
          <w:color w:val="auto"/>
        </w:rPr>
        <w:t xml:space="preserve"> </w:t>
      </w:r>
      <w:r>
        <w:rPr>
          <w:rFonts w:ascii="Arial" w:cs="Arial" w:eastAsia="Arial" w:hAnsi="Arial"/>
          <w:sz w:val="16"/>
          <w:szCs w:val="16"/>
          <w:color w:val="auto"/>
        </w:rPr>
        <w:t>and payable, including the continuing fees, expenses and disbursements (including reasonable and documented counsel fees) of Lessor, as Lessor under the Lease and Administrative Agent under the Operative Documents, such Transaction Expenses shall be paid by Lessee as Supplemental Rent (it being acknowledged that the Transaction Expenses that were due and payable prior to the Restatement Date were previously paid).</w:t>
      </w:r>
    </w:p>
    <w:p>
      <w:pPr>
        <w:spacing w:after="0" w:line="157" w:lineRule="exact"/>
        <w:rPr>
          <w:rFonts w:ascii="Arial" w:cs="Arial" w:eastAsia="Arial" w:hAnsi="Arial"/>
          <w:sz w:val="16"/>
          <w:szCs w:val="16"/>
          <w:color w:val="auto"/>
        </w:rPr>
      </w:pPr>
    </w:p>
    <w:p>
      <w:pPr>
        <w:jc w:val="both"/>
        <w:ind w:firstLine="656"/>
        <w:spacing w:after="0" w:line="286" w:lineRule="auto"/>
        <w:tabs>
          <w:tab w:leader="none" w:pos="1105" w:val="left"/>
        </w:tabs>
        <w:numPr>
          <w:ilvl w:val="1"/>
          <w:numId w:val="80"/>
        </w:numPr>
        <w:rPr>
          <w:rFonts w:ascii="Arial" w:cs="Arial" w:eastAsia="Arial" w:hAnsi="Arial"/>
          <w:sz w:val="16"/>
          <w:szCs w:val="16"/>
          <w:color w:val="auto"/>
        </w:rPr>
      </w:pPr>
      <w:r>
        <w:rPr>
          <w:rFonts w:ascii="Arial" w:cs="Arial" w:eastAsia="Arial" w:hAnsi="Arial"/>
          <w:sz w:val="16"/>
          <w:szCs w:val="16"/>
          <w:i w:val="1"/>
          <w:iCs w:val="1"/>
          <w:color w:val="auto"/>
        </w:rPr>
        <w:t>Amendments, Supplements and Appraisal</w:t>
      </w:r>
      <w:r>
        <w:rPr>
          <w:rFonts w:ascii="Arial" w:cs="Arial" w:eastAsia="Arial" w:hAnsi="Arial"/>
          <w:sz w:val="16"/>
          <w:szCs w:val="16"/>
          <w:color w:val="auto"/>
        </w:rPr>
        <w:t>. Without limitation of the foregoing, Lessee agrees to pay to the Participants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Agent all reasonable and documented out-of-pocket costs and expenses (limited, in the case of legal fees, to reasonable and documented legal fees and expenses of special counsel to Administrative Agent and Lessor) incurred by any of them in connection with: (i) the considering, evaluating, investigating, negotiating and entering into or giving or withholding of any amendments or supplements or waivers or consents with respect to any Operative Document;</w:t>
      </w:r>
    </w:p>
    <w:p>
      <w:pPr>
        <w:spacing w:after="0" w:line="1" w:lineRule="exact"/>
        <w:rPr>
          <w:rFonts w:ascii="Arial" w:cs="Arial" w:eastAsia="Arial" w:hAnsi="Arial"/>
          <w:sz w:val="16"/>
          <w:szCs w:val="16"/>
          <w:color w:val="auto"/>
        </w:rPr>
      </w:pPr>
    </w:p>
    <w:p>
      <w:pPr>
        <w:jc w:val="both"/>
        <w:ind w:firstLine="8"/>
        <w:spacing w:after="0" w:line="253" w:lineRule="auto"/>
        <w:tabs>
          <w:tab w:leader="none" w:pos="2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Event of Loss, Specified Significant Environmental Event or termination of the Lease or any other Operative Document; (iii) the negotiation and documentation of any restructuring or “workout,” whether or not consummated, of any Operative Document; (iv) the enforcement of the rights or remedies under the Operative Documents; or (v) any transfer by Lessor or a Participant of any interest in the Operative Documents during the continuance of an Event of Default.</w:t>
      </w:r>
    </w:p>
    <w:p>
      <w:pPr>
        <w:spacing w:after="0" w:line="19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Section 15.18. Reproduction of Documents</w:t>
      </w:r>
      <w:r>
        <w:rPr>
          <w:rFonts w:ascii="Arial" w:cs="Arial" w:eastAsia="Arial" w:hAnsi="Arial"/>
          <w:sz w:val="16"/>
          <w:szCs w:val="16"/>
          <w:color w:val="auto"/>
        </w:rPr>
        <w:t>. This Participation Agreement, all documents constituting an Appendix, Schedule or Exhibit hereto, and</w:t>
      </w:r>
      <w:r>
        <w:rPr>
          <w:rFonts w:ascii="Arial" w:cs="Arial" w:eastAsia="Arial" w:hAnsi="Arial"/>
          <w:sz w:val="16"/>
          <w:szCs w:val="16"/>
          <w:i w:val="1"/>
          <w:iCs w:val="1"/>
          <w:color w:val="auto"/>
        </w:rPr>
        <w:t xml:space="preserve"> </w:t>
      </w:r>
      <w:r>
        <w:rPr>
          <w:rFonts w:ascii="Arial" w:cs="Arial" w:eastAsia="Arial" w:hAnsi="Arial"/>
          <w:sz w:val="16"/>
          <w:szCs w:val="16"/>
          <w:color w:val="auto"/>
        </w:rPr>
        <w:t>all documents relating hereto received by a party hereto, including, without limitation: (a) consents, waivers and modifications that may hereafter be executed; (b) documents received by the Participants or Lessor in connection with the receipt and/or acquisition of the Leased Property; and (c) financial statements, certificates, and other information previously or hereafter furnished to Lessor, Administrative Agent or any Participant may be reproduced by the party receiving the same by any photographic, photostatic, microfilm, micro-card, miniature photographic or other similar process. Each of the parties hereto agrees and stipulates that, to the extent permitted by law, any such reproduction shall be admissible in evidence as the original itself in any judicial or administrative proceeding (whether or not the original is in existence and whether or not such reproduction was made by such party in the regular course of business) and that, to the extent permitted by law, any enlargement, facsimile or further reproduction of such reproduction shall likewise be admissible in evidence. This Section 15.18 shall not prohibit the Lessee, the Guarantors or any other party hereto from contesting any such reproduction to the same extent that it could contest the original, or from introducing evidence to demonstrate the inaccuracy of any such reproduction.</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Section 15.19. Role of Arranger</w:t>
      </w:r>
      <w:r>
        <w:rPr>
          <w:rFonts w:ascii="Arial" w:cs="Arial" w:eastAsia="Arial" w:hAnsi="Arial"/>
          <w:sz w:val="18"/>
          <w:szCs w:val="18"/>
          <w:color w:val="auto"/>
        </w:rPr>
        <w:t>. Each party hereto acknowledges hereby that it is aware of the fact that Banc of America Leasing &amp; Capital, LLC</w:t>
      </w:r>
      <w:r>
        <w:rPr>
          <w:rFonts w:ascii="Arial" w:cs="Arial" w:eastAsia="Arial" w:hAnsi="Arial"/>
          <w:sz w:val="18"/>
          <w:szCs w:val="18"/>
          <w:i w:val="1"/>
          <w:iCs w:val="1"/>
          <w:color w:val="auto"/>
        </w:rPr>
        <w:t xml:space="preserve"> </w:t>
      </w:r>
      <w:r>
        <w:rPr>
          <w:rFonts w:ascii="Arial" w:cs="Arial" w:eastAsia="Arial" w:hAnsi="Arial"/>
          <w:sz w:val="18"/>
          <w:szCs w:val="18"/>
          <w:color w:val="auto"/>
        </w:rPr>
        <w:t>has acted as an “Arranger” with respect to the Overall Transaction. The parties hereto acknowledge and agree that Arranger and its Affiliates, including Bank of America, N.A., have not made any representations or warranties concerning, and that they have not relied upon the Arranger as to, the tax, accounting or legal characterization or validity of (i) the Operative Documents or (ii) any aspect of the Overall Transaction. The parties hereto acknowledge and agree that the Arranger has no duties, express or implied, under the Operative Documents in its capacity as Arranger. The parties hereto further agree that Section 5.1, Section 15.2, Section 15.17(a) and this Section 15.19 are for the express benefit of the Arranger, and the Arranger shall be entitled to rely thereon as if it were a party hereto.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324"/>
        <w:spacing w:after="0" w:line="259" w:lineRule="auto"/>
        <w:rPr>
          <w:sz w:val="20"/>
          <w:szCs w:val="20"/>
          <w:color w:val="auto"/>
        </w:rPr>
      </w:pPr>
      <w:r>
        <w:rPr>
          <w:rFonts w:ascii="Arial" w:cs="Arial" w:eastAsia="Arial" w:hAnsi="Arial"/>
          <w:sz w:val="18"/>
          <w:szCs w:val="18"/>
          <w:i w:val="1"/>
          <w:iCs w:val="1"/>
          <w:color w:val="auto"/>
        </w:rPr>
        <w:t>Section 15.20. Retention of Consultants</w:t>
      </w:r>
      <w:r>
        <w:rPr>
          <w:rFonts w:ascii="Arial" w:cs="Arial" w:eastAsia="Arial" w:hAnsi="Arial"/>
          <w:sz w:val="18"/>
          <w:szCs w:val="18"/>
          <w:color w:val="auto"/>
        </w:rPr>
        <w:t>. In connection with any matters to be determined or resolved by an independent engineer,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consultant or other third party expert, Administrative Agent is hereby authorized to retain any such third party consultant reasonably acceptable to Lessee, at Lessee’s reasonable cost and expense, in accordance with the terms of the Operative Document calling for or requiring the appointment of such third party consultant.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Section 15.21. Liability Limited</w:t>
      </w:r>
      <w:r>
        <w:rPr>
          <w:rFonts w:ascii="Arial" w:cs="Arial" w:eastAsia="Arial" w:hAnsi="Arial"/>
          <w:sz w:val="18"/>
          <w:szCs w:val="18"/>
          <w:color w:val="auto"/>
        </w:rPr>
        <w:t>. No Participant shall have any obligation to any other Participant or to the Lessee, the Lessor or the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Agent with respect to the Overall Transaction, except those obligations of such Participant expressly set forth in the Operative Documents or except as set forth in the instruments delivered in connection therewith, and no Participant shall be liable for performance by any other party hereto of such other party’s obligations under the Operative Documents, except as otherwise so set forth.</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Section 15.22. Deliveries to Participants</w:t>
      </w:r>
      <w:r>
        <w:rPr>
          <w:rFonts w:ascii="Arial" w:cs="Arial" w:eastAsia="Arial" w:hAnsi="Arial"/>
          <w:sz w:val="16"/>
          <w:szCs w:val="16"/>
          <w:color w:val="auto"/>
        </w:rPr>
        <w:t>. Lessee may fulfill its obligations hereunder and under each of the other Operative Documents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any item (other than any notices) to any Participant by providing sufficient copies of such item directly to the Administrative Agent, along with the costs of postage, with instructions to the Administrative Agent to deliver such item to such Participant; provided that this Section 15.22 shall not apply with respect to notices and other communications made pursuant to Section 15.3(b) hereof or the last paragraph of Section 8(a) or 8(b) of the Guaranty.</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Section 15.23. USA Patriot Act Notice</w:t>
      </w:r>
      <w:r>
        <w:rPr>
          <w:rFonts w:ascii="Arial" w:cs="Arial" w:eastAsia="Arial" w:hAnsi="Arial"/>
          <w:sz w:val="18"/>
          <w:szCs w:val="18"/>
          <w:color w:val="auto"/>
        </w:rPr>
        <w:t>. Each Participant that is subject to the Patriot Act hereby notifies Lessee, the Guarantors and Lessor that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requirements of the Patriot Act, it is required to obtain, verify and record information that identifies Lessee, the Guarantors and Lessor, which information includes the name and address of Lessee, the Guarantors and Lessor and other information that will allow such Participant, as applicable, to identify Lessee and Lessor, as applicable, in accordance with the Patriot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324"/>
        <w:spacing w:after="0" w:line="291" w:lineRule="auto"/>
        <w:rPr>
          <w:sz w:val="20"/>
          <w:szCs w:val="20"/>
          <w:color w:val="auto"/>
        </w:rPr>
      </w:pPr>
      <w:r>
        <w:rPr>
          <w:rFonts w:ascii="Arial" w:cs="Arial" w:eastAsia="Arial" w:hAnsi="Arial"/>
          <w:sz w:val="16"/>
          <w:szCs w:val="16"/>
          <w:i w:val="1"/>
          <w:iCs w:val="1"/>
          <w:color w:val="auto"/>
        </w:rPr>
        <w:t>Section 15.24. No Advisory or Fiduciary Responsibility</w:t>
      </w:r>
      <w:r>
        <w:rPr>
          <w:rFonts w:ascii="Arial" w:cs="Arial" w:eastAsia="Arial" w:hAnsi="Arial"/>
          <w:sz w:val="16"/>
          <w:szCs w:val="16"/>
          <w:color w:val="auto"/>
        </w:rPr>
        <w:t>. (a) In connection with all aspects of each transaction contemplated hereby (including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any amendment, waiver or other modification hereof or of any other Operative Document), the Lessee acknowledges and agrees that:</w:t>
      </w:r>
    </w:p>
    <w:p>
      <w:pPr>
        <w:jc w:val="both"/>
        <w:ind w:firstLine="8"/>
        <w:spacing w:after="0" w:line="284" w:lineRule="auto"/>
        <w:tabs>
          <w:tab w:leader="none" w:pos="252"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the services regarding this Participation Agreement provided by the Administrative Agent and the Participants are arm’s-length commercial transactions between the Lessee, on the one hand, and the Administrative Agent and the Participants, on the other hand, (B) Lessee has consulted its own legal, accounting, regulatory and tax advisors to the extent it has deemed appropriate, and (C) the Lessee is capable of evaluating, and understands and accepts, the terms, risks and conditions of the transactions contemplated hereby and by the other Operative Documents; (ii) (A) the Administrative Agent and each Participant is and has been acting solely as a principal and, except as expressly agreed in writing by the relevant parties, has not been, is not, and will not be acting as an advisor, agent or fiduciary for the Lessee or any other Person and (B) neither the Administrative Agent nor any Participant has any obligation to the Lessee or any of its Affiliates with respect to the transactions contemplated hereby except those obligations expressly set forth herein and in the other Operative Documents; and (iii) the Administrative Agent and the Participants and their respective Affiliates may be engaged in a broad range of transactions that involve interests that differ from those of the Lessee and its Affiliates, and neither the Administrative Agent, nor any Participant has any obligation to disclose any of such interests to the Lessee or any of its Affiliates. None of the Administrative Agent and the Participants will use confidential information obtained from or on behalf of Lessee or any Guarantor by virtue of the transactions contemplated by the Operative Documents or its other relationships with Lessee or any Guarantor in connection with the performance by the Administrative Agent or such Participant of services for other companies, and none of the Administrative Agent and the Participants will furnish any such information to other companies. To the fullest extent permitted by law, the Lessee hereby waives and releases any claims that it may have against the Administrative Agent, or any Participant with respect to any breach or alleged breach of agency or fiduciary duty in connection with any aspect of any transaction contemplated hereby.</w:t>
      </w:r>
    </w:p>
    <w:p>
      <w:pPr>
        <w:spacing w:after="0" w:line="175" w:lineRule="exact"/>
        <w:rPr>
          <w:rFonts w:ascii="Arial" w:cs="Arial" w:eastAsia="Arial" w:hAnsi="Arial"/>
          <w:sz w:val="16"/>
          <w:szCs w:val="16"/>
          <w:color w:val="auto"/>
        </w:rPr>
      </w:pPr>
    </w:p>
    <w:p>
      <w:pPr>
        <w:jc w:val="both"/>
        <w:ind w:firstLine="656"/>
        <w:spacing w:after="0" w:line="270" w:lineRule="auto"/>
        <w:tabs>
          <w:tab w:leader="none" w:pos="1105"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Administrative Agent hereby informs the Participants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Lease Balance and the Operative Documents, (ii) may recognize a gain if it extended the Advance or the Rent Assignment Contribution for an amount less than the amount being paid for an interest in the Advance or the Rent Assignment Contribution by such Participant or (iii) may receive fees or other payments in connection with the transactions contemplated hereby, the Operative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Section 15.25. Certain Confidentiality Obligations of Lessee</w:t>
      </w:r>
      <w:r>
        <w:rPr>
          <w:rFonts w:ascii="Arial" w:cs="Arial" w:eastAsia="Arial" w:hAnsi="Arial"/>
          <w:sz w:val="16"/>
          <w:szCs w:val="16"/>
          <w:color w:val="auto"/>
        </w:rPr>
        <w:t>. Lessee shall keep confidential, and shall not disclose, any information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publicly available other than as a result of a breach of this Section) that it obtains about the Lessor pursuant to Section 10.1(i), except that Lessee may disclose such information (i) to the extent required by Applicable Laws, (ii) to its Affiliates and its and such Affiliates’ respective attorneys, auditors, accountants and other professional advisors (it being understood that the Persons to whom such disclosure is made will be informed of the confidential nature of such information and instructed to keep such information confidential);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Lessee shall be responsible for compliance by such Persons with the provisions of this Section 15.25, (iii) in connection with the enforcement of its rights or remedies under the Operative Documents,</w:t>
      </w:r>
    </w:p>
    <w:p>
      <w:pPr>
        <w:spacing w:after="0" w:line="4" w:lineRule="exact"/>
        <w:rPr>
          <w:sz w:val="20"/>
          <w:szCs w:val="20"/>
          <w:color w:val="auto"/>
        </w:rPr>
      </w:pPr>
    </w:p>
    <w:p>
      <w:pPr>
        <w:ind w:firstLine="8"/>
        <w:spacing w:after="0" w:line="260" w:lineRule="auto"/>
        <w:tabs>
          <w:tab w:leader="none" w:pos="31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to any assignee or potential assignee of Lessee’s interests permitted by the Operative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assignee or potential assignee agrees to the terms of this Section 15.25, and (v) to any regulatory authority having jurisdiction over Lessee or any of its Affiliates.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firstLine="324"/>
        <w:spacing w:after="0" w:line="291" w:lineRule="auto"/>
        <w:rPr>
          <w:sz w:val="20"/>
          <w:szCs w:val="20"/>
          <w:color w:val="auto"/>
        </w:rPr>
      </w:pPr>
      <w:r>
        <w:rPr>
          <w:rFonts w:ascii="Arial" w:cs="Arial" w:eastAsia="Arial" w:hAnsi="Arial"/>
          <w:sz w:val="16"/>
          <w:szCs w:val="16"/>
          <w:i w:val="1"/>
          <w:iCs w:val="1"/>
          <w:color w:val="auto"/>
        </w:rPr>
        <w:t>Section 15.26. Effect of Restatement</w:t>
      </w:r>
      <w:r>
        <w:rPr>
          <w:rFonts w:ascii="Arial" w:cs="Arial" w:eastAsia="Arial" w:hAnsi="Arial"/>
          <w:sz w:val="16"/>
          <w:szCs w:val="16"/>
          <w:color w:val="auto"/>
        </w:rPr>
        <w:t>. This Participation Agreement shall be effective as of, and the Previously Existing Participation Agreement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amended and restated as set forth in this Participation Agreement on, the Restatement Date. The parties hereto acknowledge and agree, however, that</w:t>
      </w:r>
    </w:p>
    <w:p>
      <w:pPr>
        <w:jc w:val="both"/>
        <w:ind w:firstLine="8"/>
        <w:spacing w:after="0" w:line="281" w:lineRule="auto"/>
        <w:tabs>
          <w:tab w:leader="none" w:pos="25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this Participation Agreement and the other Restated Operative Documents do not constitute a novation or termination of the Obligations under and as defined in the Previously Existing Participation Agreement or under the other Operative Documents as in effect immediately prior to the Restatement Date,</w:t>
      </w:r>
    </w:p>
    <w:p>
      <w:pPr>
        <w:spacing w:after="0" w:line="1" w:lineRule="exact"/>
        <w:rPr>
          <w:rFonts w:ascii="Arial" w:cs="Arial" w:eastAsia="Arial" w:hAnsi="Arial"/>
          <w:sz w:val="16"/>
          <w:szCs w:val="16"/>
          <w:color w:val="auto"/>
        </w:rPr>
      </w:pPr>
    </w:p>
    <w:p>
      <w:pPr>
        <w:jc w:val="both"/>
        <w:ind w:firstLine="8"/>
        <w:spacing w:after="0" w:line="287" w:lineRule="auto"/>
        <w:tabs>
          <w:tab w:leader="none" w:pos="2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such Obligations are in all respects continuing with only the terms being modified from and after the Restatement Date as provided in this Participation Agreement and the other Restated Operative Documents, (c) the Guaranty, as amended and restated as of the Restatement Date, is in all respects continuing and remains in full force and effect with respect to all Liabilities (as defined therein), (d) except as provided for in, or contemplated by, the Restated Operative Documents, the mortgage, liens and security interests in favor of the Lessor securing payment of such Obligations are in all respects continuing and in full force and effect with respect to all Obligations and (e) except to the extent the context requires otherwise, from and after the Restatement Date, all references in the other Operative Documents to the “Participation Agreement” and all other references in the other Operative Documents originally applicable to the Previously Existing Participation Agreement shall be deemed to refer without further amendment to this Participation Agreement, as amended, restated, supplemented or otherwise modified from time to time in accordance with the terms 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Section 16.1. Appointment</w:t>
      </w:r>
      <w:r>
        <w:rPr>
          <w:rFonts w:ascii="Arial" w:cs="Arial" w:eastAsia="Arial" w:hAnsi="Arial"/>
          <w:sz w:val="18"/>
          <w:szCs w:val="18"/>
          <w:color w:val="auto"/>
        </w:rPr>
        <w:t>. Each Participant hereby irrevocably designates and appoints the Administrative Agent as its agent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 and the other Operative Documents, and each such Participant irrevocably authorizes the Administrative Agent, in such capacity, to take such action on its behalf under the provisions of this Participation Agreement and the other Operative Documents and to exercise such powers and perform such duties as are expressly delegated to the Administrative Agent by the terms of this Participation Agreement and the other Operative Documents, together with such other powers as are reasonably incidental thereto. Notwithstanding any provision to the contrary elsewhere in this Participation Agreement, the Administrative Agent shall not have any duties or responsibilities, except those expressly set forth herein and in the other Operative Documents, or any fiduciary relationship with any Participant or any other party to the Operative Documents, and no implied covenants, functions, responsibilities, duties, obligations or liabilities shall be read into this Participation Agreement or any other Operative Document or otherwise exist against the Administrative Agent.</w:t>
      </w:r>
    </w:p>
    <w:p>
      <w:pPr>
        <w:spacing w:after="0" w:line="196" w:lineRule="exact"/>
        <w:rPr>
          <w:sz w:val="20"/>
          <w:szCs w:val="20"/>
          <w:color w:val="auto"/>
        </w:rPr>
      </w:pPr>
    </w:p>
    <w:p>
      <w:pPr>
        <w:ind w:left="340"/>
        <w:spacing w:after="0"/>
        <w:tabs>
          <w:tab w:leader="none" w:pos="1520" w:val="left"/>
        </w:tabs>
        <w:rPr>
          <w:sz w:val="20"/>
          <w:szCs w:val="20"/>
          <w:color w:val="auto"/>
        </w:rPr>
      </w:pPr>
      <w:r>
        <w:rPr>
          <w:rFonts w:ascii="Arial" w:cs="Arial" w:eastAsia="Arial" w:hAnsi="Arial"/>
          <w:sz w:val="18"/>
          <w:szCs w:val="18"/>
          <w:i w:val="1"/>
          <w:iCs w:val="1"/>
          <w:color w:val="auto"/>
        </w:rPr>
        <w:t>Section 16.2.</w:t>
      </w:r>
      <w:r>
        <w:rPr>
          <w:sz w:val="20"/>
          <w:szCs w:val="20"/>
          <w:color w:val="auto"/>
        </w:rPr>
        <w:tab/>
      </w:r>
      <w:r>
        <w:rPr>
          <w:rFonts w:ascii="Arial" w:cs="Arial" w:eastAsia="Arial" w:hAnsi="Arial"/>
          <w:sz w:val="17"/>
          <w:szCs w:val="17"/>
          <w:i w:val="1"/>
          <w:iCs w:val="1"/>
          <w:color w:val="auto"/>
        </w:rPr>
        <w:t>Delegation of Duties</w:t>
      </w:r>
      <w:r>
        <w:rPr>
          <w:rFonts w:ascii="Arial" w:cs="Arial" w:eastAsia="Arial" w:hAnsi="Arial"/>
          <w:sz w:val="17"/>
          <w:szCs w:val="17"/>
          <w:color w:val="auto"/>
        </w:rPr>
        <w:t>. The Administrative Agent may execute any of its duties under this Participation Agreement and the other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Operative Documents by or through agents or attorneys-in-fact and shall be entitled to advice of counsel concerning all matters pertaining to such duties.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Administrative Agent shall not be responsible for the negligence or misconduct of agents or attorneys-in-fact selected by it with reasonable care.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324"/>
        <w:spacing w:after="0" w:line="269" w:lineRule="auto"/>
        <w:rPr>
          <w:sz w:val="20"/>
          <w:szCs w:val="20"/>
          <w:color w:val="auto"/>
        </w:rPr>
      </w:pPr>
      <w:r>
        <w:rPr>
          <w:rFonts w:ascii="Arial" w:cs="Arial" w:eastAsia="Arial" w:hAnsi="Arial"/>
          <w:sz w:val="17"/>
          <w:szCs w:val="17"/>
          <w:i w:val="1"/>
          <w:iCs w:val="1"/>
          <w:color w:val="auto"/>
        </w:rPr>
        <w:t>Section 16.3. Exculpatory Provisions</w:t>
      </w:r>
      <w:r>
        <w:rPr>
          <w:rFonts w:ascii="Arial" w:cs="Arial" w:eastAsia="Arial" w:hAnsi="Arial"/>
          <w:sz w:val="17"/>
          <w:szCs w:val="17"/>
          <w:color w:val="auto"/>
        </w:rPr>
        <w:t>. Neither the Administrative Agent (in its capacity as such) nor any of its officers, directors, employees, agents,</w:t>
      </w:r>
      <w:r>
        <w:rPr>
          <w:rFonts w:ascii="Arial" w:cs="Arial" w:eastAsia="Arial" w:hAnsi="Arial"/>
          <w:sz w:val="17"/>
          <w:szCs w:val="17"/>
          <w:i w:val="1"/>
          <w:iCs w:val="1"/>
          <w:color w:val="auto"/>
        </w:rPr>
        <w:t xml:space="preserve"> </w:t>
      </w:r>
      <w:r>
        <w:rPr>
          <w:rFonts w:ascii="Arial" w:cs="Arial" w:eastAsia="Arial" w:hAnsi="Arial"/>
          <w:sz w:val="17"/>
          <w:szCs w:val="17"/>
          <w:color w:val="auto"/>
        </w:rPr>
        <w:t>attorneys-in-fact or Affiliates shall be (a) liable for any action lawfully taken or omitted to be taken by it or such Person under or in connection with this Participation Agreement or any other Operative Document, except for its or such Person’s own willful misconduct or gross negligence (or negligence in the handling of funds) or (b) responsible in any manner to any Participant or any other party to the Operative Documents for any recitals, statements, representations or warranties made by the Lessor or the Lessee or the Guarantors or any officer thereof contained in this Participation Agreement or any other Operative Document or in any certificate, report, statement or other document referred to or provided for in, or received by the Administrative Agent under or in connection with, this Participation Agreement or any other Operative Document, or for the value, validity, effectiveness, genuineness, enforceability or sufficiency of this Participation Agreement or any other Operative Document or for any failure of the Lessor or the Lessee or the Guarantors to perform their respective obligations hereunder or thereunder. The Administrative Agent shall not be under any obligation to any Participant or any other party to the Operative Documents to ascertain or to inquire as to the observance or performance of any of the agreements contained in, or conditions of, this Participation Agreement or any other Operative Document, or to inspect the properties, books or records of the Lessor, the Guarantors or the Lessee.</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Section 16.4. Reliance by Administrative Agent</w:t>
      </w:r>
      <w:r>
        <w:rPr>
          <w:rFonts w:ascii="Arial" w:cs="Arial" w:eastAsia="Arial" w:hAnsi="Arial"/>
          <w:sz w:val="17"/>
          <w:szCs w:val="17"/>
          <w:color w:val="auto"/>
        </w:rPr>
        <w:t>. The Administrative Agent shall be entitled to rely, and shall be fully protected in relying, upon any</w:t>
      </w:r>
      <w:r>
        <w:rPr>
          <w:rFonts w:ascii="Arial" w:cs="Arial" w:eastAsia="Arial" w:hAnsi="Arial"/>
          <w:sz w:val="17"/>
          <w:szCs w:val="17"/>
          <w:i w:val="1"/>
          <w:iCs w:val="1"/>
          <w:color w:val="auto"/>
        </w:rPr>
        <w:t xml:space="preserve"> </w:t>
      </w:r>
      <w:r>
        <w:rPr>
          <w:rFonts w:ascii="Arial" w:cs="Arial" w:eastAsia="Arial" w:hAnsi="Arial"/>
          <w:sz w:val="17"/>
          <w:szCs w:val="17"/>
          <w:color w:val="auto"/>
        </w:rPr>
        <w:t>Rent Assignment Contribution Amount, Lessor Amount, writing, resolution, notice, consent, certificate, affidavit, letter, facsimile message, statement, order or other document or other written communication believed by it to be genuine and correct and to have been signed, sent or made by the proper Person or Persons and upon advice and statements of legal counsel (including, without limitation, counsel to the Lessor or the Lessee), independent accountants and other experts selected by the Administrative Agent. The Administrative Agent may deem and treat the payee of any Rent Assignment Contribution or Lessor Amount as the owner thereof for all purposes unless a written notice of assignment, negotiation or transfer thereof shall have been filed with the Administrative Agent, in accordance with the Rent Assignment Agreement or this Participation Agreement, as applicable. The Administrative Agent shall be fully justified in failing or refusing to take any action under this Participation Agreement or any other Operative Document unless it shall first receive the advice or concurrence of the Required Participants, or it shall first be indemnified to its reasonable satisfaction by the applicable Participants against any and all liability and expense which may be incurred by it by reason of taking or continuing to take any such action. The Administrative Agent shall in all cases be fully protected in acting, or in refraining from acting, under this Participation Agreement and the other Operative Documents in accordance with a request of the Required Participants, and such request and any action taken or failure to act pursuant thereto shall be binding upon all the Participants and all future assigns and transferees. Wherever in the Operative Documents the consent or approval of the Administrative Agent is required, in giving any such consent or approval the Administrative Agent may rely upon, or make its approval subject to, the directions of or consent or approval from the Required Participants.</w:t>
      </w:r>
    </w:p>
    <w:p>
      <w:pPr>
        <w:spacing w:after="0" w:line="18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Section 16.5. Notice of Default</w:t>
      </w:r>
      <w:r>
        <w:rPr>
          <w:rFonts w:ascii="Arial" w:cs="Arial" w:eastAsia="Arial" w:hAnsi="Arial"/>
          <w:sz w:val="18"/>
          <w:szCs w:val="18"/>
          <w:color w:val="auto"/>
        </w:rPr>
        <w:t>. The Administrative Agent shall not be deemed to have knowledge or notice of the occurrence of any Default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Event of Default unless the Administrative Agent has received written notice from a Participant referring to this Participation Agreement, describing such Default or Event of Default and stating that such notice is a “notice of default.” In the event that the Administrative Agent receives such a notice, the Administrative Agent shall promptly give notice thereof to the Participants, Lessor and the Lessee. The Administrative Agent shall take such action with respect to such Default or Event of Default as shall be directed by the Required Participants;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Participants, subject to any applicable terms of the Operative Documents.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340"/>
        <w:spacing w:after="0"/>
        <w:tabs>
          <w:tab w:leader="none" w:pos="1440" w:val="left"/>
        </w:tabs>
        <w:rPr>
          <w:sz w:val="20"/>
          <w:szCs w:val="20"/>
          <w:color w:val="auto"/>
        </w:rPr>
      </w:pPr>
      <w:r>
        <w:rPr>
          <w:rFonts w:ascii="Arial" w:cs="Arial" w:eastAsia="Arial" w:hAnsi="Arial"/>
          <w:sz w:val="18"/>
          <w:szCs w:val="18"/>
          <w:i w:val="1"/>
          <w:iCs w:val="1"/>
          <w:color w:val="auto"/>
        </w:rPr>
        <w:t>Section 16.6.</w:t>
      </w:r>
      <w:r>
        <w:rPr>
          <w:sz w:val="20"/>
          <w:szCs w:val="20"/>
          <w:color w:val="auto"/>
        </w:rPr>
        <w:tab/>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Section 16.7. Administrative Agent in Its Individual Capacity</w:t>
      </w:r>
      <w:r>
        <w:rPr>
          <w:rFonts w:ascii="Arial" w:cs="Arial" w:eastAsia="Arial" w:hAnsi="Arial"/>
          <w:sz w:val="16"/>
          <w:szCs w:val="16"/>
          <w:color w:val="auto"/>
        </w:rPr>
        <w:t>. Each Participant acknowledges that Bank of America, N.A. is acting as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Agent hereunder. Bank of America, N.A. and its Affiliates may make loans to, issue letters of credit for the account of, accept deposits from, acquire equity interests in and generally engage in any kind of banking, trust, financial advisory, underwriting or other business with the Lessor, the Lessee and their Affiliates as though it was not the Administrative Agent hereunder and under the other Operative Documents and without notice to or consent of the Participants. Each Participant acknowledges that, pursuant to such activities, Bank of America, N.A. or its Affiliates may receive information regarding the Lessee, the Guarantors, Lessor or their respective Affiliates (including information that may be subject to confidentiality obligations in favor of the Lessee, Lessor or their respective Affiliates) and acknowledges that such Persons shall be under no obligation to provide such information to them.</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Section 16.8. Successor Administrative Agent</w:t>
      </w:r>
      <w:r>
        <w:rPr>
          <w:rFonts w:ascii="Arial" w:cs="Arial" w:eastAsia="Arial" w:hAnsi="Arial"/>
          <w:sz w:val="17"/>
          <w:szCs w:val="17"/>
          <w:color w:val="auto"/>
        </w:rPr>
        <w:t>. The Administrative Agent may resign at any time by giving thirty (30) days prior written notice</w:t>
      </w:r>
      <w:r>
        <w:rPr>
          <w:rFonts w:ascii="Arial" w:cs="Arial" w:eastAsia="Arial" w:hAnsi="Arial"/>
          <w:sz w:val="17"/>
          <w:szCs w:val="17"/>
          <w:i w:val="1"/>
          <w:iCs w:val="1"/>
          <w:color w:val="auto"/>
        </w:rPr>
        <w:t xml:space="preserve"> </w:t>
      </w:r>
      <w:r>
        <w:rPr>
          <w:rFonts w:ascii="Arial" w:cs="Arial" w:eastAsia="Arial" w:hAnsi="Arial"/>
          <w:sz w:val="17"/>
          <w:szCs w:val="17"/>
          <w:color w:val="auto"/>
        </w:rPr>
        <w:t>thereof to the Participants and the Lessee and may be removed at any time with or without cause by the Required Participants. Upon any such resignation or removal, the Required Participants shall have the right to appoint a successor Administrative Agent. If no successor Administrative Agent shall have been so appointed by the Required Participants, and shall have accepted such appointment, within thirty (30) days after the retiring Administrative Agent’s giving of notice of resignation or the Required Participants’ removal of the retiring Administrative Agent, then the retiring Administrative Agent may, on behalf of the Participants, appoint a successor Administrative Agent, which shall be a commercial bank described in clause (a) or (b) of the definition of “Eligible Assignee” with an office in New York, New York (or an Affiliate of any such bank) and have a combined capital and surplus of at least $150,000,000.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Participation Agreement. After any retiring Administrative Agent’s resignation or removal hereunder as Administrative Agent, the provisions of this Article XVI shall inure to its benefit as to any actions taken or omitted to be taken by it while it was Administrative Agent under this Participation Agreement. Notwithstanding the foregoing if no Event of Default shall have occurred and be continuing, then no successor Administrative Agent shall be appointed under this Section 16.8 without the prior written consent of the Lessee, which consent shall not be unreasonably withheld or delayed.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324"/>
        <w:spacing w:after="0" w:line="255" w:lineRule="auto"/>
        <w:rPr>
          <w:sz w:val="20"/>
          <w:szCs w:val="20"/>
          <w:color w:val="auto"/>
        </w:rPr>
      </w:pPr>
      <w:r>
        <w:rPr>
          <w:rFonts w:ascii="Arial" w:cs="Arial" w:eastAsia="Arial" w:hAnsi="Arial"/>
          <w:sz w:val="18"/>
          <w:szCs w:val="18"/>
          <w:i w:val="1"/>
          <w:iCs w:val="1"/>
          <w:color w:val="auto"/>
        </w:rPr>
        <w:t>Section 16.9. Non-Reliance on Administrative Agent</w:t>
      </w:r>
      <w:r>
        <w:rPr>
          <w:rFonts w:ascii="Arial" w:cs="Arial" w:eastAsia="Arial" w:hAnsi="Arial"/>
          <w:sz w:val="18"/>
          <w:szCs w:val="18"/>
          <w:color w:val="auto"/>
        </w:rPr>
        <w:t>. Each Participant acknowledges that it has, independently and without reliance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or any of its Related Parties and based on such documents and information as it has deemed appropriate, made its own credit analysis and decision to enter into this Participation Agreement. Each Participant also acknowledges that it will, independently and without reliance upon the Administrative Agent or any of its Related Parties and based on such documents and information as it shall from time to time deem appropriate, continue to make its own decisions in taking or not taking action under or based upon this Participation Agreement, any other Operative Document or any related agreement or any document furnished hereunder or thereunder.</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Section 16.10. Release of Collateral and Guarantors</w:t>
      </w:r>
      <w:r>
        <w:rPr>
          <w:rFonts w:ascii="Arial" w:cs="Arial" w:eastAsia="Arial" w:hAnsi="Arial"/>
          <w:sz w:val="17"/>
          <w:szCs w:val="17"/>
          <w:color w:val="auto"/>
        </w:rPr>
        <w:t>. Administrative Agent and the Participants acknowledge and agree that Lessee shall be a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party beneficiary of Section 5.2 of the Rent Assignment Agreement with respect to the provisions set forth therein regarding the release of Liens and the Guaranty and related matters specified in such section and any similar provisions contained in the Assignment of Leases.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Section 16.11. Recovery of Erroneous Payments </w:t>
      </w:r>
      <w:r>
        <w:rPr>
          <w:rFonts w:ascii="Arial" w:cs="Arial" w:eastAsia="Arial" w:hAnsi="Arial"/>
          <w:sz w:val="16"/>
          <w:szCs w:val="16"/>
          <w:color w:val="auto"/>
        </w:rPr>
        <w:t>. Without limitation of any other provision in this Participation Agreement, if at any time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makes a payment hereunder in error to any Participant, whether or not in respect of an Obligation due and owing by the Lessee at such time, where such payment is a Rescindable Amount, then in any such event, each Participant receiving a Rescindable Amount severally agrees to repay to the Administrative Agent forthwith on demand the Rescindable Amount received by such Participant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an overnight rate reasonably determined by the Administrative Agent in accordance with banking industry rules on interbank compensation. Each Participant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Participant promptly upon determining that any payment made to such Participant comprised, in whole or in part, a Rescindable Amount. A notice of the Administrative Agent to any Participant with respect to any amount owing under this Section 16.11 shall be conclusive, absent manifest error. As used herein, “</w:t>
      </w:r>
      <w:r>
        <w:rPr>
          <w:rFonts w:ascii="Arial" w:cs="Arial" w:eastAsia="Arial" w:hAnsi="Arial"/>
          <w:sz w:val="16"/>
          <w:szCs w:val="16"/>
          <w:i w:val="1"/>
          <w:iCs w:val="1"/>
          <w:color w:val="auto"/>
        </w:rPr>
        <w:t>Rescindable Amount</w:t>
      </w:r>
      <w:r>
        <w:rPr>
          <w:rFonts w:ascii="Arial" w:cs="Arial" w:eastAsia="Arial" w:hAnsi="Arial"/>
          <w:sz w:val="16"/>
          <w:szCs w:val="16"/>
          <w:color w:val="auto"/>
        </w:rPr>
        <w:t>” means any payment that the Administrative Agent makes for the account of any of the Participants hereunder or under any of the other Operative Documents as to which the Administrative Agent determines (which determination shall be conclusive absent manifest error) that any of the following applies: (1) the Lessee has not in fact made such payment; (2) the Administrative Agent has made a payment in excess of the amount so paid by the Lessee (whether or not then owed); or (3) the Administrative Agent has for any reason otherwise erroneously made such payment.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ND OF</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AGES</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firstLine="648"/>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the parties hereto have caused this Second Amended and Restated Participation Agreement to be duly executed by their respective officers or other authorized signatories thereunto duly authorized as of the day and year first above written.</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Lessee</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Leonard N. Brooks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ind w:left="4520"/>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 as Lessor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Erin M.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Erin M. Parks</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4" w:name="page75"/>
    <w:bookmarkEnd w:id="74"/>
    <w:p>
      <w:pPr>
        <w:ind w:left="4840" w:hanging="323"/>
        <w:spacing w:after="0" w:line="277" w:lineRule="auto"/>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ANK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N.A., not in its individual capacity, except as expressly stated herein, but solely as Administrative Agent</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Aamir Saleem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Aamir Saleem</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[Signature Page 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0"/>
          </w:cols>
          <w:pgMar w:left="1440" w:top="908" w:right="659" w:bottom="1440" w:gutter="0" w:footer="0" w:header="0"/>
        </w:sectPr>
      </w:pPr>
    </w:p>
    <w:bookmarkStart w:id="75" w:name="page76"/>
    <w:bookmarkEnd w:id="75"/>
    <w:p>
      <w:pPr>
        <w:ind w:left="4520"/>
        <w:spacing w:after="0"/>
        <w:rPr>
          <w:sz w:val="20"/>
          <w:szCs w:val="20"/>
          <w:color w:val="auto"/>
        </w:rPr>
      </w:pPr>
      <w:r>
        <w:rPr>
          <w:rFonts w:ascii="Arial" w:cs="Arial" w:eastAsia="Arial" w:hAnsi="Arial"/>
          <w:sz w:val="16"/>
          <w:szCs w:val="16"/>
          <w:color w:val="auto"/>
        </w:rPr>
        <w:t>BA L</w:t>
      </w:r>
      <w:r>
        <w:rPr>
          <w:rFonts w:ascii="Arial" w:cs="Arial" w:eastAsia="Arial" w:hAnsi="Arial"/>
          <w:sz w:val="11"/>
          <w:szCs w:val="11"/>
          <w:color w:val="auto"/>
        </w:rPr>
        <w:t>EASING</w:t>
      </w:r>
      <w:r>
        <w:rPr>
          <w:rFonts w:ascii="Arial" w:cs="Arial" w:eastAsia="Arial" w:hAnsi="Arial"/>
          <w:sz w:val="16"/>
          <w:szCs w:val="16"/>
          <w:color w:val="auto"/>
        </w:rPr>
        <w:t xml:space="preserve"> BSC, LLC, as a Rent Assignee</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Erin M.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Erin M. Parks</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6" w:name="page77"/>
    <w:bookmarkEnd w:id="76"/>
    <w:p>
      <w:pPr>
        <w:ind w:left="4520"/>
        <w:spacing w:after="0"/>
        <w:rPr>
          <w:sz w:val="20"/>
          <w:szCs w:val="20"/>
          <w:color w:val="auto"/>
        </w:rPr>
      </w:pPr>
      <w:r>
        <w:rPr>
          <w:rFonts w:ascii="Arial" w:cs="Arial" w:eastAsia="Arial" w:hAnsi="Arial"/>
          <w:sz w:val="16"/>
          <w:szCs w:val="16"/>
          <w:color w:val="auto"/>
        </w:rPr>
        <w:t>MUFG B</w:t>
      </w:r>
      <w:r>
        <w:rPr>
          <w:rFonts w:ascii="Arial" w:cs="Arial" w:eastAsia="Arial" w:hAnsi="Arial"/>
          <w:sz w:val="11"/>
          <w:szCs w:val="11"/>
          <w:color w:val="auto"/>
        </w:rPr>
        <w:t>ANK</w:t>
      </w:r>
      <w:r>
        <w:rPr>
          <w:rFonts w:ascii="Arial" w:cs="Arial" w:eastAsia="Arial" w:hAnsi="Arial"/>
          <w:sz w:val="16"/>
          <w:szCs w:val="16"/>
          <w:color w:val="auto"/>
        </w:rPr>
        <w:t>, L</w:t>
      </w:r>
      <w:r>
        <w:rPr>
          <w:rFonts w:ascii="Arial" w:cs="Arial" w:eastAsia="Arial" w:hAnsi="Arial"/>
          <w:sz w:val="11"/>
          <w:szCs w:val="11"/>
          <w:color w:val="auto"/>
        </w:rPr>
        <w:t>TD</w:t>
      </w:r>
      <w:r>
        <w:rPr>
          <w:rFonts w:ascii="Arial" w:cs="Arial" w:eastAsia="Arial" w:hAnsi="Arial"/>
          <w:sz w:val="16"/>
          <w:szCs w:val="16"/>
          <w:color w:val="auto"/>
        </w:rPr>
        <w:t>., as a Rent Assignee</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Gordon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Gordon Cook</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7" w:name="page78"/>
    <w:bookmarkEnd w:id="77"/>
    <w:p>
      <w:pPr>
        <w:ind w:left="4520"/>
        <w:spacing w:after="0"/>
        <w:rPr>
          <w:sz w:val="20"/>
          <w:szCs w:val="20"/>
          <w:color w:val="auto"/>
        </w:rPr>
      </w:pPr>
      <w:r>
        <w:rPr>
          <w:rFonts w:ascii="Arial" w:cs="Arial" w:eastAsia="Arial" w:hAnsi="Arial"/>
          <w:sz w:val="16"/>
          <w:szCs w:val="16"/>
          <w:color w:val="auto"/>
        </w:rPr>
        <w:t>JPM</w:t>
      </w:r>
      <w:r>
        <w:rPr>
          <w:rFonts w:ascii="Arial" w:cs="Arial" w:eastAsia="Arial" w:hAnsi="Arial"/>
          <w:sz w:val="11"/>
          <w:szCs w:val="11"/>
          <w:color w:val="auto"/>
        </w:rPr>
        <w:t>ORGAN</w:t>
      </w:r>
      <w:r>
        <w:rPr>
          <w:rFonts w:ascii="Arial" w:cs="Arial" w:eastAsia="Arial" w:hAnsi="Arial"/>
          <w:sz w:val="16"/>
          <w:szCs w:val="16"/>
          <w:color w:val="auto"/>
        </w:rPr>
        <w:t xml:space="preserve"> C</w:t>
      </w:r>
      <w:r>
        <w:rPr>
          <w:rFonts w:ascii="Arial" w:cs="Arial" w:eastAsia="Arial" w:hAnsi="Arial"/>
          <w:sz w:val="11"/>
          <w:szCs w:val="11"/>
          <w:color w:val="auto"/>
        </w:rPr>
        <w:t>HASE</w:t>
      </w:r>
      <w:r>
        <w:rPr>
          <w:rFonts w:ascii="Arial" w:cs="Arial" w:eastAsia="Arial" w:hAnsi="Arial"/>
          <w:sz w:val="16"/>
          <w:szCs w:val="16"/>
          <w:color w:val="auto"/>
        </w:rPr>
        <w:t xml:space="preserve"> B</w:t>
      </w:r>
      <w:r>
        <w:rPr>
          <w:rFonts w:ascii="Arial" w:cs="Arial" w:eastAsia="Arial" w:hAnsi="Arial"/>
          <w:sz w:val="11"/>
          <w:szCs w:val="11"/>
          <w:color w:val="auto"/>
        </w:rPr>
        <w:t>ANK</w:t>
      </w:r>
      <w:r>
        <w:rPr>
          <w:rFonts w:ascii="Arial" w:cs="Arial" w:eastAsia="Arial" w:hAnsi="Arial"/>
          <w:sz w:val="16"/>
          <w:szCs w:val="16"/>
          <w:color w:val="auto"/>
        </w:rPr>
        <w:t>, N.A., as a Rent Assignee</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Gregory T.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Gregory T. Martin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8" w:name="page79"/>
    <w:bookmarkEnd w:id="78"/>
    <w:p>
      <w:pPr>
        <w:ind w:left="4520"/>
        <w:spacing w:after="0"/>
        <w:rPr>
          <w:sz w:val="20"/>
          <w:szCs w:val="20"/>
          <w:color w:val="auto"/>
        </w:rPr>
      </w:pPr>
      <w:r>
        <w:rPr>
          <w:rFonts w:ascii="Arial" w:cs="Arial" w:eastAsia="Arial" w:hAnsi="Arial"/>
          <w:sz w:val="17"/>
          <w:szCs w:val="17"/>
          <w:color w:val="auto"/>
        </w:rPr>
        <w:t>U.S. B</w:t>
      </w:r>
      <w:r>
        <w:rPr>
          <w:rFonts w:ascii="Arial" w:cs="Arial" w:eastAsia="Arial" w:hAnsi="Arial"/>
          <w:sz w:val="11"/>
          <w:szCs w:val="11"/>
          <w:color w:val="auto"/>
        </w:rPr>
        <w:t>ANK</w:t>
      </w:r>
      <w:r>
        <w:rPr>
          <w:rFonts w:ascii="Arial" w:cs="Arial" w:eastAsia="Arial" w:hAnsi="Arial"/>
          <w:sz w:val="17"/>
          <w:szCs w:val="17"/>
          <w:color w:val="auto"/>
        </w:rPr>
        <w:t xml:space="preserve"> N</w:t>
      </w:r>
      <w:r>
        <w:rPr>
          <w:rFonts w:ascii="Arial" w:cs="Arial" w:eastAsia="Arial" w:hAnsi="Arial"/>
          <w:sz w:val="11"/>
          <w:szCs w:val="11"/>
          <w:color w:val="auto"/>
        </w:rPr>
        <w:t>ATIONAL</w:t>
      </w:r>
      <w:r>
        <w:rPr>
          <w:rFonts w:ascii="Arial" w:cs="Arial" w:eastAsia="Arial" w:hAnsi="Arial"/>
          <w:sz w:val="17"/>
          <w:szCs w:val="17"/>
          <w:color w:val="auto"/>
        </w:rPr>
        <w:t xml:space="preserve"> A</w:t>
      </w:r>
      <w:r>
        <w:rPr>
          <w:rFonts w:ascii="Arial" w:cs="Arial" w:eastAsia="Arial" w:hAnsi="Arial"/>
          <w:sz w:val="11"/>
          <w:szCs w:val="11"/>
          <w:color w:val="auto"/>
        </w:rPr>
        <w:t>SSOCIATION</w:t>
      </w:r>
      <w:r>
        <w:rPr>
          <w:rFonts w:ascii="Arial" w:cs="Arial" w:eastAsia="Arial" w:hAnsi="Arial"/>
          <w:sz w:val="17"/>
          <w:szCs w:val="17"/>
          <w:color w:val="auto"/>
        </w:rPr>
        <w:t>, as a Rent Assignee</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Michael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Michael West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9" w:name="page80"/>
    <w:bookmarkEnd w:id="79"/>
    <w:p>
      <w:pPr>
        <w:ind w:left="4520"/>
        <w:spacing w:after="0"/>
        <w:rPr>
          <w:sz w:val="20"/>
          <w:szCs w:val="20"/>
          <w:color w:val="auto"/>
        </w:rPr>
      </w:pPr>
      <w:r>
        <w:rPr>
          <w:rFonts w:ascii="Arial" w:cs="Arial" w:eastAsia="Arial" w:hAnsi="Arial"/>
          <w:sz w:val="17"/>
          <w:szCs w:val="17"/>
          <w:color w:val="auto"/>
        </w:rPr>
        <w:t>F</w:t>
      </w:r>
      <w:r>
        <w:rPr>
          <w:rFonts w:ascii="Arial" w:cs="Arial" w:eastAsia="Arial" w:hAnsi="Arial"/>
          <w:sz w:val="11"/>
          <w:szCs w:val="11"/>
          <w:color w:val="auto"/>
        </w:rPr>
        <w:t>IFTH</w:t>
      </w:r>
      <w:r>
        <w:rPr>
          <w:rFonts w:ascii="Arial" w:cs="Arial" w:eastAsia="Arial" w:hAnsi="Arial"/>
          <w:sz w:val="17"/>
          <w:szCs w:val="17"/>
          <w:color w:val="auto"/>
        </w:rPr>
        <w:t xml:space="preserve"> T</w:t>
      </w:r>
      <w:r>
        <w:rPr>
          <w:rFonts w:ascii="Arial" w:cs="Arial" w:eastAsia="Arial" w:hAnsi="Arial"/>
          <w:sz w:val="11"/>
          <w:szCs w:val="11"/>
          <w:color w:val="auto"/>
        </w:rPr>
        <w:t>HIRD</w:t>
      </w:r>
      <w:r>
        <w:rPr>
          <w:rFonts w:ascii="Arial" w:cs="Arial" w:eastAsia="Arial" w:hAnsi="Arial"/>
          <w:sz w:val="17"/>
          <w:szCs w:val="17"/>
          <w:color w:val="auto"/>
        </w:rPr>
        <w:t xml:space="preserve"> B</w:t>
      </w:r>
      <w:r>
        <w:rPr>
          <w:rFonts w:ascii="Arial" w:cs="Arial" w:eastAsia="Arial" w:hAnsi="Arial"/>
          <w:sz w:val="11"/>
          <w:szCs w:val="11"/>
          <w:color w:val="auto"/>
        </w:rPr>
        <w:t>ANK</w:t>
      </w:r>
      <w:r>
        <w:rPr>
          <w:rFonts w:ascii="Arial" w:cs="Arial" w:eastAsia="Arial" w:hAnsi="Arial"/>
          <w:sz w:val="17"/>
          <w:szCs w:val="17"/>
          <w:color w:val="auto"/>
        </w:rPr>
        <w:t>, N</w:t>
      </w:r>
      <w:r>
        <w:rPr>
          <w:rFonts w:ascii="Arial" w:cs="Arial" w:eastAsia="Arial" w:hAnsi="Arial"/>
          <w:sz w:val="11"/>
          <w:szCs w:val="11"/>
          <w:color w:val="auto"/>
        </w:rPr>
        <w:t>ATIONAL</w:t>
      </w:r>
      <w:r>
        <w:rPr>
          <w:rFonts w:ascii="Arial" w:cs="Arial" w:eastAsia="Arial" w:hAnsi="Arial"/>
          <w:sz w:val="17"/>
          <w:szCs w:val="17"/>
          <w:color w:val="auto"/>
        </w:rPr>
        <w:t xml:space="preserve"> A</w:t>
      </w:r>
      <w:r>
        <w:rPr>
          <w:rFonts w:ascii="Arial" w:cs="Arial" w:eastAsia="Arial" w:hAnsi="Arial"/>
          <w:sz w:val="11"/>
          <w:szCs w:val="11"/>
          <w:color w:val="auto"/>
        </w:rPr>
        <w:t>SSOCIATION</w:t>
      </w:r>
      <w:r>
        <w:rPr>
          <w:rFonts w:ascii="Arial" w:cs="Arial" w:eastAsia="Arial" w:hAnsi="Arial"/>
          <w:sz w:val="17"/>
          <w:szCs w:val="17"/>
          <w:color w:val="auto"/>
        </w:rPr>
        <w:t>, as a Rent Assignee</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Laurel Sebree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Laurel Sebree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0" w:name="page81"/>
    <w:bookmarkEnd w:id="80"/>
    <w:p>
      <w:pPr>
        <w:ind w:left="45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ITIBANK</w:t>
      </w:r>
      <w:r>
        <w:rPr>
          <w:rFonts w:ascii="Arial" w:cs="Arial" w:eastAsia="Arial" w:hAnsi="Arial"/>
          <w:sz w:val="18"/>
          <w:szCs w:val="18"/>
          <w:color w:val="auto"/>
        </w:rPr>
        <w:t>, N.A., as a Rent Assignee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Eugene Yermash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Eugene Yermash</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1" w:name="page82"/>
    <w:bookmarkEnd w:id="81"/>
    <w:p>
      <w:pPr>
        <w:ind w:left="4520"/>
        <w:spacing w:after="0"/>
        <w:rPr>
          <w:sz w:val="20"/>
          <w:szCs w:val="20"/>
          <w:color w:val="auto"/>
        </w:rPr>
      </w:pPr>
      <w:r>
        <w:rPr>
          <w:rFonts w:ascii="Arial" w:cs="Arial" w:eastAsia="Arial" w:hAnsi="Arial"/>
          <w:sz w:val="16"/>
          <w:szCs w:val="16"/>
          <w:color w:val="auto"/>
        </w:rPr>
        <w:t>T</w:t>
      </w:r>
      <w:r>
        <w:rPr>
          <w:rFonts w:ascii="Arial" w:cs="Arial" w:eastAsia="Arial" w:hAnsi="Arial"/>
          <w:sz w:val="11"/>
          <w:szCs w:val="11"/>
          <w:color w:val="auto"/>
        </w:rPr>
        <w:t>HE</w:t>
      </w:r>
      <w:r>
        <w:rPr>
          <w:rFonts w:ascii="Arial" w:cs="Arial" w:eastAsia="Arial" w:hAnsi="Arial"/>
          <w:sz w:val="16"/>
          <w:szCs w:val="16"/>
          <w:color w:val="auto"/>
        </w:rPr>
        <w:t xml:space="preserve"> N</w:t>
      </w:r>
      <w:r>
        <w:rPr>
          <w:rFonts w:ascii="Arial" w:cs="Arial" w:eastAsia="Arial" w:hAnsi="Arial"/>
          <w:sz w:val="11"/>
          <w:szCs w:val="11"/>
          <w:color w:val="auto"/>
        </w:rPr>
        <w:t>ORTHERN</w:t>
      </w:r>
      <w:r>
        <w:rPr>
          <w:rFonts w:ascii="Arial" w:cs="Arial" w:eastAsia="Arial" w:hAnsi="Arial"/>
          <w:sz w:val="16"/>
          <w:szCs w:val="16"/>
          <w:color w:val="auto"/>
        </w:rPr>
        <w:t xml:space="preserve"> T</w:t>
      </w:r>
      <w:r>
        <w:rPr>
          <w:rFonts w:ascii="Arial" w:cs="Arial" w:eastAsia="Arial" w:hAnsi="Arial"/>
          <w:sz w:val="11"/>
          <w:szCs w:val="11"/>
          <w:color w:val="auto"/>
        </w:rPr>
        <w:t>RUST</w:t>
      </w:r>
      <w:r>
        <w:rPr>
          <w:rFonts w:ascii="Arial" w:cs="Arial" w:eastAsia="Arial" w:hAnsi="Arial"/>
          <w:sz w:val="16"/>
          <w:szCs w:val="16"/>
          <w:color w:val="auto"/>
        </w:rPr>
        <w:t xml:space="preserve"> C</w:t>
      </w:r>
      <w:r>
        <w:rPr>
          <w:rFonts w:ascii="Arial" w:cs="Arial" w:eastAsia="Arial" w:hAnsi="Arial"/>
          <w:sz w:val="11"/>
          <w:szCs w:val="11"/>
          <w:color w:val="auto"/>
        </w:rPr>
        <w:t>OMPANY</w:t>
      </w:r>
      <w:r>
        <w:rPr>
          <w:rFonts w:ascii="Arial" w:cs="Arial" w:eastAsia="Arial" w:hAnsi="Arial"/>
          <w:sz w:val="16"/>
          <w:szCs w:val="16"/>
          <w:color w:val="auto"/>
        </w:rPr>
        <w:t>, as a Rent Assignee</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Eric Siebert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Eric Siebert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82" w:name="page83"/>
    <w:bookmarkEnd w:id="82"/>
    <w:p>
      <w:pPr>
        <w:ind w:left="4520"/>
        <w:spacing w:after="0"/>
        <w:rPr>
          <w:sz w:val="20"/>
          <w:szCs w:val="20"/>
          <w:color w:val="auto"/>
        </w:rPr>
      </w:pPr>
      <w:r>
        <w:rPr>
          <w:rFonts w:ascii="Arial" w:cs="Arial" w:eastAsia="Arial" w:hAnsi="Arial"/>
          <w:sz w:val="16"/>
          <w:szCs w:val="16"/>
          <w:color w:val="auto"/>
        </w:rPr>
        <w:t>PNC E</w:t>
      </w:r>
      <w:r>
        <w:rPr>
          <w:rFonts w:ascii="Arial" w:cs="Arial" w:eastAsia="Arial" w:hAnsi="Arial"/>
          <w:sz w:val="11"/>
          <w:szCs w:val="11"/>
          <w:color w:val="auto"/>
        </w:rPr>
        <w:t>QUIPMENT</w:t>
      </w:r>
      <w:r>
        <w:rPr>
          <w:rFonts w:ascii="Arial" w:cs="Arial" w:eastAsia="Arial" w:hAnsi="Arial"/>
          <w:sz w:val="16"/>
          <w:szCs w:val="16"/>
          <w:color w:val="auto"/>
        </w:rPr>
        <w:t xml:space="preserve"> F</w:t>
      </w:r>
      <w:r>
        <w:rPr>
          <w:rFonts w:ascii="Arial" w:cs="Arial" w:eastAsia="Arial" w:hAnsi="Arial"/>
          <w:sz w:val="11"/>
          <w:szCs w:val="11"/>
          <w:color w:val="auto"/>
        </w:rPr>
        <w:t>INANCE</w:t>
      </w:r>
      <w:r>
        <w:rPr>
          <w:rFonts w:ascii="Arial" w:cs="Arial" w:eastAsia="Arial" w:hAnsi="Arial"/>
          <w:sz w:val="16"/>
          <w:szCs w:val="16"/>
          <w:color w:val="auto"/>
        </w:rPr>
        <w:t>, LLC, as a Rent Assignee</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Craig A.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Craig A. Zimmerman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83" w:name="page84"/>
    <w:bookmarkEnd w:id="83"/>
    <w:p>
      <w:pPr>
        <w:ind w:left="4520"/>
        <w:spacing w:after="0"/>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ITIZENS</w:t>
      </w:r>
      <w:r>
        <w:rPr>
          <w:rFonts w:ascii="Arial" w:cs="Arial" w:eastAsia="Arial" w:hAnsi="Arial"/>
          <w:sz w:val="17"/>
          <w:szCs w:val="17"/>
          <w:color w:val="auto"/>
        </w:rPr>
        <w:t xml:space="preserve"> A</w:t>
      </w:r>
      <w:r>
        <w:rPr>
          <w:rFonts w:ascii="Arial" w:cs="Arial" w:eastAsia="Arial" w:hAnsi="Arial"/>
          <w:sz w:val="11"/>
          <w:szCs w:val="11"/>
          <w:color w:val="auto"/>
        </w:rPr>
        <w:t>SSET</w:t>
      </w:r>
      <w:r>
        <w:rPr>
          <w:rFonts w:ascii="Arial" w:cs="Arial" w:eastAsia="Arial" w:hAnsi="Arial"/>
          <w:sz w:val="17"/>
          <w:szCs w:val="17"/>
          <w:color w:val="auto"/>
        </w:rPr>
        <w:t xml:space="preserve"> F</w:t>
      </w:r>
      <w:r>
        <w:rPr>
          <w:rFonts w:ascii="Arial" w:cs="Arial" w:eastAsia="Arial" w:hAnsi="Arial"/>
          <w:sz w:val="11"/>
          <w:szCs w:val="11"/>
          <w:color w:val="auto"/>
        </w:rPr>
        <w:t>INANCE</w:t>
      </w:r>
      <w:r>
        <w:rPr>
          <w:rFonts w:ascii="Arial" w:cs="Arial" w:eastAsia="Arial" w:hAnsi="Arial"/>
          <w:sz w:val="17"/>
          <w:szCs w:val="17"/>
          <w:color w:val="auto"/>
        </w:rPr>
        <w:t xml:space="preserve">, </w:t>
      </w:r>
      <w:r>
        <w:rPr>
          <w:rFonts w:ascii="Arial" w:cs="Arial" w:eastAsia="Arial" w:hAnsi="Arial"/>
          <w:sz w:val="11"/>
          <w:szCs w:val="11"/>
          <w:color w:val="auto"/>
        </w:rPr>
        <w:t>A</w:t>
      </w:r>
      <w:r>
        <w:rPr>
          <w:rFonts w:ascii="Arial" w:cs="Arial" w:eastAsia="Arial" w:hAnsi="Arial"/>
          <w:sz w:val="17"/>
          <w:szCs w:val="17"/>
          <w:color w:val="auto"/>
        </w:rPr>
        <w:t xml:space="preserve"> D</w:t>
      </w:r>
      <w:r>
        <w:rPr>
          <w:rFonts w:ascii="Arial" w:cs="Arial" w:eastAsia="Arial" w:hAnsi="Arial"/>
          <w:sz w:val="11"/>
          <w:szCs w:val="11"/>
          <w:color w:val="auto"/>
        </w:rPr>
        <w:t>IVISION OF</w:t>
      </w:r>
      <w:r>
        <w:rPr>
          <w:rFonts w:ascii="Arial" w:cs="Arial" w:eastAsia="Arial" w:hAnsi="Arial"/>
          <w:sz w:val="17"/>
          <w:szCs w:val="17"/>
          <w:color w:val="auto"/>
        </w:rPr>
        <w:t xml:space="preserve"> C</w:t>
      </w:r>
      <w:r>
        <w:rPr>
          <w:rFonts w:ascii="Arial" w:cs="Arial" w:eastAsia="Arial" w:hAnsi="Arial"/>
          <w:sz w:val="11"/>
          <w:szCs w:val="11"/>
          <w:color w:val="auto"/>
        </w:rPr>
        <w:t>ITIZENS</w:t>
      </w:r>
      <w:r>
        <w:rPr>
          <w:rFonts w:ascii="Arial" w:cs="Arial" w:eastAsia="Arial" w:hAnsi="Arial"/>
          <w:sz w:val="17"/>
          <w:szCs w:val="17"/>
          <w:color w:val="auto"/>
        </w:rPr>
        <w:t xml:space="preserve"> B</w:t>
      </w:r>
      <w:r>
        <w:rPr>
          <w:rFonts w:ascii="Arial" w:cs="Arial" w:eastAsia="Arial" w:hAnsi="Arial"/>
          <w:sz w:val="11"/>
          <w:szCs w:val="11"/>
          <w:color w:val="auto"/>
        </w:rPr>
        <w:t>ANK</w:t>
      </w:r>
      <w:r>
        <w:rPr>
          <w:rFonts w:ascii="Arial" w:cs="Arial" w:eastAsia="Arial" w:hAnsi="Arial"/>
          <w:sz w:val="17"/>
          <w:szCs w:val="17"/>
          <w:color w:val="auto"/>
        </w:rPr>
        <w:t>, N.A., as a Rent Assignee</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Sandra Buonaiuto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Sandra Buonaiuto</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[Signature Page 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35" w:right="339" w:bottom="1440" w:gutter="0" w:footer="0" w:header="0"/>
        </w:sectPr>
      </w:pPr>
    </w:p>
    <w:bookmarkStart w:id="84" w:name="page85"/>
    <w:bookmarkEnd w:id="84"/>
    <w:p>
      <w:pPr>
        <w:ind w:left="3804"/>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NTERPRETATION</w:t>
      </w:r>
    </w:p>
    <w:p>
      <w:pPr>
        <w:spacing w:after="0" w:line="229" w:lineRule="exact"/>
        <w:rPr>
          <w:sz w:val="20"/>
          <w:szCs w:val="20"/>
          <w:color w:val="auto"/>
        </w:rPr>
      </w:pPr>
    </w:p>
    <w:p>
      <w:pPr>
        <w:ind w:left="704" w:hanging="704"/>
        <w:spacing w:after="0"/>
        <w:tabs>
          <w:tab w:leader="none" w:pos="704"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Interpretation</w:t>
      </w:r>
      <w:r>
        <w:rPr>
          <w:rFonts w:ascii="Arial" w:cs="Arial" w:eastAsia="Arial" w:hAnsi="Arial"/>
          <w:sz w:val="18"/>
          <w:szCs w:val="18"/>
          <w:color w:val="auto"/>
        </w:rPr>
        <w:t>. In each Operative Document, unless a clear contrary intention appears:</w:t>
      </w:r>
    </w:p>
    <w:p>
      <w:pPr>
        <w:spacing w:after="0" w:line="225" w:lineRule="exact"/>
        <w:rPr>
          <w:rFonts w:ascii="Arial" w:cs="Arial" w:eastAsia="Arial" w:hAnsi="Arial"/>
          <w:sz w:val="18"/>
          <w:szCs w:val="18"/>
          <w:color w:val="auto"/>
        </w:rPr>
      </w:pPr>
    </w:p>
    <w:p>
      <w:pPr>
        <w:ind w:left="1064" w:hanging="416"/>
        <w:spacing w:after="0"/>
        <w:tabs>
          <w:tab w:leader="none" w:pos="1064"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definitions of terms herein or in any Operative Document shall apply equally to the singular and plural forms of the terms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defined;</w:t>
      </w:r>
    </w:p>
    <w:p>
      <w:pPr>
        <w:spacing w:after="0" w:line="210" w:lineRule="exact"/>
        <w:rPr>
          <w:rFonts w:ascii="Arial" w:cs="Arial" w:eastAsia="Arial" w:hAnsi="Arial"/>
          <w:sz w:val="17"/>
          <w:szCs w:val="17"/>
          <w:color w:val="auto"/>
        </w:rPr>
      </w:pPr>
    </w:p>
    <w:p>
      <w:pPr>
        <w:jc w:val="both"/>
        <w:ind w:left="4" w:firstLine="644"/>
        <w:spacing w:after="0" w:line="259" w:lineRule="auto"/>
        <w:tabs>
          <w:tab w:leader="none" w:pos="1097"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reference in any Operative Document to any Person shall be construed to include such Person’s successors and assigns (subject to any applicable restrictions on assignments or transfers set forth in the Operative Documents) and, in the case of any Governmental Authority, any other Governmental Authority that shall have succeeded to any or all functions thereof, and any reference to a Person in a particular capacity excludes such Person in any other capacity or individually;</w:t>
      </w:r>
    </w:p>
    <w:p>
      <w:pPr>
        <w:spacing w:after="0" w:line="186" w:lineRule="exact"/>
        <w:rPr>
          <w:rFonts w:ascii="Arial" w:cs="Arial" w:eastAsia="Arial" w:hAnsi="Arial"/>
          <w:sz w:val="18"/>
          <w:szCs w:val="18"/>
          <w:color w:val="auto"/>
        </w:rPr>
      </w:pPr>
    </w:p>
    <w:p>
      <w:pPr>
        <w:ind w:left="1124" w:hanging="476"/>
        <w:spacing w:after="0"/>
        <w:tabs>
          <w:tab w:leader="none" w:pos="1124" w:val="left"/>
        </w:tabs>
        <w:numPr>
          <w:ilvl w:val="1"/>
          <w:numId w:val="85"/>
        </w:numPr>
        <w:rPr>
          <w:rFonts w:ascii="Arial" w:cs="Arial" w:eastAsia="Arial" w:hAnsi="Arial"/>
          <w:sz w:val="18"/>
          <w:szCs w:val="18"/>
          <w:color w:val="auto"/>
        </w:rPr>
      </w:pPr>
      <w:r>
        <w:rPr>
          <w:rFonts w:ascii="Arial" w:cs="Arial" w:eastAsia="Arial" w:hAnsi="Arial"/>
          <w:sz w:val="18"/>
          <w:szCs w:val="18"/>
          <w:color w:val="auto"/>
        </w:rPr>
        <w:t>whenever the context may require, any pronoun shall include the corresponding masculine, feminine and neuter forms;</w:t>
      </w:r>
    </w:p>
    <w:p>
      <w:pPr>
        <w:spacing w:after="0" w:line="225" w:lineRule="exact"/>
        <w:rPr>
          <w:rFonts w:ascii="Arial" w:cs="Arial" w:eastAsia="Arial" w:hAnsi="Arial"/>
          <w:sz w:val="18"/>
          <w:szCs w:val="18"/>
          <w:color w:val="auto"/>
        </w:rPr>
      </w:pPr>
    </w:p>
    <w:p>
      <w:pPr>
        <w:jc w:val="both"/>
        <w:ind w:left="4" w:firstLine="644"/>
        <w:spacing w:after="0" w:line="259" w:lineRule="auto"/>
        <w:tabs>
          <w:tab w:leader="none" w:pos="1114"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definition of or reference to any agreement (including any Operative Document), instrument or other document in any Operative Document shall be construed as referring to such agreement, instrument or other document as from time to time amended, restated, supplemented or otherwise modified (subject to any applicable restrictions on such amendments, restatements, supplements or modifications set forth in the Operative Documents);</w:t>
      </w:r>
    </w:p>
    <w:p>
      <w:pPr>
        <w:spacing w:after="0" w:line="186" w:lineRule="exact"/>
        <w:rPr>
          <w:rFonts w:ascii="Arial" w:cs="Arial" w:eastAsia="Arial" w:hAnsi="Arial"/>
          <w:sz w:val="18"/>
          <w:szCs w:val="18"/>
          <w:color w:val="auto"/>
        </w:rPr>
      </w:pPr>
    </w:p>
    <w:p>
      <w:pPr>
        <w:ind w:left="4" w:firstLine="644"/>
        <w:spacing w:after="0" w:line="342" w:lineRule="auto"/>
        <w:tabs>
          <w:tab w:leader="none" w:pos="1087" w:val="left"/>
        </w:tabs>
        <w:numPr>
          <w:ilvl w:val="1"/>
          <w:numId w:val="85"/>
        </w:numPr>
        <w:rPr>
          <w:rFonts w:ascii="Arial" w:cs="Arial" w:eastAsia="Arial" w:hAnsi="Arial"/>
          <w:sz w:val="16"/>
          <w:szCs w:val="16"/>
          <w:color w:val="auto"/>
        </w:rPr>
      </w:pPr>
      <w:r>
        <w:rPr>
          <w:rFonts w:ascii="Arial" w:cs="Arial" w:eastAsia="Arial" w:hAnsi="Arial"/>
          <w:sz w:val="16"/>
          <w:szCs w:val="16"/>
          <w:color w:val="auto"/>
        </w:rPr>
        <w:t>any definition of or reference to any statute, rule or regulation or any other Applicable Law shall be construed as referring thereto as from time to time amended, restated, supplemented or otherwise modified (including by succession of comparable successor laws);</w:t>
      </w:r>
    </w:p>
    <w:p>
      <w:pPr>
        <w:spacing w:after="0" w:line="123" w:lineRule="exact"/>
        <w:rPr>
          <w:rFonts w:ascii="Arial" w:cs="Arial" w:eastAsia="Arial" w:hAnsi="Arial"/>
          <w:sz w:val="16"/>
          <w:szCs w:val="16"/>
          <w:color w:val="auto"/>
        </w:rPr>
      </w:pPr>
    </w:p>
    <w:p>
      <w:pPr>
        <w:ind w:left="4" w:right="20" w:firstLine="644"/>
        <w:spacing w:after="0" w:line="277" w:lineRule="auto"/>
        <w:tabs>
          <w:tab w:leader="none" w:pos="1114" w:val="left"/>
        </w:tabs>
        <w:numPr>
          <w:ilvl w:val="1"/>
          <w:numId w:val="85"/>
        </w:numPr>
        <w:rPr>
          <w:rFonts w:ascii="Arial" w:cs="Arial" w:eastAsia="Arial" w:hAnsi="Arial"/>
          <w:sz w:val="18"/>
          <w:szCs w:val="18"/>
          <w:color w:val="auto"/>
        </w:rPr>
      </w:pPr>
      <w:r>
        <w:rPr>
          <w:rFonts w:ascii="Arial" w:cs="Arial" w:eastAsia="Arial" w:hAnsi="Arial"/>
          <w:sz w:val="18"/>
          <w:szCs w:val="18"/>
          <w:color w:val="auto"/>
        </w:rPr>
        <w:t>reference in any Operative Document to any Article, Section, Appendix, Schedule or Exhibit means such Article or Section of such Operative Document or Appendix, Schedule or Exhibit to such Operative Document;</w:t>
      </w:r>
    </w:p>
    <w:p>
      <w:pPr>
        <w:spacing w:after="0" w:line="170" w:lineRule="exact"/>
        <w:rPr>
          <w:rFonts w:ascii="Arial" w:cs="Arial" w:eastAsia="Arial" w:hAnsi="Arial"/>
          <w:sz w:val="18"/>
          <w:szCs w:val="18"/>
          <w:color w:val="auto"/>
        </w:rPr>
      </w:pPr>
    </w:p>
    <w:p>
      <w:pPr>
        <w:ind w:left="4" w:firstLine="644"/>
        <w:spacing w:after="0" w:line="277" w:lineRule="auto"/>
        <w:tabs>
          <w:tab w:leader="none" w:pos="114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words “herein,” “hereof” and “hereunder,” and words of similar import in any Operative Document, shall be construed to refer to such Operative Document in its entirety and not to any particular provision of such Operative Document;</w:t>
      </w:r>
    </w:p>
    <w:p>
      <w:pPr>
        <w:spacing w:after="0" w:line="170" w:lineRule="exact"/>
        <w:rPr>
          <w:rFonts w:ascii="Arial" w:cs="Arial" w:eastAsia="Arial" w:hAnsi="Arial"/>
          <w:sz w:val="18"/>
          <w:szCs w:val="18"/>
          <w:color w:val="auto"/>
        </w:rPr>
      </w:pPr>
    </w:p>
    <w:p>
      <w:pPr>
        <w:ind w:left="1164" w:hanging="516"/>
        <w:spacing w:after="0"/>
        <w:tabs>
          <w:tab w:leader="none" w:pos="1164"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words “include,” “includes” and “including” shall be deemed to be followed by the phrase “without limitation”;</w:t>
      </w:r>
    </w:p>
    <w:p>
      <w:pPr>
        <w:spacing w:after="0" w:line="225" w:lineRule="exact"/>
        <w:rPr>
          <w:rFonts w:ascii="Arial" w:cs="Arial" w:eastAsia="Arial" w:hAnsi="Arial"/>
          <w:sz w:val="18"/>
          <w:szCs w:val="18"/>
          <w:color w:val="auto"/>
        </w:rPr>
      </w:pPr>
    </w:p>
    <w:p>
      <w:pPr>
        <w:ind w:left="1124" w:hanging="476"/>
        <w:spacing w:after="0"/>
        <w:tabs>
          <w:tab w:leader="none" w:pos="1124" w:val="left"/>
        </w:tabs>
        <w:numPr>
          <w:ilvl w:val="1"/>
          <w:numId w:val="85"/>
        </w:numPr>
        <w:rPr>
          <w:rFonts w:ascii="Arial" w:cs="Arial" w:eastAsia="Arial" w:hAnsi="Arial"/>
          <w:sz w:val="17"/>
          <w:szCs w:val="17"/>
          <w:color w:val="auto"/>
        </w:rPr>
      </w:pPr>
      <w:r>
        <w:rPr>
          <w:rFonts w:ascii="Arial" w:cs="Arial" w:eastAsia="Arial" w:hAnsi="Arial"/>
          <w:sz w:val="17"/>
          <w:szCs w:val="17"/>
          <w:color w:val="auto"/>
        </w:rPr>
        <w:t>relative to the determination of any period of time, “from” means “from and including” and “to,” “until” and “through” means “to</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but excluding”;</w:t>
      </w:r>
    </w:p>
    <w:p>
      <w:pPr>
        <w:spacing w:after="0" w:line="210" w:lineRule="exact"/>
        <w:rPr>
          <w:rFonts w:ascii="Arial" w:cs="Arial" w:eastAsia="Arial" w:hAnsi="Arial"/>
          <w:sz w:val="17"/>
          <w:szCs w:val="17"/>
          <w:color w:val="auto"/>
        </w:rPr>
      </w:pPr>
    </w:p>
    <w:p>
      <w:pPr>
        <w:jc w:val="both"/>
        <w:ind w:left="4" w:firstLine="644"/>
        <w:spacing w:after="0" w:line="263" w:lineRule="auto"/>
        <w:tabs>
          <w:tab w:leader="none" w:pos="1109"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w:t>
      </w:r>
    </w:p>
    <w:p>
      <w:pPr>
        <w:spacing w:after="0" w:line="184"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PPENDIX</w:t>
      </w:r>
      <w:r>
        <w:rPr>
          <w:rFonts w:ascii="Arial" w:cs="Arial" w:eastAsia="Arial" w:hAnsi="Arial"/>
          <w:sz w:val="18"/>
          <w:szCs w:val="18"/>
          <w:color w:val="auto"/>
        </w:rPr>
        <w:t xml:space="preserve"> 1</w:t>
      </w:r>
    </w:p>
    <w:p>
      <w:pPr>
        <w:spacing w:after="0" w:line="23" w:lineRule="exact"/>
        <w:rPr>
          <w:sz w:val="20"/>
          <w:szCs w:val="20"/>
          <w:color w:val="auto"/>
        </w:rPr>
      </w:pPr>
    </w:p>
    <w:p>
      <w:pPr>
        <w:ind w:left="2784"/>
        <w:spacing w:after="0"/>
        <w:rPr>
          <w:sz w:val="20"/>
          <w:szCs w:val="20"/>
          <w:color w:val="auto"/>
        </w:rPr>
      </w:pPr>
      <w:r>
        <w:rPr>
          <w:rFonts w:ascii="Arial" w:cs="Arial" w:eastAsia="Arial" w:hAnsi="Arial"/>
          <w:sz w:val="18"/>
          <w:szCs w:val="18"/>
          <w:color w:val="auto"/>
        </w:rPr>
        <w:t>(to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280035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5" w:name="page86"/>
    <w:bookmarkEnd w:id="85"/>
    <w:p>
      <w:pPr>
        <w:ind w:left="2100" w:hanging="796"/>
        <w:spacing w:after="0"/>
        <w:tabs>
          <w:tab w:leader="none" w:pos="21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word “will” shall be construed to have the same meaning and effect as the word “shall”; and</w:t>
      </w:r>
    </w:p>
    <w:p>
      <w:pPr>
        <w:spacing w:after="0" w:line="225" w:lineRule="exact"/>
        <w:rPr>
          <w:rFonts w:ascii="Arial" w:cs="Arial" w:eastAsia="Arial" w:hAnsi="Arial"/>
          <w:sz w:val="18"/>
          <w:szCs w:val="18"/>
          <w:color w:val="auto"/>
        </w:rPr>
      </w:pPr>
    </w:p>
    <w:p>
      <w:pPr>
        <w:jc w:val="both"/>
        <w:ind w:left="660" w:firstLine="644"/>
        <w:spacing w:after="0" w:line="273" w:lineRule="auto"/>
        <w:tabs>
          <w:tab w:leader="none" w:pos="2139" w:val="left"/>
        </w:tabs>
        <w:numPr>
          <w:ilvl w:val="1"/>
          <w:numId w:val="86"/>
        </w:numPr>
        <w:rPr>
          <w:rFonts w:ascii="Arial" w:cs="Arial" w:eastAsia="Arial" w:hAnsi="Arial"/>
          <w:sz w:val="17"/>
          <w:szCs w:val="17"/>
          <w:color w:val="auto"/>
        </w:rPr>
      </w:pPr>
      <w:r>
        <w:rPr>
          <w:rFonts w:ascii="Arial" w:cs="Arial" w:eastAsia="Arial" w:hAnsi="Arial"/>
          <w:sz w:val="17"/>
          <w:szCs w:val="17"/>
          <w:color w:val="auto"/>
        </w:rPr>
        <w:t>any reference in any Operative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and any division of a limited liability company shall constitute a separate Person under such Operative Document (and each division of any limited liability company that is a Subsidiary, joint venture or any other like term shall also constitute such a Person or entity).</w:t>
      </w:r>
    </w:p>
    <w:p>
      <w:pPr>
        <w:spacing w:after="0" w:line="177" w:lineRule="exact"/>
        <w:rPr>
          <w:rFonts w:ascii="Arial" w:cs="Arial" w:eastAsia="Arial" w:hAnsi="Arial"/>
          <w:sz w:val="17"/>
          <w:szCs w:val="17"/>
          <w:color w:val="auto"/>
        </w:rPr>
      </w:pPr>
    </w:p>
    <w:p>
      <w:pPr>
        <w:jc w:val="both"/>
        <w:ind w:firstLine="656"/>
        <w:spacing w:after="0" w:line="284" w:lineRule="auto"/>
        <w:tabs>
          <w:tab w:leader="none" w:pos="1366"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Accounting Terms; GAAP; Pro Forma Calculations. </w:t>
      </w:r>
      <w:r>
        <w:rPr>
          <w:rFonts w:ascii="Arial" w:cs="Arial" w:eastAsia="Arial" w:hAnsi="Arial"/>
          <w:sz w:val="16"/>
          <w:szCs w:val="16"/>
          <w:color w:val="auto"/>
        </w:rPr>
        <w:t>(i) Except as otherwise expressly provided in any Operative Document, all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Parent Guarantor or Lessee notifies the Administrative Agent that the Lessee requests an amendment to any provision of any Operative Document to eliminate the effect of any change occurring after the Original Closing Date in GAAP or in the application thereof on the operation of such provision (or if the Administrative Agent notifies the Lessee that the Required Participants request an amendment to any provision of any Operative Document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in any Operative Document, (x) all terms of an accounting or financial nature used in any Operative Document shall be construed, and all computations of amounts and ratios referred to in any Operative Document shall be made (1) without giving effect to any election under Accounting Standards Codification 825-10-25 (or any other Accounting Standards Codification or Financial Accounting Standard having a similar result or effect) to value any Indebtedness or other liabilities of the Parent Guarantor or Lessee or any Subsidiary at “fair value,” as defined therein, and (2)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(y) notwithstanding any modification or interpretative change to GAAP after the Bank Credit Agreement Effective Date (including any such modification or change as a result of any treatment of leases under Accounting Standards Codification 842 (or any other Accounting Standards Codification or Financial Accounting Standard having a similar result or effect)), any obligations relating to any of the following shall be deemed to be obligations relating to an operating lease and shall not constitute Capital Lease Obligations under the Operative Documents: (1) a lease that was or would have been accounted for by such Person as an operating lease as of the Bank Credit Agreement Effective Date, (2) any Specified Lease Arrangements of such Person or (3) any lease or arrangement similar to any of the foregoing entered into after the Bank Credit Agreement Effective Date by such Person or an Affiliate thereof. For the avoidance of doubt, it is understood and agreed that a lease or other arrangement that would be accounted for by such Person as an operating lease under Accounting Standards Codification 842 (or any other Accounting Standards Codification or Financial Accounting Standard having a similar result or effect) shall also be treated as an operating lease.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56"/>
        <w:spacing w:after="0" w:line="268" w:lineRule="auto"/>
        <w:tabs>
          <w:tab w:leader="none" w:pos="1493"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All pro forma computations required to be made under any Operative Document giving effect to any Acquisition or disposition, or issuance, incurrence or assumption of Indebtedness, or other transaction shall in each case be calculated after giving pro forma effect thereto (and, in the case of any pro forma computation made under any Operative Document, to determine whether such Acquisition, disposition or issuance, incurrence or assumption of Indebtedness or other transaction is not prohibited to be consummated under the Participation Agreement or Guaranty) immediately after giving effect to such Acquisition, disposition or issuance, incurrence or assumption of Indebtedness (and to any other such transaction consummated since the first day of the period for which such pro forma computation is being made and on or prior to the date of such computation) as if such transaction had occurred on the first day of the period of four consecutive fiscal quarters ending with the most recent fiscal quarter for which financial statements shall have been delivered after the Original Closing Date pursuant to Section 8(a)(i) or 8(a)(ii) of the Guaranty (or, prior to the delivery of any such financial statements, ending with the last fiscal quarter included in the financial statements delivered pursuant to Section 6.1(xviii) of the Original Participation Agreement), and, to the extent applicable, to the historical earnings and cash flows associated with the assets acquired or disposed of, any related incurrence or reduction of Indebtedness and any related cost savings, operating expense reductions and synergies, all in accordance with (and, in the case of cost savings, operating expense reductions and synergies, to the extent permitted by) Article 11 of Regulation S-X under the Securities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pro forma computation required to be made under any Operative Document shall make or result in any pro forma adjustment to Consolidated EBITDA for any Drug Acquisition or Exclusive License.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79" w:lineRule="exact"/>
        <w:rPr>
          <w:rFonts w:ascii="Arial" w:cs="Arial" w:eastAsia="Arial" w:hAnsi="Arial"/>
          <w:sz w:val="17"/>
          <w:szCs w:val="17"/>
          <w:color w:val="auto"/>
        </w:rPr>
      </w:pPr>
    </w:p>
    <w:p>
      <w:pPr>
        <w:jc w:val="both"/>
        <w:ind w:firstLine="656"/>
        <w:spacing w:after="0" w:line="301" w:lineRule="auto"/>
        <w:tabs>
          <w:tab w:leader="none" w:pos="1485"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computation of any financial ratio or other financial metric made or required to be made under any Restated Operative Document as of the end of, or with respect to a period that includes, a fiscal quarter that ended prior to the Restatement Date (including the computation of the financial covenants contained in the Guaranty for the period ended December 31, 2021) shall be calculated and determined in accordance with the definitions and other relevant provisions of the Restated Operative Documents, as in effect from time to time from and after the Restatement Date.</w:t>
      </w:r>
    </w:p>
    <w:p>
      <w:pPr>
        <w:spacing w:after="0" w:line="157" w:lineRule="exact"/>
        <w:rPr>
          <w:sz w:val="20"/>
          <w:szCs w:val="20"/>
          <w:color w:val="auto"/>
        </w:rPr>
      </w:pPr>
    </w:p>
    <w:p>
      <w:pPr>
        <w:jc w:val="both"/>
        <w:ind w:firstLine="656"/>
        <w:spacing w:after="0" w:line="255" w:lineRule="auto"/>
        <w:tabs>
          <w:tab w:leader="none" w:pos="1567"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Conflict in Operative Documents</w:t>
      </w:r>
      <w:r>
        <w:rPr>
          <w:rFonts w:ascii="Arial" w:cs="Arial" w:eastAsia="Arial" w:hAnsi="Arial"/>
          <w:sz w:val="18"/>
          <w:szCs w:val="18"/>
          <w:color w:val="auto"/>
        </w:rPr>
        <w:t>. If there is any conflict between any Operative Documents, such Operative Document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interpreted and construed, if possible, so as to avoid or minimize such conflict, but, to the extent (and only to the extent) of such conflict, (i) the Participation Agreement shall prevail and control or (ii) if such conflict is between the Lease and any other Operative Document other than the Participation Agreement, the Lease shall prevail and control. Notwithstanding anything to the contrary in any Operative Document, for any Payment Date occurring on or prior to March 3, 2022, Basic Rent shall be calculated and paid in accordance with applicable provisions of the Operative Documents, as in effect prior to the Restatement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656"/>
        <w:spacing w:after="0" w:line="263" w:lineRule="auto"/>
        <w:tabs>
          <w:tab w:leader="none" w:pos="1492"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Legal Representation of the Parties</w:t>
      </w:r>
      <w:r>
        <w:rPr>
          <w:rFonts w:ascii="Arial" w:cs="Arial" w:eastAsia="Arial" w:hAnsi="Arial"/>
          <w:sz w:val="18"/>
          <w:szCs w:val="18"/>
          <w:color w:val="auto"/>
        </w:rPr>
        <w:t>. The Operative Documents were negotiated by the parties with the benefit of legal representation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rule of construction or interpretation otherwise requiring the Operative Document to be construed or interpreted against any party shall not apply to any construction or interpretation hereof or thereof.</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58"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Yield Rates. </w:t>
      </w:r>
      <w:r>
        <w:rPr>
          <w:rFonts w:ascii="Arial" w:cs="Arial" w:eastAsia="Arial" w:hAnsi="Arial"/>
          <w:sz w:val="18"/>
          <w:szCs w:val="18"/>
          <w:color w:val="auto"/>
        </w:rPr>
        <w:t>The Administrative Agent does not warrant, or accept responsibility for, nor shall the Administrative Agent have any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with respect to, the administration or submission of or any other matter related to the rates in the definition of “Term SOFR Rate” or with respect to any rate that is an alternative or replacement for or successor to any of such rate or the effect of any of the foregoing.</w:t>
      </w:r>
    </w:p>
    <w:p>
      <w:pPr>
        <w:spacing w:after="0" w:line="183" w:lineRule="exact"/>
        <w:rPr>
          <w:rFonts w:ascii="Arial" w:cs="Arial" w:eastAsia="Arial" w:hAnsi="Arial"/>
          <w:sz w:val="18"/>
          <w:szCs w:val="18"/>
          <w:color w:val="auto"/>
        </w:rPr>
      </w:pPr>
    </w:p>
    <w:p>
      <w:pPr>
        <w:ind w:firstLine="656"/>
        <w:spacing w:after="0" w:line="277" w:lineRule="auto"/>
        <w:tabs>
          <w:tab w:leader="none" w:pos="1503"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Unless a clear contrary intention appears, terms defined herein have the respective indicated meanings when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each Operative Document.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“Acquisition” </w:t>
      </w:r>
      <w:r>
        <w:rPr>
          <w:rFonts w:ascii="Arial" w:cs="Arial" w:eastAsia="Arial" w:hAnsi="Arial"/>
          <w:sz w:val="18"/>
          <w:szCs w:val="18"/>
          <w:color w:val="auto"/>
        </w:rPr>
        <w:t>means (i) any acquisition (whether by purchase, merger, consolidation or otherwise) or series of related acquisitions by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or any Subsidiary of (a) all or substantially all the assets of (or all or substantially all the assets constituting a business unit, division, product line (including rights in respect of any drug or other pharmaceutical product) or line of business of) any Person, or (b) all or substantially all the Equity Interests in a Person or division or line of business of a Person, (ii) a Drug Acquisition or (iii) an Exclusive License to develop and commercialize a drug or other product line of any Person.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“Acquisition Holiday” </w:t>
      </w:r>
      <w:r>
        <w:rPr>
          <w:rFonts w:ascii="Arial" w:cs="Arial" w:eastAsia="Arial" w:hAnsi="Arial"/>
          <w:sz w:val="18"/>
          <w:szCs w:val="18"/>
          <w:color w:val="auto"/>
        </w:rPr>
        <w:t>is defined in Section 9(f) of the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“Additional Lease Renewal Term”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“Administrative Agent” </w:t>
      </w:r>
      <w:r>
        <w:rPr>
          <w:rFonts w:ascii="Arial" w:cs="Arial" w:eastAsia="Arial" w:hAnsi="Arial"/>
          <w:sz w:val="18"/>
          <w:szCs w:val="18"/>
          <w:color w:val="auto"/>
        </w:rPr>
        <w:t>means Bank of America, N.A., in its capacity as administrative agent under the Participation Agreement, or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pursuant to the terms of the Operative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“Administrative Agent Fee Letter” </w:t>
      </w:r>
      <w:r>
        <w:rPr>
          <w:rFonts w:ascii="Arial" w:cs="Arial" w:eastAsia="Arial" w:hAnsi="Arial"/>
          <w:sz w:val="18"/>
          <w:szCs w:val="18"/>
          <w:color w:val="auto"/>
        </w:rPr>
        <w:t>means the fee letter dated the Execution Date, between Lessee and Administrative Agent.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“Advance” </w:t>
      </w:r>
      <w:r>
        <w:rPr>
          <w:rFonts w:ascii="Arial" w:cs="Arial" w:eastAsia="Arial" w:hAnsi="Arial"/>
          <w:sz w:val="17"/>
          <w:szCs w:val="17"/>
          <w:color w:val="auto"/>
        </w:rPr>
        <w:t>means the advance by Lessor on March 3, 2017, to the Administrative Agent for the benefit of the Lessee, of (a) amounts Funded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Lenders pursuant to Article III of the Original Participation Agreement, which amounts referred to in this clause (a), effective as of the Restatement Date, shall be converted to Rent Assignment Contributions Funded, or deemed Funded, by the Rent Assignees pursuant to Article III of the Participation Agreement, and (b) the Lessor Amount funded by Lessor pursuant to Article III of the Original Participation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“Advance Request” </w:t>
      </w:r>
      <w:r>
        <w:rPr>
          <w:rFonts w:ascii="Arial" w:cs="Arial" w:eastAsia="Arial" w:hAnsi="Arial"/>
          <w:sz w:val="18"/>
          <w:szCs w:val="18"/>
          <w:color w:val="auto"/>
        </w:rPr>
        <w:t>means the Advance Request executed and delivered by the Lessee on February 28, 2017, in connection with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with respect to a specified Person, another Person that directly, or indirectly through one or more intermediaries, Controls or is</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“Affiliate Transferee” </w:t>
      </w:r>
      <w:r>
        <w:rPr>
          <w:rFonts w:ascii="Arial" w:cs="Arial" w:eastAsia="Arial" w:hAnsi="Arial"/>
          <w:sz w:val="18"/>
          <w:szCs w:val="18"/>
          <w:color w:val="auto"/>
        </w:rPr>
        <w:t>is defined in Article VI of the Lease.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“After Tax Basis” </w:t>
      </w:r>
      <w:r>
        <w:rPr>
          <w:rFonts w:ascii="Arial" w:cs="Arial" w:eastAsia="Arial" w:hAnsi="Arial"/>
          <w:sz w:val="17"/>
          <w:szCs w:val="17"/>
          <w:color w:val="auto"/>
        </w:rPr>
        <w:t>means, with respect to any payment to be received (to the extent the receipt of such payment constitutes taxable income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 the amount of such payment increased so that, after deduction of the amount of all Taxes (including any Taxes payable by reason of inclusion of such amount in income other than as excluded by the definition of Impositions, and assuming for this purpose that the recipient of such payment is subject to taxation at the highest Federal and applicable state and local marginal rates applicable to such recipient for the year in which such income is taxable) required to be paid by the recipient (less any tax savings, credits, deductions or other quantifiable tax benefits that are reasonably expected to be realized, utilizing the same tax rate assumptions as set forth in the immediately preceding parenthetical phrase, and the present value of any tax savings projected, utilizing the same tax rate assumptions as set forth in the immediately preceding parenthetical phrase, that are reasonably expected to be realized by the recipient as a result of the payment of the indemnified amount) with respect to the receipt by the recipient of such amounts, such increased payment (as so reduced) is equal to the payment otherwise required to be made.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“Aggregate Commitment Amount” </w:t>
      </w:r>
      <w:r>
        <w:rPr>
          <w:rFonts w:ascii="Arial" w:cs="Arial" w:eastAsia="Arial" w:hAnsi="Arial"/>
          <w:sz w:val="18"/>
          <w:szCs w:val="18"/>
          <w:color w:val="auto"/>
        </w:rPr>
        <w:t>means Seven Hundred Twenty Million Dollars ($720,000,000.00).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“ALTA” </w:t>
      </w:r>
      <w:r>
        <w:rPr>
          <w:rFonts w:ascii="Arial" w:cs="Arial" w:eastAsia="Arial" w:hAnsi="Arial"/>
          <w:sz w:val="18"/>
          <w:szCs w:val="18"/>
          <w:color w:val="auto"/>
        </w:rPr>
        <w:t>means the American Land Title Association or any successor thereto.</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“Alternate Base Rate” </w:t>
      </w:r>
      <w:r>
        <w:rPr>
          <w:rFonts w:ascii="Arial" w:cs="Arial" w:eastAsia="Arial" w:hAnsi="Arial"/>
          <w:sz w:val="17"/>
          <w:szCs w:val="17"/>
          <w:color w:val="auto"/>
        </w:rPr>
        <w:t>means, on any date with respect to any Rent Assignment Contribution or Lessor Amount, a fluctuating rate of interest per</w:t>
      </w:r>
      <w:r>
        <w:rPr>
          <w:rFonts w:ascii="Arial" w:cs="Arial" w:eastAsia="Arial" w:hAnsi="Arial"/>
          <w:sz w:val="17"/>
          <w:szCs w:val="17"/>
          <w:i w:val="1"/>
          <w:iCs w:val="1"/>
          <w:color w:val="auto"/>
        </w:rPr>
        <w:t xml:space="preserve"> </w:t>
      </w:r>
      <w:r>
        <w:rPr>
          <w:rFonts w:ascii="Arial" w:cs="Arial" w:eastAsia="Arial" w:hAnsi="Arial"/>
          <w:sz w:val="17"/>
          <w:szCs w:val="17"/>
          <w:color w:val="auto"/>
        </w:rPr>
        <w:t>annum equal to the higher of (A) the rate of interest most recently announced by Bank of America, N.A. in the United States from time to time as its “prime rate,” and (B) the Federal Funds Effective Rate most recently determined by Administrative Agent plus 0.50% per annum, plus the Applicable Margin. If either of the aforesaid rates or their equivalent changes from time to time after the Restatement Date, the Alternate Base Rate shall be automatically increased or decreased, if appropriate and as the case may be, without notice to Lessee or any Participant, effective from and including the effective date of such change. The “prime rate” is a rate set by Bank of America, N.A. based upon various factors including Bank of America, N.A.’s costs and desired return, general economic conditions and other factors, and is used as a reference point for pricing some loans, which may be priced at, above, or below such announced rate. Any change in such prime rate announced by Bank of America, N.A. shall take effect at the opening of business on the day specified in the public announcement of such change.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“Annual Modification Cap” </w:t>
      </w:r>
      <w:r>
        <w:rPr>
          <w:rFonts w:ascii="Arial" w:cs="Arial" w:eastAsia="Arial" w:hAnsi="Arial"/>
          <w:sz w:val="18"/>
          <w:szCs w:val="18"/>
          <w:color w:val="auto"/>
        </w:rPr>
        <w:t>is defined in Section 10.1(b) of the 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“Anti-Corruption Laws” </w:t>
      </w:r>
      <w:r>
        <w:rPr>
          <w:rFonts w:ascii="Arial" w:cs="Arial" w:eastAsia="Arial" w:hAnsi="Arial"/>
          <w:sz w:val="18"/>
          <w:szCs w:val="18"/>
          <w:color w:val="auto"/>
        </w:rPr>
        <w:t>means the Foreign Corrupt Practices Act of 1977, as amended, and the rules and regulations thereunder, and all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laws, rules, and regulations of any jurisdiction applicable to Parent Guarantor or its Subsidiaries from time to time concerning or relating to bribery or corruption.</w:t>
      </w:r>
    </w:p>
    <w:p>
      <w:pPr>
        <w:spacing w:after="0" w:line="18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i w:val="1"/>
          <w:iCs w:val="1"/>
          <w:color w:val="auto"/>
        </w:rPr>
        <w:t xml:space="preserve">“Applicable Laws” </w:t>
      </w:r>
      <w:r>
        <w:rPr>
          <w:rFonts w:ascii="Arial" w:cs="Arial" w:eastAsia="Arial" w:hAnsi="Arial"/>
          <w:sz w:val="18"/>
          <w:szCs w:val="18"/>
          <w:color w:val="auto"/>
        </w:rPr>
        <w:t>means, collectively, all international, foreign, Federal, state and local statutes, treaties, rules, guidelines, regulations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Laws), ordinances, codes and administrative or judicial precedents or authorities, including official rulings and interpretations thereof by any Governmental Authority charged with the enforcement, interpretation or administration thereof having the force of law or with which affected Persons customarily comply, and all applicable orders, judgments, directed duties, requests, licenses, authorizations and permits of, and agreements with, any Governmental Authority.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“Applicable Lending Office” </w:t>
      </w:r>
      <w:r>
        <w:rPr>
          <w:rFonts w:ascii="Arial" w:cs="Arial" w:eastAsia="Arial" w:hAnsi="Arial"/>
          <w:sz w:val="18"/>
          <w:szCs w:val="18"/>
          <w:color w:val="auto"/>
        </w:rPr>
        <w:t>means, for each Participant, the office, branch, affiliate or correspondent bank of such Participant set forth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Lending Office for such Participant on Schedule III to the Participation Agreement, as applicable, or such other office, branch, affiliate or correspondent bank of such Participant (or of an Affiliate of such Participant) as such Participant may from time to time specify to the Administrative Agent and Lessee by written notice as the office from which its Rent Assignment Contribution or Lessor Amount, as applicable, and accruing Yield at the Term SOFR Rate are made available and maintained.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“Applicable Margin” </w:t>
      </w:r>
      <w:r>
        <w:rPr>
          <w:rFonts w:ascii="Arial" w:cs="Arial" w:eastAsia="Arial" w:hAnsi="Arial"/>
          <w:sz w:val="18"/>
          <w:szCs w:val="18"/>
          <w:color w:val="auto"/>
        </w:rPr>
        <w:t>means, for any day, with respect to the Rent Assignment Contributions and the Lessor Amount, as the case may be,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rate per annum set forth below under the caption “Applicable Margin for Rent Assignment Contributions” or “Applicable Margin for Lessor Amount,” as the case may be, based upon the Pricing Level applicable on such date:</w:t>
      </w:r>
    </w:p>
    <w:p>
      <w:pPr>
        <w:spacing w:after="0" w:line="184"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PPLICABLE</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ARGIN FOR</w:t>
            </w:r>
            <w:r>
              <w:rPr>
                <w:rFonts w:ascii="Arial" w:cs="Arial" w:eastAsia="Arial" w:hAnsi="Arial"/>
                <w:sz w:val="18"/>
                <w:szCs w:val="18"/>
                <w:color w:val="auto"/>
              </w:rPr>
              <w:t xml:space="preserve"> R</w:t>
            </w:r>
            <w:r>
              <w:rPr>
                <w:rFonts w:ascii="Arial" w:cs="Arial" w:eastAsia="Arial" w:hAnsi="Arial"/>
                <w:sz w:val="12"/>
                <w:szCs w:val="12"/>
                <w:color w:val="auto"/>
              </w:rPr>
              <w:t>ENT</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SSIGNMENT</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PPLICABLE</w:t>
            </w:r>
            <w:r>
              <w:rPr>
                <w:rFonts w:ascii="Arial" w:cs="Arial" w:eastAsia="Arial" w:hAnsi="Arial"/>
                <w:sz w:val="18"/>
                <w:szCs w:val="18"/>
                <w:color w:val="auto"/>
              </w:rPr>
              <w:t xml:space="preserve"> M</w:t>
            </w:r>
            <w:r>
              <w:rPr>
                <w:rFonts w:ascii="Arial" w:cs="Arial" w:eastAsia="Arial" w:hAnsi="Arial"/>
                <w:sz w:val="12"/>
                <w:szCs w:val="12"/>
                <w:color w:val="auto"/>
              </w:rPr>
              <w:t>ARGIN</w:t>
            </w:r>
          </w:p>
        </w:tc>
      </w:tr>
      <w:tr>
        <w:trPr>
          <w:trHeight w:val="230"/>
        </w:trPr>
        <w:tc>
          <w:tcPr>
            <w:tcW w:w="23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RICING</w:t>
            </w:r>
            <w:r>
              <w:rPr>
                <w:rFonts w:ascii="Arial" w:cs="Arial" w:eastAsia="Arial" w:hAnsi="Arial"/>
                <w:sz w:val="18"/>
                <w:szCs w:val="18"/>
                <w:color w:val="auto"/>
              </w:rPr>
              <w:t xml:space="preserve"> L</w:t>
            </w:r>
            <w:r>
              <w:rPr>
                <w:rFonts w:ascii="Arial" w:cs="Arial" w:eastAsia="Arial" w:hAnsi="Arial"/>
                <w:sz w:val="12"/>
                <w:szCs w:val="12"/>
                <w:color w:val="auto"/>
              </w:rPr>
              <w:t>EVEL</w:t>
            </w:r>
          </w:p>
        </w:tc>
        <w:tc>
          <w:tcPr>
            <w:tcW w:w="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C</w:t>
            </w:r>
            <w:r>
              <w:rPr>
                <w:rFonts w:ascii="Arial" w:cs="Arial" w:eastAsia="Arial" w:hAnsi="Arial"/>
                <w:sz w:val="12"/>
                <w:szCs w:val="12"/>
                <w:color w:val="auto"/>
                <w:w w:val="96"/>
              </w:rPr>
              <w:t>ONTRIBUTIONS</w:t>
            </w:r>
          </w:p>
        </w:tc>
        <w:tc>
          <w:tcPr>
            <w:tcW w:w="2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9"/>
              </w:rPr>
              <w:t xml:space="preserve">FOR </w:t>
            </w:r>
            <w:r>
              <w:rPr>
                <w:rFonts w:ascii="Arial" w:cs="Arial" w:eastAsia="Arial" w:hAnsi="Arial"/>
                <w:sz w:val="17"/>
                <w:szCs w:val="17"/>
                <w:color w:val="auto"/>
                <w:w w:val="99"/>
              </w:rPr>
              <w:t>L</w:t>
            </w:r>
            <w:r>
              <w:rPr>
                <w:rFonts w:ascii="Arial" w:cs="Arial" w:eastAsia="Arial" w:hAnsi="Arial"/>
                <w:sz w:val="12"/>
                <w:szCs w:val="12"/>
                <w:color w:val="auto"/>
                <w:w w:val="99"/>
              </w:rPr>
              <w:t xml:space="preserve">ESSOR </w:t>
            </w:r>
            <w:r>
              <w:rPr>
                <w:rFonts w:ascii="Arial" w:cs="Arial" w:eastAsia="Arial" w:hAnsi="Arial"/>
                <w:sz w:val="17"/>
                <w:szCs w:val="17"/>
                <w:color w:val="auto"/>
                <w:w w:val="99"/>
              </w:rPr>
              <w:t>A</w:t>
            </w:r>
            <w:r>
              <w:rPr>
                <w:rFonts w:ascii="Arial" w:cs="Arial" w:eastAsia="Arial" w:hAnsi="Arial"/>
                <w:sz w:val="12"/>
                <w:szCs w:val="12"/>
                <w:color w:val="auto"/>
                <w:w w:val="99"/>
              </w:rPr>
              <w:t>MOUNT</w:t>
            </w:r>
          </w:p>
        </w:tc>
        <w:tc>
          <w:tcPr>
            <w:tcW w:w="180" w:type="dxa"/>
            <w:vAlign w:val="bottom"/>
            <w:tcBorders>
              <w:bottom w:val="single" w:sz="8" w:color="CCEEFF"/>
            </w:tcBorders>
          </w:tcPr>
          <w:p>
            <w:pPr>
              <w:spacing w:after="0"/>
              <w:rPr>
                <w:sz w:val="20"/>
                <w:szCs w:val="20"/>
                <w:color w:val="auto"/>
              </w:rPr>
            </w:pPr>
          </w:p>
        </w:tc>
      </w:tr>
      <w:tr>
        <w:trPr>
          <w:trHeight w:val="209"/>
        </w:trPr>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w:t>
            </w:r>
          </w:p>
        </w:tc>
        <w:tc>
          <w:tcPr>
            <w:tcW w:w="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380" w:type="dxa"/>
            <w:vAlign w:val="bottom"/>
            <w:gridSpan w:val="2"/>
          </w:tcPr>
          <w:p>
            <w:pPr>
              <w:jc w:val="center"/>
              <w:spacing w:after="0"/>
              <w:rPr>
                <w:sz w:val="20"/>
                <w:szCs w:val="20"/>
                <w:color w:val="auto"/>
              </w:rPr>
            </w:pPr>
            <w:r>
              <w:rPr>
                <w:rFonts w:ascii="Arial" w:cs="Arial" w:eastAsia="Arial" w:hAnsi="Arial"/>
                <w:sz w:val="18"/>
                <w:szCs w:val="18"/>
                <w:color w:val="auto"/>
              </w:rPr>
              <w:t>II.</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1.125%</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1.425%</w:t>
            </w:r>
          </w:p>
        </w:tc>
      </w:tr>
      <w:tr>
        <w:trPr>
          <w:trHeight w:val="216"/>
        </w:trPr>
        <w:tc>
          <w:tcPr>
            <w:tcW w:w="2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1.550%</w:t>
            </w:r>
          </w:p>
        </w:tc>
      </w:tr>
      <w:tr>
        <w:trPr>
          <w:trHeight w:val="230"/>
        </w:trPr>
        <w:tc>
          <w:tcPr>
            <w:tcW w:w="2380" w:type="dxa"/>
            <w:vAlign w:val="bottom"/>
            <w:gridSpan w:val="2"/>
          </w:tcPr>
          <w:p>
            <w:pPr>
              <w:jc w:val="center"/>
              <w:spacing w:after="0"/>
              <w:rPr>
                <w:sz w:val="20"/>
                <w:szCs w:val="20"/>
                <w:color w:val="auto"/>
              </w:rPr>
            </w:pPr>
            <w:r>
              <w:rPr>
                <w:rFonts w:ascii="Arial" w:cs="Arial" w:eastAsia="Arial" w:hAnsi="Arial"/>
                <w:sz w:val="18"/>
                <w:szCs w:val="18"/>
                <w:color w:val="auto"/>
                <w:w w:val="99"/>
              </w:rPr>
              <w:t>IV.</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1.375%</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1.675%</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purposes hereof: (i) Pricing Level I and Ratings Level A are equivalent and correspond to each other, and they are the highest levels for purposes of this definition, (ii) Pricing Level II, Leverage Level 2 and Ratings Level B are equivalent and correspond to each other, and they are the second highest levels for purposes of this definition, (iii) Pricing Level III, Leverage Level 3 and Ratings Level C are equivalent and correspond to each other, and they are the third highest levels for purposes of this definition and (iv) Pricing Level IV, Leverage Level 4 and Ratings Level D are equivalent and correspond to each other, and they are the lowest levels for purposes of this definition.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77" w:lineRule="auto"/>
        <w:rPr>
          <w:sz w:val="20"/>
          <w:szCs w:val="20"/>
          <w:color w:val="auto"/>
        </w:rPr>
      </w:pPr>
      <w:r>
        <w:rPr>
          <w:rFonts w:ascii="Arial" w:cs="Arial" w:eastAsia="Arial" w:hAnsi="Arial"/>
          <w:sz w:val="18"/>
          <w:szCs w:val="18"/>
          <w:color w:val="auto"/>
        </w:rPr>
        <w:t>At any time of determination, the Pricing Level shall be determined by reference to the higher of the Leverage Level and the Ratings Level then in effect (or if Ratings Level A is then in effect, solely by reference to Ratings Level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EVERAGE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EVEL</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154305</wp:posOffset>
            </wp:positionV>
            <wp:extent cx="356616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66160" cy="137160"/>
                    </a:xfrm>
                    <a:prstGeom prst="rect">
                      <a:avLst/>
                    </a:prstGeom>
                    <a:noFill/>
                  </pic:spPr>
                </pic:pic>
              </a:graphicData>
            </a:graphic>
          </wp:anchor>
        </w:drawing>
      </w:r>
    </w:p>
    <w:p>
      <w:pPr>
        <w:spacing w:after="0" w:line="223"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2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EVERAGE</w:t>
            </w:r>
            <w:r>
              <w:rPr>
                <w:rFonts w:ascii="Arial" w:cs="Arial" w:eastAsia="Arial" w:hAnsi="Arial"/>
                <w:sz w:val="18"/>
                <w:szCs w:val="18"/>
                <w:color w:val="auto"/>
              </w:rPr>
              <w:t xml:space="preserve"> L</w:t>
            </w:r>
            <w:r>
              <w:rPr>
                <w:rFonts w:ascii="Arial" w:cs="Arial" w:eastAsia="Arial" w:hAnsi="Arial"/>
                <w:sz w:val="12"/>
                <w:szCs w:val="12"/>
                <w:color w:val="auto"/>
              </w:rPr>
              <w:t>EVEL</w:t>
            </w:r>
          </w:p>
        </w:tc>
        <w:tc>
          <w:tcPr>
            <w:tcW w:w="4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auto"/>
            </w:tcBorders>
            <w:gridSpan w:val="5"/>
            <w:shd w:val="clear" w:color="auto" w:fill="CCEEFF"/>
          </w:tcPr>
          <w:p>
            <w:pPr>
              <w:jc w:val="center"/>
              <w:ind w:left="10"/>
              <w:spacing w:after="0"/>
              <w:rPr>
                <w:sz w:val="20"/>
                <w:szCs w:val="20"/>
                <w:color w:val="auto"/>
              </w:rPr>
            </w:pPr>
            <w:r>
              <w:rPr>
                <w:rFonts w:ascii="Arial" w:cs="Arial" w:eastAsia="Arial" w:hAnsi="Arial"/>
                <w:sz w:val="18"/>
                <w:szCs w:val="18"/>
                <w:color w:val="auto"/>
                <w:w w:val="97"/>
              </w:rPr>
              <w:t>T</w:t>
            </w:r>
            <w:r>
              <w:rPr>
                <w:rFonts w:ascii="Arial" w:cs="Arial" w:eastAsia="Arial" w:hAnsi="Arial"/>
                <w:sz w:val="12"/>
                <w:szCs w:val="12"/>
                <w:color w:val="auto"/>
                <w:w w:val="97"/>
              </w:rPr>
              <w:t>OTAL</w:t>
            </w:r>
            <w:r>
              <w:rPr>
                <w:rFonts w:ascii="Arial" w:cs="Arial" w:eastAsia="Arial" w:hAnsi="Arial"/>
                <w:sz w:val="18"/>
                <w:szCs w:val="18"/>
                <w:color w:val="auto"/>
                <w:w w:val="97"/>
              </w:rPr>
              <w:t xml:space="preserve"> L</w:t>
            </w:r>
            <w:r>
              <w:rPr>
                <w:rFonts w:ascii="Arial" w:cs="Arial" w:eastAsia="Arial" w:hAnsi="Arial"/>
                <w:sz w:val="12"/>
                <w:szCs w:val="12"/>
                <w:color w:val="auto"/>
                <w:w w:val="97"/>
              </w:rPr>
              <w:t>EVERAGE</w:t>
            </w:r>
            <w:r>
              <w:rPr>
                <w:rFonts w:ascii="Arial" w:cs="Arial" w:eastAsia="Arial" w:hAnsi="Arial"/>
                <w:sz w:val="18"/>
                <w:szCs w:val="18"/>
                <w:color w:val="auto"/>
                <w:w w:val="97"/>
              </w:rPr>
              <w:t xml:space="preserve"> R</w:t>
            </w:r>
            <w:r>
              <w:rPr>
                <w:rFonts w:ascii="Arial" w:cs="Arial" w:eastAsia="Arial" w:hAnsi="Arial"/>
                <w:sz w:val="12"/>
                <w:szCs w:val="12"/>
                <w:color w:val="auto"/>
                <w:w w:val="97"/>
              </w:rPr>
              <w:t>ATIO</w:t>
            </w:r>
          </w:p>
        </w:tc>
      </w:tr>
      <w:tr>
        <w:trPr>
          <w:trHeight w:val="210"/>
        </w:trPr>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60" w:type="dxa"/>
            <w:vAlign w:val="bottom"/>
            <w:shd w:val="clear" w:color="auto" w:fill="CCEEFF"/>
          </w:tcPr>
          <w:p>
            <w:pPr>
              <w:jc w:val="center"/>
              <w:ind w:right="1170"/>
              <w:spacing w:after="0"/>
              <w:rPr>
                <w:sz w:val="20"/>
                <w:szCs w:val="20"/>
                <w:color w:val="auto"/>
              </w:rPr>
            </w:pPr>
            <w:r>
              <w:rPr>
                <w:rFonts w:ascii="Arial" w:cs="Arial" w:eastAsia="Arial" w:hAnsi="Arial"/>
                <w:sz w:val="18"/>
                <w:szCs w:val="18"/>
                <w:color w:val="auto"/>
                <w:w w:val="99"/>
              </w:rPr>
              <w:t>N/A</w:t>
            </w:r>
          </w:p>
        </w:tc>
      </w:tr>
      <w:tr>
        <w:trPr>
          <w:trHeight w:val="175"/>
        </w:trPr>
        <w:tc>
          <w:tcPr>
            <w:tcW w:w="2260" w:type="dxa"/>
            <w:vAlign w:val="bottom"/>
          </w:tcPr>
          <w:p>
            <w:pPr>
              <w:jc w:val="center"/>
              <w:spacing w:after="0" w:line="176" w:lineRule="exact"/>
              <w:rPr>
                <w:sz w:val="20"/>
                <w:szCs w:val="20"/>
                <w:color w:val="auto"/>
              </w:rPr>
            </w:pPr>
            <w:r>
              <w:rPr>
                <w:rFonts w:ascii="Arial" w:cs="Arial" w:eastAsia="Arial" w:hAnsi="Arial"/>
                <w:sz w:val="18"/>
                <w:szCs w:val="18"/>
                <w:color w:val="auto"/>
                <w:w w:val="92"/>
              </w:rPr>
              <w:t>2.</w:t>
            </w:r>
          </w:p>
        </w:tc>
        <w:tc>
          <w:tcPr>
            <w:tcW w:w="40" w:type="dxa"/>
            <w:vAlign w:val="bottom"/>
          </w:tcPr>
          <w:p>
            <w:pPr>
              <w:spacing w:after="0"/>
              <w:rPr>
                <w:sz w:val="15"/>
                <w:szCs w:val="15"/>
                <w:color w:val="auto"/>
              </w:rPr>
            </w:pPr>
          </w:p>
        </w:tc>
        <w:tc>
          <w:tcPr>
            <w:tcW w:w="3320" w:type="dxa"/>
            <w:vAlign w:val="bottom"/>
            <w:gridSpan w:val="5"/>
          </w:tcPr>
          <w:p>
            <w:pPr>
              <w:jc w:val="center"/>
              <w:spacing w:after="0" w:line="176" w:lineRule="exact"/>
              <w:rPr>
                <w:sz w:val="20"/>
                <w:szCs w:val="20"/>
                <w:color w:val="auto"/>
              </w:rPr>
            </w:pPr>
            <w:r>
              <w:rPr>
                <w:rFonts w:ascii="Arial" w:cs="Arial" w:eastAsia="Arial" w:hAnsi="Arial"/>
                <w:sz w:val="18"/>
                <w:szCs w:val="18"/>
                <w:color w:val="auto"/>
                <w:w w:val="90"/>
              </w:rPr>
              <w:t>&lt; 1.00 to 1.00</w:t>
            </w:r>
          </w:p>
        </w:tc>
      </w:tr>
      <w:tr>
        <w:trPr>
          <w:trHeight w:val="21"/>
        </w:trPr>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6"/>
        </w:trPr>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shd w:val="clear" w:color="auto" w:fill="CCEEFF"/>
          </w:tcPr>
          <w:p>
            <w:pPr>
              <w:spacing w:after="0"/>
              <w:rPr>
                <w:sz w:val="18"/>
                <w:szCs w:val="18"/>
                <w:color w:val="auto"/>
              </w:rPr>
            </w:pPr>
          </w:p>
        </w:tc>
        <w:tc>
          <w:tcPr>
            <w:tcW w:w="3320" w:type="dxa"/>
            <w:vAlign w:val="bottom"/>
            <w:gridSpan w:val="5"/>
            <w:shd w:val="clear" w:color="auto" w:fill="CCEEFF"/>
          </w:tcPr>
          <w:p>
            <w:pPr>
              <w:jc w:val="center"/>
              <w:ind w:left="10"/>
              <w:spacing w:after="0"/>
              <w:rPr>
                <w:sz w:val="20"/>
                <w:szCs w:val="20"/>
                <w:color w:val="auto"/>
              </w:rPr>
            </w:pPr>
            <w:r>
              <w:rPr>
                <w:rFonts w:ascii="Arial" w:cs="Arial" w:eastAsia="Arial" w:hAnsi="Arial"/>
                <w:sz w:val="18"/>
                <w:szCs w:val="18"/>
                <w:color w:val="auto"/>
                <w:w w:val="91"/>
              </w:rPr>
              <w:t>&gt; 1.00 to 1.00 but &lt; 2.00 to 1.00</w:t>
            </w:r>
          </w:p>
        </w:tc>
      </w:tr>
      <w:tr>
        <w:trPr>
          <w:trHeight w:val="176"/>
        </w:trPr>
        <w:tc>
          <w:tcPr>
            <w:tcW w:w="2260" w:type="dxa"/>
            <w:vAlign w:val="bottom"/>
          </w:tcPr>
          <w:p>
            <w:pPr>
              <w:jc w:val="center"/>
              <w:spacing w:after="0" w:line="176" w:lineRule="exact"/>
              <w:rPr>
                <w:sz w:val="20"/>
                <w:szCs w:val="20"/>
                <w:color w:val="auto"/>
              </w:rPr>
            </w:pPr>
            <w:r>
              <w:rPr>
                <w:rFonts w:ascii="Arial" w:cs="Arial" w:eastAsia="Arial" w:hAnsi="Arial"/>
                <w:sz w:val="18"/>
                <w:szCs w:val="18"/>
                <w:color w:val="auto"/>
                <w:w w:val="92"/>
              </w:rPr>
              <w:t>4.</w:t>
            </w: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3"/>
          </w:tcPr>
          <w:p>
            <w:pPr>
              <w:jc w:val="center"/>
              <w:ind w:right="1050"/>
              <w:spacing w:after="0" w:line="176" w:lineRule="exact"/>
              <w:rPr>
                <w:sz w:val="20"/>
                <w:szCs w:val="20"/>
                <w:color w:val="auto"/>
              </w:rPr>
            </w:pPr>
            <w:r>
              <w:rPr>
                <w:rFonts w:ascii="Arial" w:cs="Arial" w:eastAsia="Arial" w:hAnsi="Arial"/>
                <w:sz w:val="18"/>
                <w:szCs w:val="18"/>
                <w:color w:val="auto"/>
                <w:w w:val="90"/>
              </w:rPr>
              <w:t>&gt;2.00 to 1.00</w:t>
            </w:r>
          </w:p>
        </w:tc>
      </w:tr>
      <w:tr>
        <w:trPr>
          <w:trHeight w:val="20"/>
        </w:trPr>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Ratings Level A is then in effect, if at any time the Parent Guarantor fails to deliver the Financials on or before the date such Financials are due pursuant to Section 8(a) of the Guaranty, Leverage Level 4 shall be deemed applicable for the period commencing three (3) Business Days after such required date of delivery and ending on the date which is three (3) Business Days after such Financials are actually delivered, after which the Leverage Level shall be determined in accordance with this definition, as applicable.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provided in the paragraph below or in the immediately preceding paragraph, adjustments, if any, to the Leverage Level then in effect shall be effective three (3) Business Days after the Administrative Agent has received the applicable Financials (it being understood and agreed that each change in Leverage Level shall apply during the period commencing on the effective date of such change and ending on the date immediately preceding the effective date of the next such change).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anything to the contrary set forth in this definition, Leverage Level 2 shall be deemed to be applicable from the Restatement Date until the Administrative Agent’s receipt of the applicable financial statements for the Parent Guarantor’s first full fiscal quarter ending after the Restatement Date and adjustments to the Leverage Level then in effect shall thereafter be effected in accordance with the terms of this definition.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960" w:type="dxa"/>
            <w:vAlign w:val="bottom"/>
            <w:gridSpan w:val="3"/>
          </w:tcPr>
          <w:p>
            <w:pPr>
              <w:jc w:val="center"/>
              <w:ind w:right="157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ATINGS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EVEL</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ETERMINATION</w:t>
            </w:r>
          </w:p>
        </w:tc>
        <w:tc>
          <w:tcPr>
            <w:tcW w:w="2800" w:type="dxa"/>
            <w:vAlign w:val="bottom"/>
          </w:tcPr>
          <w:p>
            <w:pPr>
              <w:spacing w:after="0"/>
              <w:rPr>
                <w:sz w:val="20"/>
                <w:szCs w:val="20"/>
                <w:color w:val="auto"/>
              </w:rPr>
            </w:pPr>
          </w:p>
        </w:tc>
      </w:tr>
      <w:tr>
        <w:trPr>
          <w:trHeight w:val="418"/>
        </w:trPr>
        <w:tc>
          <w:tcPr>
            <w:tcW w:w="2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8"/>
              </w:rPr>
              <w:t>I</w:t>
            </w:r>
            <w:r>
              <w:rPr>
                <w:rFonts w:ascii="Arial" w:cs="Arial" w:eastAsia="Arial" w:hAnsi="Arial"/>
                <w:sz w:val="12"/>
                <w:szCs w:val="12"/>
                <w:color w:val="auto"/>
                <w:w w:val="98"/>
              </w:rPr>
              <w:t>NDEX</w:t>
            </w:r>
            <w:r>
              <w:rPr>
                <w:rFonts w:ascii="Arial" w:cs="Arial" w:eastAsia="Arial" w:hAnsi="Arial"/>
                <w:sz w:val="18"/>
                <w:szCs w:val="18"/>
                <w:color w:val="auto"/>
                <w:w w:val="98"/>
              </w:rPr>
              <w:t xml:space="preserve"> D</w:t>
            </w:r>
            <w:r>
              <w:rPr>
                <w:rFonts w:ascii="Arial" w:cs="Arial" w:eastAsia="Arial" w:hAnsi="Arial"/>
                <w:sz w:val="12"/>
                <w:szCs w:val="12"/>
                <w:color w:val="auto"/>
                <w:w w:val="98"/>
              </w:rPr>
              <w:t>EBT</w:t>
            </w:r>
            <w:r>
              <w:rPr>
                <w:rFonts w:ascii="Arial" w:cs="Arial" w:eastAsia="Arial" w:hAnsi="Arial"/>
                <w:sz w:val="18"/>
                <w:szCs w:val="18"/>
                <w:color w:val="auto"/>
                <w:w w:val="98"/>
              </w:rPr>
              <w:t xml:space="preserve"> R</w:t>
            </w:r>
            <w:r>
              <w:rPr>
                <w:rFonts w:ascii="Arial" w:cs="Arial" w:eastAsia="Arial" w:hAnsi="Arial"/>
                <w:sz w:val="12"/>
                <w:szCs w:val="12"/>
                <w:color w:val="auto"/>
                <w:w w:val="98"/>
              </w:rPr>
              <w:t>ATING</w:t>
            </w:r>
          </w:p>
        </w:tc>
        <w:tc>
          <w:tcPr>
            <w:tcW w:w="2800" w:type="dxa"/>
            <w:vAlign w:val="bottom"/>
          </w:tcPr>
          <w:p>
            <w:pPr>
              <w:spacing w:after="0"/>
              <w:rPr>
                <w:sz w:val="24"/>
                <w:szCs w:val="24"/>
                <w:color w:val="auto"/>
              </w:rPr>
            </w:pPr>
          </w:p>
        </w:tc>
      </w:tr>
      <w:tr>
        <w:trPr>
          <w:trHeight w:val="230"/>
        </w:trPr>
        <w:tc>
          <w:tcPr>
            <w:tcW w:w="2820" w:type="dxa"/>
            <w:vAlign w:val="bottom"/>
          </w:tcPr>
          <w:p>
            <w:pPr>
              <w:spacing w:after="0"/>
              <w:rPr>
                <w:sz w:val="20"/>
                <w:szCs w:val="20"/>
                <w:color w:val="auto"/>
              </w:rPr>
            </w:pPr>
          </w:p>
        </w:tc>
        <w:tc>
          <w:tcPr>
            <w:tcW w:w="166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8"/>
              </w:rPr>
              <w:t>R</w:t>
            </w:r>
            <w:r>
              <w:rPr>
                <w:rFonts w:ascii="Arial" w:cs="Arial" w:eastAsia="Arial" w:hAnsi="Arial"/>
                <w:sz w:val="12"/>
                <w:szCs w:val="12"/>
                <w:color w:val="auto"/>
                <w:w w:val="98"/>
              </w:rPr>
              <w:t>ATINGS</w:t>
            </w:r>
            <w:r>
              <w:rPr>
                <w:rFonts w:ascii="Arial" w:cs="Arial" w:eastAsia="Arial" w:hAnsi="Arial"/>
                <w:sz w:val="18"/>
                <w:szCs w:val="18"/>
                <w:color w:val="auto"/>
                <w:w w:val="98"/>
              </w:rPr>
              <w:t xml:space="preserve"> L</w:t>
            </w:r>
            <w:r>
              <w:rPr>
                <w:rFonts w:ascii="Arial" w:cs="Arial" w:eastAsia="Arial" w:hAnsi="Arial"/>
                <w:sz w:val="12"/>
                <w:szCs w:val="12"/>
                <w:color w:val="auto"/>
                <w:w w:val="98"/>
              </w:rPr>
              <w:t>EVEL</w:t>
            </w: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(S&amp;P/M</w:t>
            </w:r>
            <w:r>
              <w:rPr>
                <w:rFonts w:ascii="Arial" w:cs="Arial" w:eastAsia="Arial" w:hAnsi="Arial"/>
                <w:sz w:val="12"/>
                <w:szCs w:val="12"/>
                <w:color w:val="auto"/>
              </w:rPr>
              <w:t>OODY</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p>
        </w:tc>
        <w:tc>
          <w:tcPr>
            <w:tcW w:w="2800" w:type="dxa"/>
            <w:vAlign w:val="bottom"/>
          </w:tcPr>
          <w:p>
            <w:pPr>
              <w:spacing w:after="0"/>
              <w:rPr>
                <w:sz w:val="20"/>
                <w:szCs w:val="20"/>
                <w:color w:val="auto"/>
              </w:rPr>
            </w:pPr>
          </w:p>
        </w:tc>
      </w:tr>
      <w:tr>
        <w:trPr>
          <w:trHeight w:val="209"/>
        </w:trPr>
        <w:tc>
          <w:tcPr>
            <w:tcW w:w="2820" w:type="dxa"/>
            <w:vAlign w:val="bottom"/>
          </w:tcPr>
          <w:p>
            <w:pPr>
              <w:spacing w:after="0"/>
              <w:rPr>
                <w:sz w:val="18"/>
                <w:szCs w:val="18"/>
                <w:color w:val="auto"/>
              </w:rPr>
            </w:pPr>
          </w:p>
        </w:tc>
        <w:tc>
          <w:tcPr>
            <w:tcW w:w="166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rPr>
              <w:t>A.</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BBB+/Baa1 or higher</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660" w:type="dxa"/>
            <w:vAlign w:val="bottom"/>
          </w:tcPr>
          <w:p>
            <w:pPr>
              <w:jc w:val="center"/>
              <w:ind w:left="490"/>
              <w:spacing w:after="0"/>
              <w:rPr>
                <w:sz w:val="20"/>
                <w:szCs w:val="20"/>
                <w:color w:val="auto"/>
              </w:rPr>
            </w:pPr>
            <w:r>
              <w:rPr>
                <w:rFonts w:ascii="Arial" w:cs="Arial" w:eastAsia="Arial" w:hAnsi="Arial"/>
                <w:sz w:val="18"/>
                <w:szCs w:val="18"/>
                <w:color w:val="auto"/>
                <w:w w:val="93"/>
              </w:rPr>
              <w:t>B.</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3"/>
              </w:rPr>
              <w:t>BBB/Baa2</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66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8"/>
              </w:rPr>
              <w:t>C.</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BBB-/Baa3</w:t>
            </w:r>
          </w:p>
        </w:tc>
        <w:tc>
          <w:tcPr>
            <w:tcW w:w="280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1660" w:type="dxa"/>
            <w:vAlign w:val="bottom"/>
          </w:tcPr>
          <w:p>
            <w:pPr>
              <w:jc w:val="center"/>
              <w:ind w:left="510"/>
              <w:spacing w:after="0"/>
              <w:rPr>
                <w:sz w:val="20"/>
                <w:szCs w:val="20"/>
                <w:color w:val="auto"/>
              </w:rPr>
            </w:pPr>
            <w:r>
              <w:rPr>
                <w:rFonts w:ascii="Arial" w:cs="Arial" w:eastAsia="Arial" w:hAnsi="Arial"/>
                <w:sz w:val="18"/>
                <w:szCs w:val="18"/>
                <w:color w:val="auto"/>
                <w:w w:val="99"/>
              </w:rPr>
              <w:t>D.</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3"/>
              </w:rPr>
              <w:t>BB+/Ba1 or lower</w:t>
            </w:r>
          </w:p>
        </w:tc>
        <w:tc>
          <w:tcPr>
            <w:tcW w:w="2800" w:type="dxa"/>
            <w:vAlign w:val="bottom"/>
          </w:tcPr>
          <w:p>
            <w:pPr>
              <w:spacing w:after="0"/>
              <w:rPr>
                <w:sz w:val="20"/>
                <w:szCs w:val="20"/>
                <w:color w:val="auto"/>
              </w:rPr>
            </w:pPr>
          </w:p>
        </w:tc>
      </w:tr>
      <w:tr>
        <w:trPr>
          <w:trHeight w:val="634"/>
        </w:trPr>
        <w:tc>
          <w:tcPr>
            <w:tcW w:w="28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3"/>
          </w:tcPr>
          <w:p>
            <w:pPr>
              <w:jc w:val="right"/>
              <w:ind w:right="2630"/>
              <w:spacing w:after="0"/>
              <w:rPr>
                <w:sz w:val="20"/>
                <w:szCs w:val="20"/>
                <w:color w:val="auto"/>
              </w:rPr>
            </w:pPr>
            <w:r>
              <w:rPr>
                <w:rFonts w:ascii="Arial" w:cs="Arial" w:eastAsia="Arial" w:hAnsi="Arial"/>
                <w:sz w:val="18"/>
                <w:szCs w:val="18"/>
                <w:color w:val="auto"/>
              </w:rPr>
              <w:t>-7-</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91" w:name="page92"/>
    <w:bookmarkEnd w:id="91"/>
    <w:p>
      <w:pPr>
        <w:jc w:val="both"/>
        <w:spacing w:after="0" w:line="286" w:lineRule="auto"/>
        <w:rPr>
          <w:sz w:val="20"/>
          <w:szCs w:val="20"/>
          <w:color w:val="auto"/>
        </w:rPr>
      </w:pPr>
      <w:r>
        <w:rPr>
          <w:rFonts w:ascii="Arial" w:cs="Arial" w:eastAsia="Arial" w:hAnsi="Arial"/>
          <w:sz w:val="16"/>
          <w:szCs w:val="16"/>
          <w:color w:val="auto"/>
        </w:rPr>
        <w:t>For purposes of the foregoing, (i) if neither Moody’s nor S&amp;P shall have in effect a rating for the Index Debt (other than by reason of the circumstances referred to in the last sentence of this definition), then such rating agency shall be deemed to have established a Ratings Level in Level D; (ii) if the ratings established or deemed to have been established by Moody’s and S&amp;P for the Index Debt shall fall within different Ratings Levels, the Ratings Level shall be based on the higher of the two ratings unless one of the two ratings is two or more Ratings Levels lower than the other, in which case the Ratings Level shall be determined by reference to the Ratings Level next below that of the higher of the two ratings; (iii) if only one of S&amp;P and Moody’s shall have in effect a rating for the Index Debt, the Ratings Level shall be determined by reference to the available rating; and (iv)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Parent Guarantor to the Administrative Agent pursuant to Section 8(a)(v) of the Guaranty or otherwise. Each change in the Ratings Level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Lessee and the Participants shall negotiate in good faith to amend this definition to reflect such changed rating system or the unavailability of ratings from such rating agency and, pending the effectiveness of any such amendment, the Ratings Level shall be determined by reference to the rating most recently in effect prior to such change or cessation.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“Appraisal” </w:t>
      </w:r>
      <w:r>
        <w:rPr>
          <w:rFonts w:ascii="Arial" w:cs="Arial" w:eastAsia="Arial" w:hAnsi="Arial"/>
          <w:sz w:val="18"/>
          <w:szCs w:val="18"/>
          <w:color w:val="auto"/>
        </w:rPr>
        <w:t>is defined in Section 6.1(i) of the Participation Agreement.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“Appraiser” </w:t>
      </w:r>
      <w:r>
        <w:rPr>
          <w:rFonts w:ascii="Arial" w:cs="Arial" w:eastAsia="Arial" w:hAnsi="Arial"/>
          <w:sz w:val="17"/>
          <w:szCs w:val="17"/>
          <w:color w:val="auto"/>
        </w:rPr>
        <w:t>means National Property Valuation Advisors, Inc., or any third party appraiser appointed as a successor thereto by the Lessor,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shall be a Designated Member of the Appraisal Institute and shall carry the “MAI” designation from the Appraisal Institute.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“Approved Electronic Platform” </w:t>
      </w:r>
      <w:r>
        <w:rPr>
          <w:rFonts w:ascii="Arial" w:cs="Arial" w:eastAsia="Arial" w:hAnsi="Arial"/>
          <w:sz w:val="18"/>
          <w:szCs w:val="18"/>
          <w:color w:val="auto"/>
        </w:rPr>
        <w:t>has the meaning assigned to such term in Section 15.3(d) of the Participation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“Appurtenant Rights” </w:t>
      </w:r>
      <w:r>
        <w:rPr>
          <w:rFonts w:ascii="Arial" w:cs="Arial" w:eastAsia="Arial" w:hAnsi="Arial"/>
          <w:sz w:val="17"/>
          <w:szCs w:val="17"/>
          <w:color w:val="auto"/>
        </w:rPr>
        <w:t>means, with respect to the Site, (i) all agreements, easements, rights of way or use, rights of ingress or egress, privileges,</w:t>
      </w:r>
      <w:r>
        <w:rPr>
          <w:rFonts w:ascii="Arial" w:cs="Arial" w:eastAsia="Arial" w:hAnsi="Arial"/>
          <w:sz w:val="17"/>
          <w:szCs w:val="17"/>
          <w:i w:val="1"/>
          <w:iCs w:val="1"/>
          <w:color w:val="auto"/>
        </w:rPr>
        <w:t xml:space="preserve"> </w:t>
      </w:r>
      <w:r>
        <w:rPr>
          <w:rFonts w:ascii="Arial" w:cs="Arial" w:eastAsia="Arial" w:hAnsi="Arial"/>
          <w:sz w:val="17"/>
          <w:szCs w:val="17"/>
          <w:color w:val="auto"/>
        </w:rPr>
        <w:t>appurtenances, tenements, and other rights and benefits at any time belonging or pertaining to the Site or the Improvements thereon, including, without limitation, the use of any streets, ways, alleys, vaults or strips of land adjoining, abutting, adjacent or contiguous to the Site and (ii) all permits, licenses and rights, whether or not of record, appurtenant to the Site, but in any such case, excluding any Excluded Property.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“Arranger” </w:t>
      </w:r>
      <w:r>
        <w:rPr>
          <w:rFonts w:ascii="Arial" w:cs="Arial" w:eastAsia="Arial" w:hAnsi="Arial"/>
          <w:sz w:val="18"/>
          <w:szCs w:val="18"/>
          <w:color w:val="auto"/>
        </w:rPr>
        <w:t>means BALC, in its capacity as such.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“Arranger Fee” </w:t>
      </w:r>
      <w:r>
        <w:rPr>
          <w:rFonts w:ascii="Arial" w:cs="Arial" w:eastAsia="Arial" w:hAnsi="Arial"/>
          <w:sz w:val="18"/>
          <w:szCs w:val="18"/>
          <w:color w:val="auto"/>
        </w:rPr>
        <w:t>means the “Arrangement Fee” (as defined in the Arranger Fee Letter) payable to the Arranger on the Execution Date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Arranger Fee Letter.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“Arranger Fee Letter” </w:t>
      </w:r>
      <w:r>
        <w:rPr>
          <w:rFonts w:ascii="Arial" w:cs="Arial" w:eastAsia="Arial" w:hAnsi="Arial"/>
          <w:sz w:val="18"/>
          <w:szCs w:val="18"/>
          <w:color w:val="auto"/>
        </w:rPr>
        <w:t>means that certain Arranger Fee Letter between the Arranger and Lessee dated the Execution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“Assignment Agreement” </w:t>
      </w:r>
      <w:r>
        <w:rPr>
          <w:rFonts w:ascii="Arial" w:cs="Arial" w:eastAsia="Arial" w:hAnsi="Arial"/>
          <w:sz w:val="17"/>
          <w:szCs w:val="17"/>
          <w:color w:val="auto"/>
        </w:rPr>
        <w:t>means an assignment and assumption agreement entered into by a Participant and an assignee or transferee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of any party whose consent is required by Section 12.1 of the Participation Agreement), and accepted by the Administrative Agent, substantially in the form of Exhibit E to the Participation Agreement or any other form approved by the Administrative Agent and the Lessee.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of Leases</w:t>
      </w:r>
      <w:r>
        <w:rPr>
          <w:rFonts w:ascii="Arial" w:cs="Arial" w:eastAsia="Arial" w:hAnsi="Arial"/>
          <w:sz w:val="18"/>
          <w:szCs w:val="18"/>
          <w:color w:val="auto"/>
        </w:rPr>
        <w:t>” means that certain Assignment of Leases and Absolute Assignment of Rent Agreement, dated as of the Execution Date and effective as of the Restatement Date, by and between Lessor and Administrative Agent.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of Mortgage</w:t>
      </w:r>
      <w:r>
        <w:rPr>
          <w:rFonts w:ascii="Arial" w:cs="Arial" w:eastAsia="Arial" w:hAnsi="Arial"/>
          <w:sz w:val="18"/>
          <w:szCs w:val="18"/>
          <w:color w:val="auto"/>
        </w:rPr>
        <w:t>” means that certain Assignment of Mortgage, dated as of the Execution Date and effective as of the Restatement Date, between Administrative Agent and Lessor.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“Assignment of Purchase Agreement” </w:t>
      </w:r>
      <w:r>
        <w:rPr>
          <w:rFonts w:ascii="Arial" w:cs="Arial" w:eastAsia="Arial" w:hAnsi="Arial"/>
          <w:sz w:val="16"/>
          <w:szCs w:val="16"/>
          <w:color w:val="auto"/>
        </w:rPr>
        <w:t>means that certain Assignment of Right to Receive Deed, dated as of March 3, 2017, between Lessee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Lessor.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“BALC” </w:t>
      </w:r>
      <w:r>
        <w:rPr>
          <w:rFonts w:ascii="Arial" w:cs="Arial" w:eastAsia="Arial" w:hAnsi="Arial"/>
          <w:sz w:val="18"/>
          <w:szCs w:val="18"/>
          <w:color w:val="auto"/>
        </w:rPr>
        <w:t>means Banc of America Leasing &amp; Capital,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“Bank Credit Agreement” </w:t>
      </w:r>
      <w:r>
        <w:rPr>
          <w:rFonts w:ascii="Arial" w:cs="Arial" w:eastAsia="Arial" w:hAnsi="Arial"/>
          <w:sz w:val="18"/>
          <w:szCs w:val="18"/>
          <w:color w:val="auto"/>
        </w:rPr>
        <w:t>means that certain Credit Agreement, dated as of December 14, 2018, among Regeneron Pharmaceuticals, Inc.,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Borrowers (as such term is defined therein) party thereto from time to time, the lenders party thereto from time to time, JPMorgan Chase Bank, N.A., as administrative agent, and Bank of America, N.A. and U.S. Bank National Association, as co-syndication agents, as the same may be amended, restated, modified, supplemented, extended, refinanced or replaced.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“Bank Credit Agreement Effective Date” </w:t>
      </w:r>
      <w:r>
        <w:rPr>
          <w:rFonts w:ascii="Arial" w:cs="Arial" w:eastAsia="Arial" w:hAnsi="Arial"/>
          <w:sz w:val="18"/>
          <w:szCs w:val="18"/>
          <w:color w:val="auto"/>
        </w:rPr>
        <w:t>means December 14, 2018.</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 xml:space="preserve">“Bank Credit Agreement Specified Loan Party” </w:t>
      </w:r>
      <w:r>
        <w:rPr>
          <w:rFonts w:ascii="Arial" w:cs="Arial" w:eastAsia="Arial" w:hAnsi="Arial"/>
          <w:sz w:val="17"/>
          <w:szCs w:val="17"/>
          <w:color w:val="auto"/>
        </w:rPr>
        <w:t>means any borrower or guarantor under the Bank Credit Agreement that is (a) a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(b) a Domestic Foreign Holdco Subsidiary or (c) a Domestic Subsidiary whose Equity Interests are owned directly or indirectly by a CFC.</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“Bankruptcy Code” </w:t>
      </w:r>
      <w:r>
        <w:rPr>
          <w:rFonts w:ascii="Arial" w:cs="Arial" w:eastAsia="Arial" w:hAnsi="Arial"/>
          <w:sz w:val="18"/>
          <w:szCs w:val="18"/>
          <w:color w:val="auto"/>
        </w:rPr>
        <w:t>means the Bankruptcy Code in Title 11 of the United States Code,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“Base Term” </w:t>
      </w:r>
      <w:r>
        <w:rPr>
          <w:rFonts w:ascii="Arial" w:cs="Arial" w:eastAsia="Arial" w:hAnsi="Arial"/>
          <w:sz w:val="18"/>
          <w:szCs w:val="18"/>
          <w:color w:val="auto"/>
        </w:rPr>
        <w:t>is defined in Section 2.3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“Base Term Commencement Date” </w:t>
      </w:r>
      <w:r>
        <w:rPr>
          <w:rFonts w:ascii="Arial" w:cs="Arial" w:eastAsia="Arial" w:hAnsi="Arial"/>
          <w:sz w:val="18"/>
          <w:szCs w:val="18"/>
          <w:color w:val="auto"/>
        </w:rPr>
        <w:t>means the Original Closing Date.</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“Basic Rent” </w:t>
      </w:r>
      <w:r>
        <w:rPr>
          <w:rFonts w:ascii="Arial" w:cs="Arial" w:eastAsia="Arial" w:hAnsi="Arial"/>
          <w:sz w:val="16"/>
          <w:szCs w:val="16"/>
          <w:color w:val="auto"/>
        </w:rPr>
        <w:t>means, for any Payment Date on which Basic Rent is due, an amount equal to the sum of the aggregate amount of Yield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Operative Documents on such date on the Rent Assignment Contributions and the Lessor Amount in respect of the applicable Interest Period.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 Regulation</w:t>
      </w:r>
      <w:r>
        <w:rPr>
          <w:rFonts w:ascii="Arial" w:cs="Arial" w:eastAsia="Arial" w:hAnsi="Arial"/>
          <w:sz w:val="18"/>
          <w:szCs w:val="18"/>
          <w:color w:val="auto"/>
        </w:rPr>
        <w:t>” means 31 C.F.R. § 1010.230.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i w:val="1"/>
          <w:iCs w:val="1"/>
          <w:color w:val="auto"/>
        </w:rPr>
        <w:t xml:space="preserve">“Beneficiary” </w:t>
      </w:r>
      <w:r>
        <w:rPr>
          <w:rFonts w:ascii="Arial" w:cs="Arial" w:eastAsia="Arial" w:hAnsi="Arial"/>
          <w:sz w:val="18"/>
          <w:szCs w:val="18"/>
          <w:color w:val="auto"/>
        </w:rPr>
        <w:t>and</w:t>
      </w:r>
      <w:r>
        <w:rPr>
          <w:rFonts w:ascii="Arial" w:cs="Arial" w:eastAsia="Arial" w:hAnsi="Arial"/>
          <w:sz w:val="18"/>
          <w:szCs w:val="18"/>
          <w:i w:val="1"/>
          <w:iCs w:val="1"/>
          <w:color w:val="auto"/>
        </w:rPr>
        <w:t xml:space="preserve"> “Beneficiaries” </w:t>
      </w:r>
      <w:r>
        <w:rPr>
          <w:rFonts w:ascii="Arial" w:cs="Arial" w:eastAsia="Arial" w:hAnsi="Arial"/>
          <w:sz w:val="18"/>
          <w:szCs w:val="18"/>
          <w:color w:val="auto"/>
        </w:rPr>
        <w:t>is defined in Section 1 of the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“Benefitted Rent Assignee” </w:t>
      </w:r>
      <w:r>
        <w:rPr>
          <w:rFonts w:ascii="Arial" w:cs="Arial" w:eastAsia="Arial" w:hAnsi="Arial"/>
          <w:sz w:val="18"/>
          <w:szCs w:val="18"/>
          <w:color w:val="auto"/>
        </w:rPr>
        <w:t>is defined in Section 8.6 of the Rent Assignment Agreement.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“Break Costs” </w:t>
      </w:r>
      <w:r>
        <w:rPr>
          <w:rFonts w:ascii="Arial" w:cs="Arial" w:eastAsia="Arial" w:hAnsi="Arial"/>
          <w:sz w:val="16"/>
          <w:szCs w:val="16"/>
          <w:color w:val="auto"/>
        </w:rPr>
        <w:t>means an amount equal to the amount, if any, required to compensate Lessor or any Rent Assignee for any additional losses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without limitation, any loss, cost or expense incurred by reason of the liquidation or reemployment of deposits or funds acquired by Lessor or any Rent Assignee to fund its obligations under the Operative Documents, but excluding loss of anticipated profits) it may reasonably incur as a result of</w:t>
      </w:r>
    </w:p>
    <w:p>
      <w:pPr>
        <w:spacing w:after="0" w:line="2" w:lineRule="exact"/>
        <w:rPr>
          <w:sz w:val="20"/>
          <w:szCs w:val="20"/>
          <w:color w:val="auto"/>
        </w:rPr>
      </w:pPr>
    </w:p>
    <w:p>
      <w:pPr>
        <w:jc w:val="both"/>
        <w:ind w:firstLine="8"/>
        <w:spacing w:after="0" w:line="273" w:lineRule="auto"/>
        <w:tabs>
          <w:tab w:leader="none" w:pos="27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Lessee’s payment of Basic Rent other than on a Payment Date, or (y) any conversion during an Interest Period (other than on the last day of an Interest Period) from a Term SOFR Rate basis to an Alternate Base Rate basis for the Yield accrual on Advances pursuant to and in accordance with the Operative Documents. A statement as to the amount of such loss, cost or expense, prepared in good faith and in reasonable detail and submitted by Lessor or any Rent Assignee, as the case may be, to the Lessee, shall be presumed correct absent demonstrable error.</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each Monday, Tuesday, Wednesday, Thursday and Friday which is not a day on which banks in New York, New York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authorized or obligated, by law or executive order, to close.</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“Capital Lease Obligations” </w:t>
      </w:r>
      <w:r>
        <w:rPr>
          <w:rFonts w:ascii="Arial" w:cs="Arial" w:eastAsia="Arial" w:hAnsi="Arial"/>
          <w:sz w:val="16"/>
          <w:szCs w:val="16"/>
          <w:color w:val="auto"/>
        </w:rPr>
        <w:t>of any Person means the obligations of such Person to pay rent or other amounts under any lease of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conveying the right to use) real or personal property, or a combination thereof, which obligations are required to be classified and accounted for as capital lease obligations on a balance sheet of such Person under GAAP, and the amount of such obligations shall be the capitalized amount thereof determined in accordance with GAAP. The foregoing is subject to clause (b) of this Appendix 1 to the Participation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“Casualty” </w:t>
      </w:r>
      <w:r>
        <w:rPr>
          <w:rFonts w:ascii="Arial" w:cs="Arial" w:eastAsia="Arial" w:hAnsi="Arial"/>
          <w:sz w:val="18"/>
          <w:szCs w:val="18"/>
          <w:color w:val="auto"/>
        </w:rPr>
        <w:t>means an event of damage or casualty relating to any portion of the Leased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“CFC” </w:t>
      </w:r>
      <w:r>
        <w:rPr>
          <w:rFonts w:ascii="Arial" w:cs="Arial" w:eastAsia="Arial" w:hAnsi="Arial"/>
          <w:sz w:val="18"/>
          <w:szCs w:val="18"/>
          <w:color w:val="auto"/>
        </w:rPr>
        <w:t>means a Person that is a “controlled foreign corporation” within the meaning of section 957 of the Code.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“CFC Debt” </w:t>
      </w:r>
      <w:r>
        <w:rPr>
          <w:rFonts w:ascii="Arial" w:cs="Arial" w:eastAsia="Arial" w:hAnsi="Arial"/>
          <w:sz w:val="18"/>
          <w:szCs w:val="18"/>
          <w:color w:val="auto"/>
        </w:rPr>
        <w:t>means, with respect to any Person, any Indebtedness or accounts receivable that is owed, or treated as owed for United States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purposes, by any CFC to such Person.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283"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means (a) the acquisition of ownership, directly or indirectly, beneficially or of record, by any Person or “group”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meaning of the Securities Exchange Act of 1934 and the rules of the SEC thereunder, each as in effect on the Bank Credit Agreement Effective Date) of Equity Interests representing more than 50% of the aggregate ordinary voting power represented by the issued and outstanding Equity Interests of the Parent Guarantor; (b) within any period of 24 consecutive months, occupation of a majority of the seats (other than vacant seats) on the board of directors of the Parent Guarantor other than by individuals who were (i) directors at the beginning of such period, (ii) nominated or approved by the board of directors of the Parent Guarantor or (iii) appointed (or, in the case of a vacancy, elected) by directors so nominated, approved or appointed, in each case which nomination, approval or appointment (or, in the case of a vacancy, election) to such board of directors was made by individuals referred to in the foregoing clauses (i), (ii) or (iii) constituting at the time of such nomination, approval or appointment (or, in the case of a vacancy, election) at least a majority of such board; or (c) the Parent Guarantor ceases to (1) Control, directly or indirectly, Lessee or (2) own, directly or indirectly, 100% (other than</w:t>
      </w:r>
    </w:p>
    <w:p>
      <w:pPr>
        <w:spacing w:after="0" w:line="6" w:lineRule="exact"/>
        <w:rPr>
          <w:sz w:val="20"/>
          <w:szCs w:val="20"/>
          <w:color w:val="auto"/>
        </w:rPr>
      </w:pPr>
    </w:p>
    <w:p>
      <w:pPr>
        <w:jc w:val="both"/>
        <w:ind w:firstLine="8"/>
        <w:spacing w:after="0" w:line="281" w:lineRule="auto"/>
        <w:tabs>
          <w:tab w:leader="none" w:pos="261" w:val="left"/>
        </w:tabs>
        <w:numPr>
          <w:ilvl w:val="0"/>
          <w:numId w:val="92"/>
        </w:numPr>
        <w:rPr>
          <w:rFonts w:ascii="Arial" w:cs="Arial" w:eastAsia="Arial" w:hAnsi="Arial"/>
          <w:sz w:val="16"/>
          <w:szCs w:val="16"/>
          <w:color w:val="auto"/>
        </w:rPr>
      </w:pPr>
      <w:r>
        <w:rPr>
          <w:rFonts w:ascii="Arial" w:cs="Arial" w:eastAsia="Arial" w:hAnsi="Arial"/>
          <w:sz w:val="16"/>
          <w:szCs w:val="16"/>
          <w:color w:val="auto"/>
        </w:rPr>
        <w:t>directors’ qualifying shares; (y) shares issued to foreign nationals to the extent required by applicable law; and (z) shares held by a Person on trust for, or otherwise where the beneficial interest is held by, the Parent Guarantor (directly or indirectly)) of the ordinary voting and economic interests in Lessee’s issued and outstanding Equity Interests; or (e) the Parent Guarantor ceases to (1) Control, directly or indirectly, any Subsidiary Guarantor that is also a borrower under the Bank Credit Agreement or (2) own, directly or indirectly, 100% (other than (x) directors’ qualifying shares; (y) shares issued to foreign nationals to the extent required by applicable law; and (z) shares held by a Person on trust for, or otherwise where the beneficial interest is held by, the Parent Guarantor (directly or indirectly)) of the ordinary voting and economic interests in the issued and outstanding Equity Interests of any Subsidiary Guarantor that is also a borrower under the Bank Credit Agreement, in any such case of this subclause (e), unless (i) a notice of termination of such Subsidiary Guarantor as a borrower under the Bank Credit Agreement (x) has become effective with respect to such Subsidiary Guarantor in accordance with the Bank Credit Agreement, or (y) will become effective with respect to such Subsidiary Guarantor substantially concurrently with any transaction not prohibited by the Operative Documents pursuant to which such Subsidiary Guarantor ceases to be a wholly-owned Subsidiary of the Parent Guarantor or</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event under this subclause (e) does not constitute or has been waived as a “change in control” under the Bank Credit Agreement.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“Civil Asset Forfeiture Reform Act” </w:t>
      </w:r>
      <w:r>
        <w:rPr>
          <w:rFonts w:ascii="Arial" w:cs="Arial" w:eastAsia="Arial" w:hAnsi="Arial"/>
          <w:sz w:val="18"/>
          <w:szCs w:val="18"/>
          <w:color w:val="auto"/>
        </w:rPr>
        <w:t>means the Civil Asset Forfeiture Reform Act of 2000 (HR 1658), Pub. L. No. 106-185, 106th Cong. (2000),</w:t>
      </w:r>
      <w:r>
        <w:rPr>
          <w:rFonts w:ascii="Arial" w:cs="Arial" w:eastAsia="Arial" w:hAnsi="Arial"/>
          <w:sz w:val="18"/>
          <w:szCs w:val="18"/>
          <w:i w:val="1"/>
          <w:iCs w:val="1"/>
          <w:color w:val="auto"/>
        </w:rPr>
        <w:t xml:space="preserve"> </w:t>
      </w:r>
      <w:r>
        <w:rPr>
          <w:rFonts w:ascii="Arial" w:cs="Arial" w:eastAsia="Arial" w:hAnsi="Arial"/>
          <w:sz w:val="18"/>
          <w:szCs w:val="18"/>
          <w:color w:val="auto"/>
        </w:rPr>
        <w:t>as amended.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means any and all obligations, liabilities, losses, actions, suits, judgments, enforcement actions, proceedings, damages, penalties, fines,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claims, demands, settlements, costs and expenses (including, without limitation, reasonable legal fees and expenses) of any nature whatsoever;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“Claims” shall not include Taxes.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CME</w:t>
      </w:r>
      <w:r>
        <w:rPr>
          <w:rFonts w:ascii="Arial" w:cs="Arial" w:eastAsia="Arial" w:hAnsi="Arial"/>
          <w:sz w:val="18"/>
          <w:szCs w:val="18"/>
          <w:color w:val="auto"/>
        </w:rPr>
        <w:t>” means CME Group Benchmark Administration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United States Internal Revenue Code of 1986.</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“Collaboration Arrangement” </w:t>
      </w:r>
      <w:r>
        <w:rPr>
          <w:rFonts w:ascii="Arial" w:cs="Arial" w:eastAsia="Arial" w:hAnsi="Arial"/>
          <w:sz w:val="18"/>
          <w:szCs w:val="18"/>
          <w:color w:val="auto"/>
        </w:rPr>
        <w:t>means any license, sublicense, lease, sublease, collaboration agreement or other profit-loss sharing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the discovery, research, development, manufacture or commercialization of any drug, product line or service.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“Collateral” </w:t>
      </w:r>
      <w:r>
        <w:rPr>
          <w:rFonts w:ascii="Arial" w:cs="Arial" w:eastAsia="Arial" w:hAnsi="Arial"/>
          <w:sz w:val="17"/>
          <w:szCs w:val="17"/>
          <w:color w:val="auto"/>
        </w:rPr>
        <w:t>means all of Lessee’s right, title and interest in (i) the Leased Property, (ii) the Purchase Agreement, (iii) contracts and warranties</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the Leased Property, (iv) the Security Property, (v) any rights to rebates, offset or other warranty payments, or assignment under a purchase order, invoice or purchase agreement with any manufacturer of or contractor for any portion of the Collateral, (vi) all insurance policies required to be maintained pursuant to the Lease, and (vii) all products, excess successions, subleases, rents, issues, profits, products, returns, income and proceeds of and from any or all of the foregoing (including proceeds from any of the foregoing), and to the extent not otherwise included, all payments under insurance (whether or not Lessee is the loss payee thereof) or any indemnity, warranty or guarantee payable by reason of loss or damage to or otherwise with respect to any of the foregoing, in any such case, excluding any Excluded Property.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16"/>
          <w:szCs w:val="16"/>
          <w:i w:val="1"/>
          <w:iCs w:val="1"/>
          <w:color w:val="auto"/>
        </w:rPr>
        <w:t xml:space="preserve">“Commitment” </w:t>
      </w:r>
      <w:r>
        <w:rPr>
          <w:rFonts w:ascii="Arial" w:cs="Arial" w:eastAsia="Arial" w:hAnsi="Arial"/>
          <w:sz w:val="16"/>
          <w:szCs w:val="16"/>
          <w:color w:val="auto"/>
        </w:rPr>
        <w:t>means (i) as to any Rent Assignee, its Rent Assignment Contribution Commitment, and (ii) as to Lessor, its Lessor Commitment.</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“Commitment Percentage” </w:t>
      </w:r>
      <w:r>
        <w:rPr>
          <w:rFonts w:ascii="Arial" w:cs="Arial" w:eastAsia="Arial" w:hAnsi="Arial"/>
          <w:sz w:val="17"/>
          <w:szCs w:val="17"/>
          <w:color w:val="auto"/>
        </w:rPr>
        <w:t>means, (i) with respect to Lessor, the percentage of the Aggregate Commitment Amount represented by the Lessor</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 (and the initial Commitment Percentage of the Lessor as of the Restatement Date is set forth opposite Lessor’s name under the heading “Commitment Percentage (of the Aggregate Commitment Amount)” on Schedule I to the Participation Agreement) and (ii) with respect to any Rent Assignee, the percentage of the Aggregate Commitment Amount represented by such Rent Assignee’s Rent Assignment Contribution Commitment (and the initial Commitment Percentage of each Rent Assignee as of the Restatement Date is set forth opposite such Rent Assignee’s name under the heading “Commitment Percentage (of the Aggregate Commitment Amount)” on Schedule II to the Participation Agreement), in each case, as such schedule may be amended or modified from time to time pursuant to the terms and conditions of the Participation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Communication</w:t>
      </w:r>
      <w:r>
        <w:rPr>
          <w:rFonts w:ascii="Arial" w:cs="Arial" w:eastAsia="Arial" w:hAnsi="Arial"/>
          <w:sz w:val="18"/>
          <w:szCs w:val="18"/>
          <w:color w:val="auto"/>
        </w:rPr>
        <w:t>” is defined in Section 15.4(a) of the Participation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“Condemnation” </w:t>
      </w:r>
      <w:r>
        <w:rPr>
          <w:rFonts w:ascii="Arial" w:cs="Arial" w:eastAsia="Arial" w:hAnsi="Arial"/>
          <w:sz w:val="18"/>
          <w:szCs w:val="18"/>
          <w:color w:val="auto"/>
        </w:rPr>
        <w:t>means any condemnation, requisition, confiscation, seizure or other taking or sale of the use or title to the Leased Property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part thereof in, by or on account of any eminent domain proceeding or other action by any Governmental Authority under the power of eminent domain or otherwise or any transfer in lieu of or in anticipation thereof. A Condemnation shall be deemed to have “occurred” on the earliest of the dates that use or title is taken or transferred.</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Conforming Changes</w:t>
      </w:r>
      <w:r>
        <w:rPr>
          <w:rFonts w:ascii="Arial" w:cs="Arial" w:eastAsia="Arial" w:hAnsi="Arial"/>
          <w:sz w:val="18"/>
          <w:szCs w:val="18"/>
          <w:color w:val="auto"/>
        </w:rPr>
        <w:t>” means, with respect to the use, administration of or any conventions associated with SOFR (but not including any changes to the definition of “SOFR Adjustment”) or any proposed Successor Rate or Term SOFR, as applicable, any conforming changes to the definitions of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the Participation Agreement and any other Operative Document).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left="660"/>
        <w:spacing w:after="0"/>
        <w:rPr>
          <w:sz w:val="20"/>
          <w:szCs w:val="20"/>
          <w:color w:val="auto"/>
        </w:rPr>
      </w:pPr>
      <w:r>
        <w:rPr>
          <w:rFonts w:ascii="Arial" w:cs="Arial" w:eastAsia="Arial" w:hAnsi="Arial"/>
          <w:sz w:val="17"/>
          <w:szCs w:val="17"/>
          <w:i w:val="1"/>
          <w:iCs w:val="1"/>
          <w:color w:val="auto"/>
        </w:rPr>
        <w:t xml:space="preserve">“Consolidated EBITDA” </w:t>
      </w:r>
      <w:r>
        <w:rPr>
          <w:rFonts w:ascii="Arial" w:cs="Arial" w:eastAsia="Arial" w:hAnsi="Arial"/>
          <w:sz w:val="17"/>
          <w:szCs w:val="17"/>
          <w:color w:val="auto"/>
        </w:rPr>
        <w:t>means, with reference to any period and without duplication, an amount equal to (a) Consolidated Net Income, plus</w:t>
      </w:r>
    </w:p>
    <w:p>
      <w:pPr>
        <w:spacing w:after="0" w:line="35" w:lineRule="exact"/>
        <w:rPr>
          <w:sz w:val="20"/>
          <w:szCs w:val="20"/>
          <w:color w:val="auto"/>
        </w:rPr>
      </w:pPr>
    </w:p>
    <w:p>
      <w:pPr>
        <w:jc w:val="both"/>
        <w:ind w:firstLine="8"/>
        <w:spacing w:after="0" w:line="281" w:lineRule="auto"/>
        <w:tabs>
          <w:tab w:leader="none" w:pos="293"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to the extent deducted in determining Consolidated Net Income, (i) Consolidated Interest Expense, (ii) income tax expenses, (iii) depreciation, (iv) amortization, (v) non-cash charges, expenses or losses (including any non-cash charges attributable to impairment of goodwill or other intangible assets or impairment of long-lived assets and non-cash expenses related to equity-based compensation, benefits or incentives), (vi) extraordinary, non-recurring or unusual charges, expenses or losses (including, without limitation, with respect to restructuring activities, consolidations, integration, headcount reductions or other similar actions, including severance charges in respect of employee terminations) and in an aggregate amount not in excess of $75,000,000 during any such period, (vii) losses due to fluctuations in currency exchange rates, (viii) unrealized losses under Swap Agreements, (ix) net after-tax losses (including all fees and expenses or charges relating thereto) on any sale or disposition of any asset of the Parent Guarantor or any of its Subsidiaries outside of the ordinary course of business and net after-tax losses from discontinued operations, (x) net after-tax losses (including all fees and expenses or charges relating thereto) on the retirement or extinguishment of debt, (xi) write-off of non-cash deferred revenue in connection with purchase accounting adjustments applied in respect of any Acquisition (it being understood that such non-cash deferred revenue shall be recognized in such period(s) as it would have been recognized but for such Acquisition), (xii) out-of-pocket fees, expenses and other transaction costs paid to unaffiliated third parties in connection with any actual or proposed Acquisitions, merger, joint venture, Collaboration Arrangements, other investments, sales or dispositions of assets, incurrence of indebtedness and issuance of Equity Interests or other securities by the Parent Guarantor or any of its Subsidiaries, in each case, to the extent incurred within twelve (12) months of the completion or abandonment (as applicable) of such transactions and so long as such transactions are not prohibited under the Operative Documents and whether or not consummated, (xiii) charges or losses that are, or could reasonably be expected to be, reimbursed or covered by insurance policies or contractual indemnities and not disputed by the insurer or contractual indemnitor thereunder, in each case so long as such amounts are actually reimbursed to the Parent Guarantor or applicable Subsidiary in cash within two (2) fiscal quarters after the related amount is first added to Consolidated EBITDA pursuant to this clause (xiii) (and if not so reimbursed within two (2) fiscal quarters, such amount shall be deducted from Consolidated EBITDA during the next applicable period), (xiv) acquired in-process research and development expenditures, (xv) unrealized non-cash losses arising from the revaluation of equity securities, and (xvi) Milestone Payments and one-time Upfront Payments, </w:t>
      </w:r>
      <w:r>
        <w:rPr>
          <w:rFonts w:ascii="Arial" w:cs="Arial" w:eastAsia="Arial" w:hAnsi="Arial"/>
          <w:sz w:val="16"/>
          <w:szCs w:val="16"/>
          <w:i w:val="1"/>
          <w:iCs w:val="1"/>
          <w:color w:val="auto"/>
        </w:rPr>
        <w:t>minus</w:t>
      </w:r>
      <w:r>
        <w:rPr>
          <w:rFonts w:ascii="Arial" w:cs="Arial" w:eastAsia="Arial" w:hAnsi="Arial"/>
          <w:sz w:val="16"/>
          <w:szCs w:val="16"/>
          <w:color w:val="auto"/>
        </w:rPr>
        <w:t xml:space="preserve"> (c) to the extent included in Consolidated Net Income, (1) interest income, (2) income tax credits and refunds (to the extent not netted from income tax expense), (3) any cash payments made during such period in respect of items described in clauses (v) or (xi) above subsequent to the fiscal quarter in which the relevant non-cash expenses or losses were incurred, (4) non-cash or extraordinary, unusual or non-recurring income or gains, (5) gains due to fluctuations in currency exchange rates,</w:t>
      </w:r>
    </w:p>
    <w:p>
      <w:pPr>
        <w:spacing w:after="0" w:line="13"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(6) unrealized gains under Swap Agreements, (7) net after-tax gains (less all fees and expenses or charges relating thereto) on any sale or disposition of any asset of the Parent Guarantor or any of its Subsidiaries outside of the ordinary course of business and net after-tax gains from discontinued operations (without reduction on account of any amounts added back in clause (b)(ii) of this definition), (8) any net after-tax gains (less and fees and expenses or charges related thereto) on the retirement or extinguishment of debt and (9) unrealized non-cash gains arising from the revaluation of equity securities, all calculated for the Parent Guarantor and its Subsidiaries in accordance with GAAP on a consolidated basis. For the purposes of calculating Consolidated EBITDA for any period of four consecutive fiscal quarters (each such period, a </w:t>
      </w:r>
      <w:r>
        <w:rPr>
          <w:rFonts w:ascii="Arial" w:cs="Arial" w:eastAsia="Arial" w:hAnsi="Arial"/>
          <w:sz w:val="16"/>
          <w:szCs w:val="16"/>
          <w:i w:val="1"/>
          <w:iCs w:val="1"/>
          <w:color w:val="auto"/>
        </w:rPr>
        <w:t>“Reference Period”</w:t>
      </w:r>
      <w:r>
        <w:rPr>
          <w:rFonts w:ascii="Arial" w:cs="Arial" w:eastAsia="Arial" w:hAnsi="Arial"/>
          <w:sz w:val="16"/>
          <w:szCs w:val="16"/>
          <w:color w:val="auto"/>
        </w:rPr>
        <w:t xml:space="preserve">), (i) if at any time during such Reference Period the Parent Guarantor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Parent Guarantor or any Subsidiary shall have made a Material Acquisition and the Consolidated EBITDA attributable to the property that is the subject of such Material Acquisition is positive for such Reference Period, Consolidated EBITDA for such Reference Period shall be calculated after giving pro forma effect thereto as if such Material Acquisition occurred on the first day of such Reference Period. As used in this definition, </w:t>
      </w:r>
      <w:r>
        <w:rPr>
          <w:rFonts w:ascii="Arial" w:cs="Arial" w:eastAsia="Arial" w:hAnsi="Arial"/>
          <w:sz w:val="16"/>
          <w:szCs w:val="16"/>
          <w:i w:val="1"/>
          <w:iCs w:val="1"/>
          <w:color w:val="auto"/>
        </w:rPr>
        <w:t xml:space="preserve">“Material Acquisition” </w:t>
      </w:r>
      <w:r>
        <w:rPr>
          <w:rFonts w:ascii="Arial" w:cs="Arial" w:eastAsia="Arial" w:hAnsi="Arial"/>
          <w:sz w:val="16"/>
          <w:szCs w:val="16"/>
          <w:color w:val="auto"/>
        </w:rPr>
        <w:t>means any acquisition of property or series of related acquisitions of property by the Parent Guarantor or any Subsidiary that</w:t>
      </w:r>
    </w:p>
    <w:p>
      <w:pPr>
        <w:spacing w:after="0" w:line="7" w:lineRule="exact"/>
        <w:rPr>
          <w:rFonts w:ascii="Arial" w:cs="Arial" w:eastAsia="Arial" w:hAnsi="Arial"/>
          <w:sz w:val="16"/>
          <w:szCs w:val="16"/>
          <w:color w:val="auto"/>
        </w:rPr>
      </w:pPr>
    </w:p>
    <w:p>
      <w:pPr>
        <w:jc w:val="both"/>
        <w:ind w:firstLine="8"/>
        <w:spacing w:after="0" w:line="287" w:lineRule="auto"/>
        <w:tabs>
          <w:tab w:leader="none" w:pos="25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constitutes (i) assets comprising all or substantially all or any significant portion of a business or operating unit of a business, or (ii) all or substantially all of the common stock or other Equity Interests of a Person, and (b) involves the payment of consideration by the Parent Guarantor and its Subsidiaries in excess of $25,000,000 (calculated to include the aggregate amount of Indebtedness assumed in connection with such acquisition); and “Material Disposition” means any sale, transfer or disposition of property of the Parent Guarantor or any Subsidiary or series of related sales, transfers, or dispositions of property of the Parent Guarantor or such Subsidiary (other than any Exclusive License or transactions between or among any of the Parent Guarantor, the Guarantors, or any of their Subsidiaries (or any combination thereof)) that yields gross cash proceeds to the Parent Guarantor or any of its Subsidiaries in excess of $25,000,000 in the aggregate on or prior to the consummation thereof (and which, for the avoidance of doubt, shall not include any royalty, earnout, contingent payment or any other deferred payment that may be payable thereafter).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284" w:lineRule="auto"/>
        <w:rPr>
          <w:sz w:val="20"/>
          <w:szCs w:val="20"/>
          <w:color w:val="auto"/>
        </w:rPr>
      </w:pPr>
      <w:r>
        <w:rPr>
          <w:rFonts w:ascii="Arial" w:cs="Arial" w:eastAsia="Arial" w:hAnsi="Arial"/>
          <w:sz w:val="16"/>
          <w:szCs w:val="16"/>
          <w:i w:val="1"/>
          <w:iCs w:val="1"/>
          <w:color w:val="auto"/>
        </w:rPr>
        <w:t xml:space="preserve">“Consolidated Interest Expense” </w:t>
      </w:r>
      <w:r>
        <w:rPr>
          <w:rFonts w:ascii="Arial" w:cs="Arial" w:eastAsia="Arial" w:hAnsi="Arial"/>
          <w:sz w:val="16"/>
          <w:szCs w:val="16"/>
          <w:color w:val="auto"/>
        </w:rPr>
        <w:t>means, with reference to any period, the excess of (a) the interest expense (including without limitation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under Capital Lease Obligations that is treated as interest in accordance with GAAP) of the Parent Guarantor and its Subsidiaries calculated on a consolidated basis for such period with respect to all outstanding Indebtedness of the Parent Guarantor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minus (b) to the extent included in clause (a) above, (i) non-cash amounts attributable to amortization of financing costs paid in a previous period,</w:t>
      </w:r>
    </w:p>
    <w:p>
      <w:pPr>
        <w:spacing w:after="0" w:line="4" w:lineRule="exact"/>
        <w:rPr>
          <w:sz w:val="20"/>
          <w:szCs w:val="20"/>
          <w:color w:val="auto"/>
        </w:rPr>
      </w:pPr>
    </w:p>
    <w:p>
      <w:pPr>
        <w:jc w:val="both"/>
        <w:ind w:firstLine="8"/>
        <w:spacing w:after="0" w:line="252" w:lineRule="auto"/>
        <w:tabs>
          <w:tab w:leader="none" w:pos="278"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non-cash amounts attributable to amortization of debt discounts or accrued interest payable in kind for such period, (iii) any break funding payment made pursuant to the Bank Credit Agreement and (iv) any interest expense in respect of any Operating Lease, including any interest, yield, rent or break funding payment (or similar obligations) paid or payable pursuant to any Operative Documents. In the event that the Parent Guarantor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“Consolidated Mortgage” </w:t>
      </w:r>
      <w:r>
        <w:rPr>
          <w:rFonts w:ascii="Arial" w:cs="Arial" w:eastAsia="Arial" w:hAnsi="Arial"/>
          <w:sz w:val="18"/>
          <w:szCs w:val="18"/>
          <w:color w:val="auto"/>
        </w:rPr>
        <w:t>means that certain Amended, Restated and Consolidated Mortgage, Assignment of Leases and Security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dated as of March 3, 2017, by Lessor and Lessee in favor of Administrative Agent for the benefit of the Lenders, as amended and restated by that certain Second Amended, Restated and Consolidated Mortgage, Assignment of Leases and Security Agreement, dated as of the Execution Date and effective as of the Restatement Date, by Lessee in favor of Lessor.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“Consolidated Net Income” </w:t>
      </w:r>
      <w:r>
        <w:rPr>
          <w:rFonts w:ascii="Arial" w:cs="Arial" w:eastAsia="Arial" w:hAnsi="Arial"/>
          <w:sz w:val="18"/>
          <w:szCs w:val="18"/>
          <w:color w:val="auto"/>
        </w:rPr>
        <w:t>means, with reference to any period, the net income (or loss) of the Parent Guarantor and its Subsidiaries calculated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GAAP on a consolidated basis (without duplication) for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any income (or loss) of any Person other than the Parent Guarantor or a Subsidiary, but any such income so excluded may be included in such period or any later period to the extent of any dividends, distributions or other payments actually paid in cash (or to the extent converted into cash) in the relevant period to the Parent Guarantor or any wholly-owned Subsidiary of the Parent Guarantor.</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“Consolidated Net Worth” </w:t>
      </w:r>
      <w:r>
        <w:rPr>
          <w:rFonts w:ascii="Arial" w:cs="Arial" w:eastAsia="Arial" w:hAnsi="Arial"/>
          <w:sz w:val="18"/>
          <w:szCs w:val="18"/>
          <w:color w:val="auto"/>
        </w:rPr>
        <w:t>means, as of the date of any determination thereof, the consolidated stockholders’ equity of the Parent Guarantor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Subsidiaries calculated on a consolidated basis in accordance with GAAP.</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“Consolidated Total Indebtedness” </w:t>
      </w:r>
      <w:r>
        <w:rPr>
          <w:rFonts w:ascii="Arial" w:cs="Arial" w:eastAsia="Arial" w:hAnsi="Arial"/>
          <w:sz w:val="17"/>
          <w:szCs w:val="17"/>
          <w:color w:val="auto"/>
        </w:rPr>
        <w:t>means at any date the sum, without duplication, of (a) the aggregate Indebtedness of the Parent Guarantor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its Subsidiaries (other than intercompany Indebtedness among the Parent Guarantor and its Subsidiaries) that is of a type that would be reflected on a consolidated balance sheet of the Parent Guarantor prepared as of such date in accordance with GAAP, (b) the aggregate amount of Indebtedness of the Parent Guarantor and its Subsidiaries constituting drawn and unreimbursed amounts under all letters of credit, bankers acceptances, bank guarantees and letters of guaranty issued by banks or other financial institutions for the account of the Parent Guarantor or any Subsidiary and (c) Indebtedness of the type referred to in clause (a) or (b) above of another Person (other than the Parent Guarantor or any Subsidiary) guaranteed by the Parent Guarantor or any of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Total Indebtedness (i) shall not include obligations in respect of letters of credit, bankers acceptances, bank guarantees, letters of guaranty issued by banks or other financial institutions and similar obligations except to the extent of amounts actually drawn thereunder and not yet cash collateralized or reimbursed by the Parent Guarantor or any Subsidiary and (ii) shall be subject, in all respects, to the limitations and exclusions set forth in the definition of Indebtedness, including as to the calculation of the amount of any limited recourse guarantee under clause (c) above.</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“Control” </w:t>
      </w:r>
      <w:r>
        <w:rPr>
          <w:rFonts w:ascii="Arial" w:cs="Arial" w:eastAsia="Arial" w:hAnsi="Arial"/>
          <w:sz w:val="18"/>
          <w:szCs w:val="18"/>
          <w:color w:val="auto"/>
        </w:rPr>
        <w:t>means the possession, directly or indirectly, of the power to direct or cause the direction of the management or policies of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whether through the ability to exercise voting power, by contract or otherwise. The terms </w:t>
      </w:r>
      <w:r>
        <w:rPr>
          <w:rFonts w:ascii="Arial" w:cs="Arial" w:eastAsia="Arial" w:hAnsi="Arial"/>
          <w:sz w:val="18"/>
          <w:szCs w:val="18"/>
          <w:i w:val="1"/>
          <w:iCs w:val="1"/>
          <w:color w:val="auto"/>
        </w:rPr>
        <w:t>“Controlling”</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“Controlled”</w:t>
      </w:r>
      <w:r>
        <w:rPr>
          <w:rFonts w:ascii="Arial" w:cs="Arial" w:eastAsia="Arial" w:hAnsi="Arial"/>
          <w:sz w:val="18"/>
          <w:szCs w:val="18"/>
          <w:color w:val="auto"/>
        </w:rPr>
        <w:t xml:space="preserve"> have meanings correlative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“Controlled Substances Act” </w:t>
      </w:r>
      <w:r>
        <w:rPr>
          <w:rFonts w:ascii="Arial" w:cs="Arial" w:eastAsia="Arial" w:hAnsi="Arial"/>
          <w:sz w:val="18"/>
          <w:szCs w:val="18"/>
          <w:color w:val="auto"/>
        </w:rPr>
        <w:t>means 21 U.S.C. ch. 13, §801</w:t>
      </w:r>
      <w:r>
        <w:rPr>
          <w:rFonts w:ascii="Arial" w:cs="Arial" w:eastAsia="Arial" w:hAnsi="Arial"/>
          <w:sz w:val="18"/>
          <w:szCs w:val="18"/>
          <w:i w:val="1"/>
          <w:iCs w:val="1"/>
          <w:color w:val="auto"/>
        </w:rPr>
        <w:t xml:space="preserve"> et seq</w:t>
      </w:r>
      <w:r>
        <w:rPr>
          <w:rFonts w:ascii="Arial" w:cs="Arial" w:eastAsia="Arial" w:hAnsi="Arial"/>
          <w:sz w:val="18"/>
          <w:szCs w:val="18"/>
          <w:color w:val="auto"/>
        </w:rPr>
        <w:t>., known as the Controlled Substances Act,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Daily Simple SOFR</w:t>
      </w:r>
      <w:r>
        <w:rPr>
          <w:rFonts w:ascii="Arial" w:cs="Arial" w:eastAsia="Arial" w:hAnsi="Arial"/>
          <w:sz w:val="18"/>
          <w:szCs w:val="18"/>
          <w:color w:val="auto"/>
        </w:rPr>
        <w:t>” with respect to any applicable determination date means the SOFR published on such date on the Federal Reserve Bank of New York’s website (or any successor source selected by the Administrative Agent in its reasonable discretion).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“Debtor Relief Laws” </w:t>
      </w:r>
      <w:r>
        <w:rPr>
          <w:rFonts w:ascii="Arial" w:cs="Arial" w:eastAsia="Arial" w:hAnsi="Arial"/>
          <w:sz w:val="18"/>
          <w:szCs w:val="18"/>
          <w:color w:val="auto"/>
        </w:rPr>
        <w:t>means the Bankruptcy Code, and all other liquidation, conservatorship, bankruptcy, assignment for the benefit of creditors,</w:t>
      </w:r>
      <w:r>
        <w:rPr>
          <w:rFonts w:ascii="Arial" w:cs="Arial" w:eastAsia="Arial" w:hAnsi="Arial"/>
          <w:sz w:val="18"/>
          <w:szCs w:val="18"/>
          <w:i w:val="1"/>
          <w:iCs w:val="1"/>
          <w:color w:val="auto"/>
        </w:rPr>
        <w:t xml:space="preserve"> </w:t>
      </w:r>
      <w:r>
        <w:rPr>
          <w:rFonts w:ascii="Arial" w:cs="Arial" w:eastAsia="Arial" w:hAnsi="Arial"/>
          <w:sz w:val="18"/>
          <w:szCs w:val="18"/>
          <w:color w:val="auto"/>
        </w:rPr>
        <w:t>moratorium, rearrangement, receivership, insolvency, reorganization, or similar debtor relief laws of the United States or other applicable jurisdictions from time to time in effect and affecting the rights of creditors generally.</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“Deed” </w:t>
      </w:r>
      <w:r>
        <w:rPr>
          <w:rFonts w:ascii="Arial" w:cs="Arial" w:eastAsia="Arial" w:hAnsi="Arial"/>
          <w:sz w:val="16"/>
          <w:szCs w:val="16"/>
          <w:color w:val="auto"/>
        </w:rPr>
        <w:t>means the special warranty deed, executed by the Sellers and dated the Original Closing Date, with respect to the Facility and fixtures</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on the Leased Property, sufficient to convey to Lessor good and marketable fee simple title thereto free of all Liens, other than Permitted Liens.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of Default or any condition, occurrence or event which, after notice or lapse of time or both, would, unless cured or</w:t>
      </w:r>
      <w:r>
        <w:rPr>
          <w:rFonts w:ascii="Arial" w:cs="Arial" w:eastAsia="Arial" w:hAnsi="Arial"/>
          <w:sz w:val="18"/>
          <w:szCs w:val="18"/>
          <w:i w:val="1"/>
          <w:iCs w:val="1"/>
          <w:color w:val="auto"/>
        </w:rPr>
        <w:t xml:space="preserve"> </w:t>
      </w:r>
      <w:r>
        <w:rPr>
          <w:rFonts w:ascii="Arial" w:cs="Arial" w:eastAsia="Arial" w:hAnsi="Arial"/>
          <w:sz w:val="18"/>
          <w:szCs w:val="18"/>
          <w:color w:val="auto"/>
        </w:rPr>
        <w:t>waived, constitute an Event of Default.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“Deposit” </w:t>
      </w:r>
      <w:r>
        <w:rPr>
          <w:rFonts w:ascii="Arial" w:cs="Arial" w:eastAsia="Arial" w:hAnsi="Arial"/>
          <w:sz w:val="18"/>
          <w:szCs w:val="18"/>
          <w:color w:val="auto"/>
        </w:rPr>
        <w:t>means $57,000,000, which is the aggregate amount of deposits paid by Parent Guarantor to Sellers pursuant to the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Development Ground Lease</w:t>
      </w:r>
      <w:r>
        <w:rPr>
          <w:rFonts w:ascii="Arial" w:cs="Arial" w:eastAsia="Arial" w:hAnsi="Arial"/>
          <w:sz w:val="18"/>
          <w:szCs w:val="18"/>
          <w:color w:val="auto"/>
        </w:rPr>
        <w:t>” is defined in Section 10.3(a) of the Lease.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“Disclosed Matters” </w:t>
      </w:r>
      <w:r>
        <w:rPr>
          <w:rFonts w:ascii="Arial" w:cs="Arial" w:eastAsia="Arial" w:hAnsi="Arial"/>
          <w:sz w:val="16"/>
          <w:szCs w:val="16"/>
          <w:color w:val="auto"/>
        </w:rPr>
        <w:t>means any event, circumstance, condition or other matter disclosed in the reports and other documents furnished to or filed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SEC by the Parent Guarantor or posted by the Parent Guarantor on http://www.regeneron.com or https://investor.regeneron.com, in any such case, that are publicly available on or prior to the Restatement Date or described on any schedule to the Purchase Agreement or any Operative Document.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“Disinterested Director” </w:t>
      </w:r>
      <w:r>
        <w:rPr>
          <w:rFonts w:ascii="Arial" w:cs="Arial" w:eastAsia="Arial" w:hAnsi="Arial"/>
          <w:sz w:val="18"/>
          <w:szCs w:val="18"/>
          <w:color w:val="auto"/>
        </w:rPr>
        <w:t>means, with respect to any Person and transaction, a member of the board of directors (or similar governing body)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 who does not have any material direct or indirect financial interest in or with respect to such transaction. It is understood and agreed that no such Person shall be deemed to have a material indirect financial interest if such Person would not be deemed to have an “indirect material interest” within the meaning of Item 404(a) of Regulation S-K.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“Disregarded Entity” </w:t>
      </w:r>
      <w:r>
        <w:rPr>
          <w:rFonts w:ascii="Arial" w:cs="Arial" w:eastAsia="Arial" w:hAnsi="Arial"/>
          <w:sz w:val="16"/>
          <w:szCs w:val="16"/>
          <w:color w:val="auto"/>
        </w:rPr>
        <w:t>means any entity treated as disregarded as an entity separate from its owner under Treasury Regulations Section 301.7701-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“Dollars” </w:t>
      </w:r>
      <w:r>
        <w:rPr>
          <w:rFonts w:ascii="Arial" w:cs="Arial" w:eastAsia="Arial" w:hAnsi="Arial"/>
          <w:sz w:val="18"/>
          <w:szCs w:val="18"/>
          <w:color w:val="auto"/>
        </w:rPr>
        <w:t>or</w:t>
      </w:r>
      <w:r>
        <w:rPr>
          <w:rFonts w:ascii="Arial" w:cs="Arial" w:eastAsia="Arial" w:hAnsi="Arial"/>
          <w:sz w:val="18"/>
          <w:szCs w:val="18"/>
          <w:i w:val="1"/>
          <w:iCs w:val="1"/>
          <w:color w:val="auto"/>
        </w:rPr>
        <w:t xml:space="preserve"> “$” </w:t>
      </w:r>
      <w:r>
        <w:rPr>
          <w:rFonts w:ascii="Arial" w:cs="Arial" w:eastAsia="Arial" w:hAnsi="Arial"/>
          <w:sz w:val="18"/>
          <w:szCs w:val="18"/>
          <w:color w:val="auto"/>
        </w:rPr>
        <w:t>refers to lawful money of the United States of America.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“Domestic Foreign Holdco Subsidiary” </w:t>
      </w:r>
      <w:r>
        <w:rPr>
          <w:rFonts w:ascii="Arial" w:cs="Arial" w:eastAsia="Arial" w:hAnsi="Arial"/>
          <w:sz w:val="16"/>
          <w:szCs w:val="16"/>
          <w:color w:val="auto"/>
        </w:rPr>
        <w:t>means a Domestic Subsidiary (a) substantially all of the assets of which consist of the Equity Interests of</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CFCs and, if any, CFC Debt or (b) that is a Disregarded Entity that holds no material assets other than Equity Interests of one or more CFCs and, if any, CFC Debt, in the case of clause (a) above, so long as such Domestic Subsidiary (i) does not conduct any substantial business or activities other than the ownership of such Equity Interests and, if any, CFC Debt (except for immaterial assets and activities reasonably related or ancillary thereto) and</w:t>
      </w:r>
    </w:p>
    <w:p>
      <w:pPr>
        <w:spacing w:after="0" w:line="1" w:lineRule="exact"/>
        <w:rPr>
          <w:sz w:val="20"/>
          <w:szCs w:val="20"/>
          <w:color w:val="auto"/>
        </w:rPr>
      </w:pPr>
    </w:p>
    <w:p>
      <w:pPr>
        <w:jc w:val="both"/>
        <w:ind w:firstLine="8"/>
        <w:spacing w:after="0" w:line="255" w:lineRule="auto"/>
        <w:tabs>
          <w:tab w:leader="none" w:pos="2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does not incur, and is not otherwise liable for, any material Indebtedness or other material liabilities (other than intercompany indebtedness permitted pursuant to Section 9(a)(iii) of the Guaranty and, if such Domestic Subsidiary is a borrower under the Bank Credit Agreement, Indebtedness permitted pursuant to Section 9(a)(xxi) of the Guaranty).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i w:val="1"/>
          <w:iCs w:val="1"/>
          <w:color w:val="auto"/>
        </w:rPr>
        <w:t xml:space="preserve">“Domestic Subsidiary” </w:t>
      </w:r>
      <w:r>
        <w:rPr>
          <w:rFonts w:ascii="Arial" w:cs="Arial" w:eastAsia="Arial" w:hAnsi="Arial"/>
          <w:sz w:val="18"/>
          <w:szCs w:val="18"/>
          <w:color w:val="auto"/>
        </w:rPr>
        <w:t>means a Subsidiary organized under the laws of a jurisdiction located in the United States of America.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“Drug Acquisition” </w:t>
      </w:r>
      <w:r>
        <w:rPr>
          <w:rFonts w:ascii="Arial" w:cs="Arial" w:eastAsia="Arial" w:hAnsi="Arial"/>
          <w:sz w:val="18"/>
          <w:szCs w:val="18"/>
          <w:color w:val="auto"/>
        </w:rPr>
        <w:t>means any acquisition (including any license or any acquisition of any license) solely or primarily of all or any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in respect of one or more drugs or pharmaceutical products, whether in development or on the market (including related intellectual property), but not of Equity Interests in any Person or any operating business unit.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“Early Termination Option” </w:t>
      </w:r>
      <w:r>
        <w:rPr>
          <w:rFonts w:ascii="Arial" w:cs="Arial" w:eastAsia="Arial" w:hAnsi="Arial"/>
          <w:sz w:val="18"/>
          <w:szCs w:val="18"/>
          <w:color w:val="auto"/>
        </w:rPr>
        <w:t>means the Lessee’s option to purchase all, but not less than all, of the Leased Property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Section 18.1 of the Lease.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Electronic Copy</w:t>
      </w:r>
      <w:r>
        <w:rPr>
          <w:rFonts w:ascii="Arial" w:cs="Arial" w:eastAsia="Arial" w:hAnsi="Arial"/>
          <w:sz w:val="18"/>
          <w:szCs w:val="18"/>
          <w:color w:val="auto"/>
        </w:rPr>
        <w:t>” is defined in Section 15.4(a)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Electronic Record</w:t>
      </w:r>
      <w:r>
        <w:rPr>
          <w:rFonts w:ascii="Arial" w:cs="Arial" w:eastAsia="Arial" w:hAnsi="Arial"/>
          <w:sz w:val="18"/>
          <w:szCs w:val="18"/>
          <w:color w:val="auto"/>
        </w:rPr>
        <w:t>” is defined in Section 15.4(a)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Electronic Signature</w:t>
      </w:r>
      <w:r>
        <w:rPr>
          <w:rFonts w:ascii="Arial" w:cs="Arial" w:eastAsia="Arial" w:hAnsi="Arial"/>
          <w:sz w:val="18"/>
          <w:szCs w:val="18"/>
          <w:color w:val="auto"/>
        </w:rPr>
        <w:t>” is defined in Section 15.4(a) of the Participation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“Electronic System” </w:t>
      </w:r>
      <w:r>
        <w:rPr>
          <w:rFonts w:ascii="Arial" w:cs="Arial" w:eastAsia="Arial" w:hAnsi="Arial"/>
          <w:sz w:val="18"/>
          <w:szCs w:val="18"/>
          <w:color w:val="auto"/>
        </w:rPr>
        <w:t>means any electronic system, including e-mail, e-fax, any Approved Electronic Platform and any other Internet or extranet-based site, whether such electronic system is owned, operated or hosted by the Administrative Agent and any of its respective Related Parties or any other Person, providing for access to data protected by passcodes or other security system.</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“Eligible Assignee” </w:t>
      </w:r>
      <w:r>
        <w:rPr>
          <w:rFonts w:ascii="Arial" w:cs="Arial" w:eastAsia="Arial" w:hAnsi="Arial"/>
          <w:sz w:val="17"/>
          <w:szCs w:val="17"/>
          <w:color w:val="auto"/>
        </w:rPr>
        <w:t>means (a) any Participant or Affiliate or Subsidiary of a Participant, (b) any Person that is a lender or Affiliate or Subsidiary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a lender under the Bank Credit Agreement at the time of the proposed assignment pursuant to Section 12.1 of the Participation Agreement, (c) any other commercial bank, in any case of this clause (c), that (i) is approved by the Lessee (such approval not to be unreasonably withheld or delayed) and (ii) either is a bank organized or licensed under the laws of the United States of America or any State thereof or has agreed to provide the information listed in Section 12.3 of the Participation Agreement (to the extent that it may lawfully be a Participant) or (d) any other financial institution, leasing company or “accredited investor” (as defined in Regulation D), in any case of this clause (d), that (i) is approved by the Lessee (such approval not to be unreasonably withheld or delayed), (ii) is primarily engaged in making, purchasing or otherwise investing in commercial loans or lease transactions in the ordinary course of its business and (iii) either is organized or licensed under the laws of the United States of America or any State thereof or has agreed to provide the information listed in Section 12.3 of the Participation Agreement (to the extent that it may lawfully be a Participant);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after the Restatement Date, Lessee’s consent or approval is not required pursuant to clause (a) or (b) or, with respect to clause (c) or (d), during the existence and continuation of an Event of Default and (y) none of Lessee or any of its Affiliates or Subsidiaries shall qualify as an Eligible Assignee;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no event shall an Eligible Assignee be a natural person.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“Environmental Audit” </w:t>
      </w:r>
      <w:r>
        <w:rPr>
          <w:rFonts w:ascii="Arial" w:cs="Arial" w:eastAsia="Arial" w:hAnsi="Arial"/>
          <w:sz w:val="16"/>
          <w:szCs w:val="16"/>
          <w:color w:val="auto"/>
        </w:rPr>
        <w:t>means a Phase I environmental site assessment (the scope and performance of which meets or exceeds ASTM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E1527-13 Standard Practice for Environmental Site Assessments: Phase I Environmental Site Assessment Process or any updates thereto) of the Site and any other environmental assessments, reports or information reasonably requested by Lessor in writing to Lessee promptly prior to the Original Closing Date, including, if recommended or necessitated by the Phase I environmental site assessment, a Phase II environmental site assessment.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“Environmental Claims” </w:t>
      </w:r>
      <w:r>
        <w:rPr>
          <w:rFonts w:ascii="Arial" w:cs="Arial" w:eastAsia="Arial" w:hAnsi="Arial"/>
          <w:sz w:val="18"/>
          <w:szCs w:val="18"/>
          <w:color w:val="auto"/>
        </w:rPr>
        <w:t>is defined in Section 13.7 of the Participation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“Environmental Laws” </w:t>
      </w:r>
      <w:r>
        <w:rPr>
          <w:rFonts w:ascii="Arial" w:cs="Arial" w:eastAsia="Arial" w:hAnsi="Arial"/>
          <w:sz w:val="18"/>
          <w:szCs w:val="18"/>
          <w:color w:val="auto"/>
        </w:rPr>
        <w:t>means any Applicable Law relating to pollution, protection of the environment, natural resources or wildlife,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of human health and safety from or release of Hazardous Materials, including, without limitation, laws relating to (i) the Release or threatened Release of Hazardous Materials and (ii) the manufacture, processing, distribution, use, treatment, storage, disposal, transport or handling of Hazardous Materials.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“Environmental Violation” </w:t>
      </w:r>
      <w:r>
        <w:rPr>
          <w:rFonts w:ascii="Arial" w:cs="Arial" w:eastAsia="Arial" w:hAnsi="Arial"/>
          <w:sz w:val="18"/>
          <w:szCs w:val="18"/>
          <w:color w:val="auto"/>
        </w:rPr>
        <w:t>means, with respect to the Leased Property, any activity, occurrence or condition that violates or results in non-compliance with any Environmental Law.</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“Equipment” </w:t>
      </w:r>
      <w:r>
        <w:rPr>
          <w:rFonts w:ascii="Arial" w:cs="Arial" w:eastAsia="Arial" w:hAnsi="Arial"/>
          <w:sz w:val="16"/>
          <w:szCs w:val="16"/>
          <w:color w:val="auto"/>
        </w:rPr>
        <w:t>means equipment, apparatus, fittings and personal property of every kind and nature whatsoever purchased, leased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by the Lessor using amounts advanced by the Participants pursuant to the Participation Agreement and now or subsequently attached to, contained in or used or usable in any way in connection with any operation or letting of the Leased Property, including, but without limiting the generality of the foregoing, all screens, awnings, storm doors and windows, heating, electrical, switch gear, uninterrupted power supply, and mechanical equipment, lighting, switchboards, plumbing, ventilation, air conditioning and air-cooling apparatus, refrigerating and incinerating equipment, escalators, generators, elevators, loading and unloading equipment and systems, laundry equipment, cleaning systems (including window cleaning apparatus), communications systems (including satellite dishes and antennae), sprinkler systems and other fire prevention and extinguishing apparatus and materials, security systems, motors, engines, machinery, pipes, pumps, tanks, conduits, fittings and fixtures of every kind and description.</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“Equity Interests” </w:t>
      </w:r>
      <w:r>
        <w:rPr>
          <w:rFonts w:ascii="Arial" w:cs="Arial" w:eastAsia="Arial" w:hAnsi="Arial"/>
          <w:sz w:val="18"/>
          <w:szCs w:val="18"/>
          <w:color w:val="auto"/>
        </w:rPr>
        <w:t>means shares of capital stock, partnership interests, membership interests in a limited liability company, beneficial interests in a</w:t>
      </w:r>
      <w:r>
        <w:rPr>
          <w:rFonts w:ascii="Arial" w:cs="Arial" w:eastAsia="Arial" w:hAnsi="Arial"/>
          <w:sz w:val="18"/>
          <w:szCs w:val="18"/>
          <w:i w:val="1"/>
          <w:iCs w:val="1"/>
          <w:color w:val="auto"/>
        </w:rPr>
        <w:t xml:space="preserve"> </w:t>
      </w:r>
      <w:r>
        <w:rPr>
          <w:rFonts w:ascii="Arial" w:cs="Arial" w:eastAsia="Arial" w:hAnsi="Arial"/>
          <w:sz w:val="18"/>
          <w:szCs w:val="18"/>
          <w:color w:val="auto"/>
        </w:rPr>
        <w:t>trust or other equity ownership interests in a Person, and any warrants, options or other similar rights entitling the holder thereof to purchase or acquire any of the foregoing. Notwithstanding the foregoing, (a) Permitted Convertible Notes, (b) Permitted Call Spread Swap Agreements and (c) any Indebtedness that is convertible into Equity Interests and/or cash by reference to the value (howsoever defined or determined) of Equity Interests shall not constitute Equity Interests.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means the Employee Retirement Income Security Act of 1974, as amended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“ERISA Affiliate” </w:t>
      </w:r>
      <w:r>
        <w:rPr>
          <w:rFonts w:ascii="Arial" w:cs="Arial" w:eastAsia="Arial" w:hAnsi="Arial"/>
          <w:sz w:val="18"/>
          <w:szCs w:val="18"/>
          <w:color w:val="auto"/>
        </w:rPr>
        <w:t>means any trade or business (whether or not incorporated) that, together with the Parent Guarantor, is treated as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“ERISA Event” </w:t>
      </w:r>
      <w:r>
        <w:rPr>
          <w:rFonts w:ascii="Arial" w:cs="Arial" w:eastAsia="Arial" w:hAnsi="Arial"/>
          <w:sz w:val="17"/>
          <w:szCs w:val="17"/>
          <w:color w:val="auto"/>
        </w:rPr>
        <w:t>means (a) any “reportable event,” as defined in Section 4043 of ERISA or the regulations issued thereunder with respect to a Plan</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Parent Guarantor or any of its ERISA Affiliates of any liability under Title IV of ERISA with respect to the termination of any Plan; (e) the receipt by the Parent Guarantor or any ERISA Affiliate from the PBGC or a plan administrator of any written notice relating to an intention to terminate any Plan or Plans or to appoint a trustee to administer any Plan; (f) the incurrence by the Parent Guarantor or any of its ERISA Affiliates of any liability with respect to the withdrawal or partial withdrawal of the Parent Guarantor or any of its ERISA Affiliates from any Plan or Multiemployer Plan; or (g) the receipt by the Parent Guarantor or any ERISA Affiliate of any written notice, or the receipt by any Multiemployer Plan from the Parent Guarantor or any ERISA Affiliate of any written notice, concerning the imposition upon the Parent Guarantor or any of its ERISA Affiliates of Withdrawal Liability or a determination that a Multiemployer Plan is, or is expected to be, insolvent or in reorganization, within the meaning of Title IV of ERISA.</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is defined at Section 16.1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“Event of Loss” </w:t>
      </w:r>
      <w:r>
        <w:rPr>
          <w:rFonts w:ascii="Arial" w:cs="Arial" w:eastAsia="Arial" w:hAnsi="Arial"/>
          <w:sz w:val="18"/>
          <w:szCs w:val="18"/>
          <w:color w:val="auto"/>
        </w:rPr>
        <w:t>means any Significant Casualty or Significant Condemnation.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“Excepted Payments” </w:t>
      </w:r>
      <w:r>
        <w:rPr>
          <w:rFonts w:ascii="Arial" w:cs="Arial" w:eastAsia="Arial" w:hAnsi="Arial"/>
          <w:sz w:val="17"/>
          <w:szCs w:val="17"/>
          <w:color w:val="auto"/>
        </w:rPr>
        <w:t>means: (a) all indemnity payments or payments under any guaranty (including indemnity payments made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Article XIII of the Participation Agreement) to which any Participant or any of their respective Affiliates, agents, officers, directors or employees is entitled pursuant to the Operative Documents; (b) any amounts (other than Basic Rent or amounts payable by Lessee pursuant to Section 15.2 of the Lease or Article XVI or XVIII of the Lease) payable under any Operative Document to reimburse the Lessor or any of its Affiliates (including the reasonable expenses of the Lessor or such Affiliates incurred in connection with any such payment) for performing or complying with any of the obligations of the Lessee under and as permitted by any Operative Document; (c) any amount payable to any Participant by any transferee permitted under the Operative Documents of the interest of any Participant as the purchase price of the Participant’s interest (or a portion thereof); (d) any insurance proceeds (or payments with respect to self-insured risks or policy deductibles) under liability policies; (e) any insurance proceeds under policies maintained by the Administrative Agent or any Participant in accordance with Section 13.4 of the Lease; (f) Transaction Expenses or Fees paid or payable to or for the benefit of the Administrative Agent, the Arranger or any Participant; (g) all right, title and interest of the Lessor to the Leased Property or any portion thereof or any other property to the extent any of the foregoing has been released from the Liens of the Security Instruments following the payment of the Purchase Amount or Lease Balance, as applicable; and (h) any payments in respect of interest to the extent attributable to payments referred to in clauses (a) through (g) above.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“Excepted Rights” </w:t>
      </w:r>
      <w:r>
        <w:rPr>
          <w:rFonts w:ascii="Arial" w:cs="Arial" w:eastAsia="Arial" w:hAnsi="Arial"/>
          <w:sz w:val="16"/>
          <w:szCs w:val="16"/>
          <w:color w:val="auto"/>
        </w:rPr>
        <w:t>means the Lessor’s right (a) to receive from Parent Guarantor, Lessee or the Administrative Agent all notices,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reports, filings, opinions of counsel, copies of all documents and all information which the Parent Guarantor and/or Lessee is permitted or required to give or furnish to the </w:t>
      </w:r>
      <w:r>
        <w:rPr>
          <w:rFonts w:ascii="Arial" w:cs="Arial" w:eastAsia="Arial" w:hAnsi="Arial"/>
          <w:sz w:val="16"/>
          <w:szCs w:val="16"/>
          <w:i w:val="1"/>
          <w:iCs w:val="1"/>
          <w:color w:val="auto"/>
        </w:rPr>
        <w:t>“Lessor”</w:t>
      </w:r>
      <w:r>
        <w:rPr>
          <w:rFonts w:ascii="Arial" w:cs="Arial" w:eastAsia="Arial" w:hAnsi="Arial"/>
          <w:sz w:val="16"/>
          <w:szCs w:val="16"/>
          <w:color w:val="auto"/>
        </w:rPr>
        <w:t xml:space="preserve"> pursuant to the Lease or any other Operative Document, (b) to exercise the inspection rights provided for in Section 4.2 of the Lease, (c) to give any demand notice under Section 16.1 of the Lease and to demand payment from the Lessee under the Lease in default in respect thereof and to retain the right to cause the Lessee to take any action and execute and deliver such documents and assurances as the </w:t>
      </w:r>
      <w:r>
        <w:rPr>
          <w:rFonts w:ascii="Arial" w:cs="Arial" w:eastAsia="Arial" w:hAnsi="Arial"/>
          <w:sz w:val="16"/>
          <w:szCs w:val="16"/>
          <w:i w:val="1"/>
          <w:iCs w:val="1"/>
          <w:color w:val="auto"/>
        </w:rPr>
        <w:t>“Lessor”</w:t>
      </w:r>
      <w:r>
        <w:rPr>
          <w:rFonts w:ascii="Arial" w:cs="Arial" w:eastAsia="Arial" w:hAnsi="Arial"/>
          <w:sz w:val="16"/>
          <w:szCs w:val="16"/>
          <w:color w:val="auto"/>
        </w:rPr>
        <w:t xml:space="preserve"> may from time to time reasonably request pursuant to Article XVI of the Lease and (d) Lessor’s rights under Section 15.5 of the Participation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“Excluded Property” </w:t>
      </w:r>
      <w:r>
        <w:rPr>
          <w:rFonts w:ascii="Arial" w:cs="Arial" w:eastAsia="Arial" w:hAnsi="Arial"/>
          <w:sz w:val="16"/>
          <w:szCs w:val="16"/>
          <w:color w:val="auto"/>
        </w:rPr>
        <w:t>means (a) “Reserved Company Assets” and “Excluded Contracts” as such terms are defined in the Purchase Agreement,</w:t>
      </w:r>
    </w:p>
    <w:p>
      <w:pPr>
        <w:spacing w:after="0" w:line="46" w:lineRule="exact"/>
        <w:rPr>
          <w:sz w:val="20"/>
          <w:szCs w:val="20"/>
          <w:color w:val="auto"/>
        </w:rPr>
      </w:pPr>
    </w:p>
    <w:p>
      <w:pPr>
        <w:jc w:val="both"/>
        <w:ind w:firstLine="8"/>
        <w:spacing w:after="0" w:line="281" w:lineRule="auto"/>
        <w:tabs>
          <w:tab w:leader="none" w:pos="281"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computer software, (c) all furniture, furnishings, fixtures, equipment, vehicles, tools, and tangible personal property of every kind and description owned by or leased to (other than by the Lessee) any of the tenants, (d) any other personal property listed on Schedule 1.32 to the Purchase Agreement,</w:t>
      </w:r>
    </w:p>
    <w:p>
      <w:pPr>
        <w:spacing w:after="0" w:line="1" w:lineRule="exact"/>
        <w:rPr>
          <w:rFonts w:ascii="Arial" w:cs="Arial" w:eastAsia="Arial" w:hAnsi="Arial"/>
          <w:sz w:val="16"/>
          <w:szCs w:val="16"/>
          <w:color w:val="auto"/>
        </w:rPr>
      </w:pPr>
    </w:p>
    <w:p>
      <w:pPr>
        <w:jc w:val="both"/>
        <w:ind w:firstLine="8"/>
        <w:spacing w:after="0" w:line="285" w:lineRule="auto"/>
        <w:tabs>
          <w:tab w:leader="none" w:pos="25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Lessee Property, and (f) any lease (other than a sublease of Leased Property), license, contract or agreement to which Lessee is a party or under which Lessee has rights, and any of its rights or interests thereunder, if and to the extent that a security interest (i) is prohibited by or in violation of any Applicable Law, or (ii) is prohibited by or in violation of any term, provision or condition of any such lease, license, contract or agreement or creates a right of termination in favor of any other party thereto other than the Lessee or any of its Subsidiaries (unless such Applicable Law, term, provision or condition would be rendered ineffective with respect to the creation of the security interest under the applicable Operative Documents pursuant to Sections 9-406, 9-407, 9-408 or 9-409 of the UCC (or any successor provision or provisions) of any relevant jurisdiction or any other applicable law (including the Bankruptcy Code) or principles of equity);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such lease, license, contract or agreement would otherwise constitute Collateral but for this clause (f), Collateral shall include (and such security interest shall attach) immediately at such time as the contractual or legal prohibition shall no longer be applicable thereto and to the extent severable, shall attach immediately to any portion of such lease, license, contract or agreement (that would otherwise constitute Collateral but for this clause (f)) not subject to the prohibitions specified in (i) or (ii) above;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exclusions referred to in this clause (f) shall not include any Proceeds of any such lease, license, contract or agreement that would otherwise constitute Collateral but for this clause (f) (to the extent such Proceeds do not otherwise constitute Excluded Property).</w:t>
      </w:r>
    </w:p>
    <w:p>
      <w:pPr>
        <w:spacing w:after="0" w:line="17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“Excluded Subsidiary” </w:t>
      </w:r>
      <w:r>
        <w:rPr>
          <w:rFonts w:ascii="Arial" w:cs="Arial" w:eastAsia="Arial" w:hAnsi="Arial"/>
          <w:sz w:val="16"/>
          <w:szCs w:val="16"/>
          <w:color w:val="auto"/>
        </w:rPr>
        <w:t>means (a) any Domestic Foreign Holdco Subsidiary, (b) any Domestic Subsidiary whose Equity Interests are owned</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by a CFC, (c) any Subsidiary that is prohibited by applicable law or contractual obligations (other than any contractual obligation in favor of the Parent Guarantor or any of its Subsidiaries) existing on the Restatement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consent, approval, license or authorization has been obtained),</w:t>
      </w:r>
    </w:p>
    <w:p>
      <w:pPr>
        <w:spacing w:after="0" w:line="2" w:lineRule="exact"/>
        <w:rPr>
          <w:sz w:val="20"/>
          <w:szCs w:val="20"/>
          <w:color w:val="auto"/>
        </w:rPr>
      </w:pPr>
    </w:p>
    <w:p>
      <w:pPr>
        <w:jc w:val="both"/>
        <w:ind w:firstLine="8"/>
        <w:spacing w:after="0" w:line="281" w:lineRule="auto"/>
        <w:tabs>
          <w:tab w:leader="none" w:pos="26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captive insurance company, (e) any Subsidiary that is a special purpose entity that is or becomes a lessee under the Parcel D Ground Lease or any other ground lease entered into from time to time pursuant to Section 10.3 of the Lease (including, without limitation, Eastside Campus Holdings LLC, a New York limited liability company); provided that, at the applicable time of determination, such Subsidiary is not a borrower or guarantor under the Bank Credit Agreement at such time, and (f) any Domestic Subsidiary that, at the applicable time of determination, (i) does not constitute a Material Subsidiary,</w:t>
      </w:r>
    </w:p>
    <w:p>
      <w:pPr>
        <w:spacing w:after="0" w:line="2" w:lineRule="exact"/>
        <w:rPr>
          <w:rFonts w:ascii="Arial" w:cs="Arial" w:eastAsia="Arial" w:hAnsi="Arial"/>
          <w:sz w:val="16"/>
          <w:szCs w:val="16"/>
          <w:color w:val="auto"/>
        </w:rPr>
      </w:pPr>
    </w:p>
    <w:p>
      <w:pPr>
        <w:ind w:firstLine="8"/>
        <w:spacing w:after="0" w:line="260" w:lineRule="auto"/>
        <w:tabs>
          <w:tab w:leader="none" w:pos="2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is not a borrower or guarantor under the Bank Credit Agreement at such time and (iii) is not required to be a guarantor under the Bank Credit Agreement at such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7"/>
          <w:szCs w:val="17"/>
          <w:i w:val="1"/>
          <w:iCs w:val="1"/>
          <w:color w:val="auto"/>
        </w:rPr>
        <w:t xml:space="preserve">“Exclusive License” </w:t>
      </w:r>
      <w:r>
        <w:rPr>
          <w:rFonts w:ascii="Arial" w:cs="Arial" w:eastAsia="Arial" w:hAnsi="Arial"/>
          <w:sz w:val="17"/>
          <w:szCs w:val="17"/>
          <w:color w:val="auto"/>
        </w:rPr>
        <w:t>means any license to develop and commercialize a drug or other product line of any Person with a term greater than five</w:t>
      </w:r>
    </w:p>
    <w:p>
      <w:pPr>
        <w:spacing w:after="0" w:line="35" w:lineRule="exact"/>
        <w:rPr>
          <w:sz w:val="20"/>
          <w:szCs w:val="20"/>
          <w:color w:val="auto"/>
        </w:rPr>
      </w:pPr>
    </w:p>
    <w:p>
      <w:pPr>
        <w:ind w:left="660" w:right="7620" w:hanging="652"/>
        <w:spacing w:after="0" w:line="557" w:lineRule="auto"/>
        <w:tabs>
          <w:tab w:leader="none" w:pos="26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years and made on an exclusive basis. </w:t>
      </w:r>
      <w:r>
        <w:rPr>
          <w:rFonts w:ascii="Arial" w:cs="Arial" w:eastAsia="Arial" w:hAnsi="Arial"/>
          <w:sz w:val="16"/>
          <w:szCs w:val="16"/>
          <w:i w:val="1"/>
          <w:iCs w:val="1"/>
          <w:color w:val="auto"/>
        </w:rPr>
        <w:t xml:space="preserve">“Execution Date” </w:t>
      </w:r>
      <w:r>
        <w:rPr>
          <w:rFonts w:ascii="Arial" w:cs="Arial" w:eastAsia="Arial" w:hAnsi="Arial"/>
          <w:sz w:val="16"/>
          <w:szCs w:val="16"/>
          <w:color w:val="auto"/>
        </w:rPr>
        <w:t>means March 2, 2022.</w:t>
      </w:r>
      <w:r>
        <w:rPr>
          <w:rFonts w:ascii="Arial" w:cs="Arial" w:eastAsia="Arial" w:hAnsi="Arial"/>
          <w:sz w:val="16"/>
          <w:szCs w:val="16"/>
          <w:i w:val="1"/>
          <w:iCs w:val="1"/>
          <w:color w:val="auto"/>
        </w:rPr>
        <w:t xml:space="preserve"> “Existing Lease” </w:t>
      </w:r>
      <w:r>
        <w:rPr>
          <w:rFonts w:ascii="Arial" w:cs="Arial" w:eastAsia="Arial" w:hAnsi="Arial"/>
          <w:sz w:val="16"/>
          <w:szCs w:val="16"/>
          <w:color w:val="auto"/>
        </w:rPr>
        <w:t>means, collectively:</w:t>
      </w:r>
    </w:p>
    <w:p>
      <w:pPr>
        <w:jc w:val="both"/>
        <w:ind w:left="660" w:firstLine="644"/>
        <w:spacing w:after="0" w:line="268" w:lineRule="auto"/>
        <w:tabs>
          <w:tab w:leader="none" w:pos="173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that certain Lease dated as of December 21, 2006, by and between BMR-Landmark at Eastview LLC and the Parent Guarantor, as amended by that certain First Amendment to Lease dated as of October 24, 2007, that certain Second Amendment to Lease dated as of September 30, 2008, that certain Third Amendment to Lease dated as of April 29, 2009, that certain Fourth Amendment to Lease dated as of December 3, 2009, that certain Fifth Amendment to Lease dated as of February 11, 2010, that certain Sixth Amendment to Lease dated as of June 4, 2010, that certain Seventh Amendment to Lease dated as of December 22, 2010, that certain Eighth Amendment to Lease dated as of August 1, 2011, that certain Ninth Amendment to Lease dated as of September 30, 2011, that certain Tenth Amendment to Lease dated as of October 25, 2012, that certain Eleventh Amendment to Lease dated as of April 3, 2013, that certain Twelfth Amendment to Lease dated as of May 31, 2013, that certain Thirteenth Amendment to Lease dated as of May 31, 2013, that certain Fourteenth Amendment to Lease dated as of October 25, 2013, that certain Fifteenth Amendment to Lease dated as of June 12, 2014, that certain Sixteenth Amendment to Lease dated as of June 30, 2015, that certain Seventeenth Amendment to Lease, dated as of August 10, 2015, that certain Eighteenth Amendment to Lease, dated as of March 3, 2017, and the Omnibus Lease Amendment, as the same may have been further assigned, amended, amended and restated, supplemented or modified from time to time, whereby Parent Guarantor leases certain premises from Lessee at 735, 745, 755, 765, 767 and 777 Old Saw Mill River Road in Tarrytown, New York;</w:t>
      </w:r>
    </w:p>
    <w:p>
      <w:pPr>
        <w:spacing w:after="0" w:line="186" w:lineRule="exact"/>
        <w:rPr>
          <w:rFonts w:ascii="Arial" w:cs="Arial" w:eastAsia="Arial" w:hAnsi="Arial"/>
          <w:sz w:val="17"/>
          <w:szCs w:val="17"/>
          <w:color w:val="auto"/>
        </w:rPr>
      </w:pPr>
    </w:p>
    <w:p>
      <w:pPr>
        <w:jc w:val="both"/>
        <w:ind w:left="660" w:firstLine="644"/>
        <w:spacing w:after="0" w:line="257" w:lineRule="auto"/>
        <w:tabs>
          <w:tab w:leader="none" w:pos="174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that certain Mt. Pleasant Lease dated as of April 3, 2013, by and between BMR-Landmark at Eastview LLC and Parent Guarantor, as amended by that certain First Amendment to Mt. Pleasant Lease dated as of June 30, 2015, that certain Second Amendment to Mt. Pleasant Lease, dated as of March 3, 2017, and the Omnibus Lease Amendment, as the same may have been further assigned, amended, amended and restated, supplemented or modified from time to time, whereby Parent Guarantor leases certain premises from Lessee in the Mt. Pleasant Project known as Building 8 and Building 9 in Tarrytown, New York;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05" w:name="page106"/>
    <w:bookmarkEnd w:id="105"/>
    <w:p>
      <w:pPr>
        <w:jc w:val="both"/>
        <w:ind w:left="660" w:firstLine="644"/>
        <w:spacing w:after="0" w:line="288" w:lineRule="auto"/>
        <w:tabs>
          <w:tab w:leader="none" w:pos="173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that certain Amended and Restated Agreement of Lease dated as of October 28, 2009, by and between BMR-Landmark at Eastview LLC and Progenics Pharmaceuticals, Inc., as amended by that certain First Amendment to Amended and Restated Agreement of Lease dated as of June 1, 2010, that certain Second Amendment to Amended and Restated Agreement of Lease dated as of November 19, 2010, that certain Third Amendment to Amended and Restated Agreement of Lease dated as of January 23, 2012, that certain Letter Agreement dated as of February 6, 2012, that certain Fourth Amendment to Amended and Restated Agreement of Lease dated as of May 30, 2013, as amended by Subordination, Non-Disturbance and Attornment Agreement dated January 27, 2016, that certain Assignment and Assumption Agreement dated as of May 6, 2016 between Progenics Pharmaceuticals, Inc. and Parent Guarantor, that certain Fifth Amendment to Amended and Restated Agreement of Lease dated as of May 6, 2016, that certain Sixth Amendment to Amended and Restated Agreement of Lease dated as of March 3, 2017, and the Omnibus Lease Amendment, as the same may have been further assigned, amended, amended and restated, supplemented or modified from time to time, whereby Parent Guarantor leases certain premises from Lessee at 771 Old Saw Mill River Road, Tarrytown, New York.</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“Expiration Date” </w:t>
      </w:r>
      <w:r>
        <w:rPr>
          <w:rFonts w:ascii="Arial" w:cs="Arial" w:eastAsia="Arial" w:hAnsi="Arial"/>
          <w:sz w:val="18"/>
          <w:szCs w:val="18"/>
          <w:color w:val="auto"/>
        </w:rPr>
        <w:t>means the fifth anniversary of the Restatement Date as such date may be renewed or otherwise extended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4.7 of the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“F.R.S. Board” </w:t>
      </w:r>
      <w:r>
        <w:rPr>
          <w:rFonts w:ascii="Arial" w:cs="Arial" w:eastAsia="Arial" w:hAnsi="Arial"/>
          <w:sz w:val="18"/>
          <w:szCs w:val="18"/>
          <w:color w:val="auto"/>
        </w:rPr>
        <w:t>means the Board of Governors of the Federal Reserve System of the United States of America.</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“Facility” </w:t>
      </w:r>
      <w:r>
        <w:rPr>
          <w:rFonts w:ascii="Arial" w:cs="Arial" w:eastAsia="Arial" w:hAnsi="Arial"/>
          <w:sz w:val="16"/>
          <w:szCs w:val="16"/>
          <w:color w:val="auto"/>
        </w:rPr>
        <w:t>means the office, laboratory and research and development campus commonly known as “Landmark at Eastview” installed on the Site,</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all buildings, structures, fixtures, Equipment and other improvements of every kind related thereto existing at any time and from time to time (including those purchased with amounts advanced by the Participants pursuant to the Participation Agreement) on or under the Site, together with any and all easements, rights of way or use, rights of ingress or egress, privileges, benefits, and Appurtenant Rights, including streets, sidewalks, ways, alleys, vaults and strips of land adjoining, abutting, adjacent, appurtenant or contiguous to the Site, all paving, grading, utility pipes, fencing, conduits and lines, signs, retaining walls, lighting, electrical and drainage structures, parking areas and roadways, all Modifications and other additions to or changes in the Facility at any time, but in any such case, excluding any Excluded Property. Notwithstanding the foregoing, the Facility, Site and Leased Property shall be deemed to exclude that portion of the Facility, Site or Leased Property which is subject to the Parcel D Ground Lease.</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“Fair Market Value” </w:t>
      </w:r>
      <w:r>
        <w:rPr>
          <w:rFonts w:ascii="Arial" w:cs="Arial" w:eastAsia="Arial" w:hAnsi="Arial"/>
          <w:sz w:val="17"/>
          <w:szCs w:val="17"/>
          <w:color w:val="auto"/>
        </w:rPr>
        <w:t>means with respect to the Leased Property or any portion thereof, as of the date of the determination, the amount (which in</w:t>
      </w:r>
      <w:r>
        <w:rPr>
          <w:rFonts w:ascii="Arial" w:cs="Arial" w:eastAsia="Arial" w:hAnsi="Arial"/>
          <w:sz w:val="17"/>
          <w:szCs w:val="17"/>
          <w:i w:val="1"/>
          <w:iCs w:val="1"/>
          <w:color w:val="auto"/>
        </w:rPr>
        <w:t xml:space="preserve"> </w:t>
      </w:r>
      <w:r>
        <w:rPr>
          <w:rFonts w:ascii="Arial" w:cs="Arial" w:eastAsia="Arial" w:hAnsi="Arial"/>
          <w:sz w:val="17"/>
          <w:szCs w:val="17"/>
          <w:color w:val="auto"/>
        </w:rPr>
        <w:t>any event shall not be less than zero) as determined by the Appraiser (or any other independent appraiser chosen by Lessor at the direction of the Administrative Agent and reasonably acceptable to Lessee) that would be paid in an arm’s-length transaction between an informed and willing buyer (other than a buyer currently in possession) and an informed and willing seller, under no compulsion to buy or sell, and neither of which is related to Lessor, Administrative Agent or Lessee or any Affiliate thereof, for the purchase of the Leased Property or such portion thereof, as applicable. Such fair market value shall (a) be calculated assuming that the Leased Property is in the condition and state of repair required to be maintained by the terms of the Lease (unless such fair market value is being determined for purposes evaluating the items described in Section 5.3(d) or Section 13.2 of the Participation Agreement, in which case this assumption shall not be made) and (b) take into account the effect of any sublease of the Leased Property to any Person that is not an Affiliate of Lessee, to the extent such sublease is permitted pursuant to the Lease.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“FATCA” </w:t>
      </w:r>
      <w:r>
        <w:rPr>
          <w:rFonts w:ascii="Arial" w:cs="Arial" w:eastAsia="Arial" w:hAnsi="Arial"/>
          <w:sz w:val="18"/>
          <w:szCs w:val="18"/>
          <w:color w:val="auto"/>
        </w:rPr>
        <w:t>means Sections 1471 through 1474 of the Code, as of the Restatement Date (or any amended or successor version that is substantively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and not materially more onerous to comply with), any current or future regulations or official interpretations thereof and any agreement entered into pursuant to Section 1471(b)(1) of the Code.</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“Federal Funds Effective Rate” </w:t>
      </w:r>
      <w:r>
        <w:rPr>
          <w:rFonts w:ascii="Arial" w:cs="Arial" w:eastAsia="Arial" w:hAnsi="Arial"/>
          <w:sz w:val="16"/>
          <w:szCs w:val="16"/>
          <w:color w:val="auto"/>
        </w:rPr>
        <w:t>means, for any day, the rate per annum equal to the weighted average of the rates on overnight Federal funds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transactions with members of the Federal Reserve System, as published by the Federal Reserve Bank of New York on the Business Day next succeeding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such day is not a Business Day and such rate is not so published for such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the next whole multiple of 1/100 of 1%) charged to Bank of America, N.A. on such day on such transactions as determined by the Administrative Agent;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Federal Funds Effective Rate shall be less than zero, such rate shall be deemed to be zero for purposes of the Operative Documents.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“Fee Letters” </w:t>
      </w:r>
      <w:r>
        <w:rPr>
          <w:rFonts w:ascii="Arial" w:cs="Arial" w:eastAsia="Arial" w:hAnsi="Arial"/>
          <w:sz w:val="18"/>
          <w:szCs w:val="18"/>
          <w:color w:val="auto"/>
        </w:rPr>
        <w:t>means, collectively, the Arranger Fee Letter and the Administrative Agent Fee Letter, and each a “Fee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“Fees” </w:t>
      </w:r>
      <w:r>
        <w:rPr>
          <w:rFonts w:ascii="Arial" w:cs="Arial" w:eastAsia="Arial" w:hAnsi="Arial"/>
          <w:sz w:val="18"/>
          <w:szCs w:val="18"/>
          <w:color w:val="auto"/>
        </w:rPr>
        <w:t>is defined in Section 4.4 of the Participation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“Financial Officer” </w:t>
      </w:r>
      <w:r>
        <w:rPr>
          <w:rFonts w:ascii="Arial" w:cs="Arial" w:eastAsia="Arial" w:hAnsi="Arial"/>
          <w:sz w:val="18"/>
          <w:szCs w:val="18"/>
          <w:color w:val="auto"/>
        </w:rPr>
        <w:t>means the chief financial officer, principal accounting officer, treasurer, assistant treasurer, senior vice president-finance or</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(or, if applicable, deputy controller) of the Lessee (or, as the context may require, a Guarantor).</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“Financials” </w:t>
      </w:r>
      <w:r>
        <w:rPr>
          <w:rFonts w:ascii="Arial" w:cs="Arial" w:eastAsia="Arial" w:hAnsi="Arial"/>
          <w:sz w:val="16"/>
          <w:szCs w:val="16"/>
          <w:color w:val="auto"/>
        </w:rPr>
        <w:t>means the annual or quarterly financial statements of the Parent Guarantor and its consolidated Subsidiaries required to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8(a)(i) or 8(a)(ii) of the Guaranty and accompanying certificates required to be delivered pursuant to Section 8(a)(iii) of the Guaranty.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“FIRPTA” </w:t>
      </w:r>
      <w:r>
        <w:rPr>
          <w:rFonts w:ascii="Arial" w:cs="Arial" w:eastAsia="Arial" w:hAnsi="Arial"/>
          <w:sz w:val="18"/>
          <w:szCs w:val="18"/>
          <w:color w:val="auto"/>
        </w:rPr>
        <w:t>means a certification as to the nonforeign status for federal tax withholding purposes.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“FIRREA” </w:t>
      </w:r>
      <w:r>
        <w:rPr>
          <w:rFonts w:ascii="Arial" w:cs="Arial" w:eastAsia="Arial" w:hAnsi="Arial"/>
          <w:sz w:val="18"/>
          <w:szCs w:val="18"/>
          <w:color w:val="auto"/>
        </w:rPr>
        <w:t>means the Financial Institution Reform, Recovery and Enforcement Act of 1989, as amended, and all regulations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Renewal Term</w:t>
      </w:r>
      <w:r>
        <w:rPr>
          <w:rFonts w:ascii="Arial" w:cs="Arial" w:eastAsia="Arial" w:hAnsi="Arial"/>
          <w:sz w:val="18"/>
          <w:szCs w:val="18"/>
          <w:color w:val="auto"/>
        </w:rPr>
        <w:t>” is defined in Section 2.3 of the 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i w:val="1"/>
          <w:iCs w:val="1"/>
          <w:color w:val="auto"/>
        </w:rPr>
        <w:t xml:space="preserve">“First Restatement Date” </w:t>
      </w:r>
      <w:r>
        <w:rPr>
          <w:rFonts w:ascii="Arial" w:cs="Arial" w:eastAsia="Arial" w:hAnsi="Arial"/>
          <w:sz w:val="18"/>
          <w:szCs w:val="18"/>
          <w:color w:val="auto"/>
        </w:rPr>
        <w:t>means May 2,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“Foreign Subsidiary” </w:t>
      </w:r>
      <w:r>
        <w:rPr>
          <w:rFonts w:ascii="Arial" w:cs="Arial" w:eastAsia="Arial" w:hAnsi="Arial"/>
          <w:sz w:val="18"/>
          <w:szCs w:val="18"/>
          <w:color w:val="auto"/>
        </w:rPr>
        <w:t>means a Subsidiary that is not a Domestic Subsidiary.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“Fund,” “Funded” </w:t>
      </w:r>
      <w:r>
        <w:rPr>
          <w:rFonts w:ascii="Arial" w:cs="Arial" w:eastAsia="Arial" w:hAnsi="Arial"/>
          <w:sz w:val="18"/>
          <w:szCs w:val="18"/>
          <w:color w:val="auto"/>
        </w:rPr>
        <w:t>or</w:t>
      </w:r>
      <w:r>
        <w:rPr>
          <w:rFonts w:ascii="Arial" w:cs="Arial" w:eastAsia="Arial" w:hAnsi="Arial"/>
          <w:sz w:val="18"/>
          <w:szCs w:val="18"/>
          <w:i w:val="1"/>
          <w:iCs w:val="1"/>
          <w:color w:val="auto"/>
        </w:rPr>
        <w:t xml:space="preserve"> “Funding” </w:t>
      </w:r>
      <w:r>
        <w:rPr>
          <w:rFonts w:ascii="Arial" w:cs="Arial" w:eastAsia="Arial" w:hAnsi="Arial"/>
          <w:sz w:val="18"/>
          <w:szCs w:val="18"/>
          <w:color w:val="auto"/>
        </w:rPr>
        <w:t>means (a) the funding, or deemed funding, by a Rent Assignee of its Rent Assignment Contribution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Restatement Date (or, to the extent the context requires, solely with respect to a reference to the Original Participation Agreement and the transactions that occurred on the Original Closing Date, the funding by a Lender of the initial principal under its Note on the Original Closing Date) and/or (b) the Funding by Lessor of the Lessor Amount (as the case may be), in each case, constituting a portion of the Advance as described in Article III of the Participation Agreement.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in the United States, subject to clause (b) of this Appendix 1 to the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“General Indemnitee” </w:t>
      </w:r>
      <w:r>
        <w:rPr>
          <w:rFonts w:ascii="Arial" w:cs="Arial" w:eastAsia="Arial" w:hAnsi="Arial"/>
          <w:sz w:val="17"/>
          <w:szCs w:val="17"/>
          <w:color w:val="auto"/>
        </w:rPr>
        <w:t>or</w:t>
      </w:r>
      <w:r>
        <w:rPr>
          <w:rFonts w:ascii="Arial" w:cs="Arial" w:eastAsia="Arial" w:hAnsi="Arial"/>
          <w:sz w:val="17"/>
          <w:szCs w:val="17"/>
          <w:i w:val="1"/>
          <w:iCs w:val="1"/>
          <w:color w:val="auto"/>
        </w:rPr>
        <w:t xml:space="preserve"> “Tax Indemnitee” </w:t>
      </w:r>
      <w:r>
        <w:rPr>
          <w:rFonts w:ascii="Arial" w:cs="Arial" w:eastAsia="Arial" w:hAnsi="Arial"/>
          <w:sz w:val="17"/>
          <w:szCs w:val="17"/>
          <w:color w:val="auto"/>
        </w:rPr>
        <w:t>means each Participant, the Administrative Agent (in its individual capacity and as agent),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Arranger, any additional, separate co-agent appointed in accordance with the terms of the Participation Agreement, and the respective Affiliates, successors, permitted assigns, permitted transferees, contractors, employees, officers, directors, shareholders, partners, permitted participants (including, without limitation, any assignee or transferee permitted by Article XII of the Participation Agreement), representatives and agents of each of the foregoing Persons;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in no event shall Lessee or any of its Affiliates be a General Indemnitee or Tax Indemnitee.</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“Governmental Action” </w:t>
      </w:r>
      <w:r>
        <w:rPr>
          <w:rFonts w:ascii="Arial" w:cs="Arial" w:eastAsia="Arial" w:hAnsi="Arial"/>
          <w:sz w:val="16"/>
          <w:szCs w:val="16"/>
          <w:color w:val="auto"/>
        </w:rPr>
        <w:t>means all permits, authorizations, registrations, consents, approvals, waivers, exceptions, variances, orders, judgments,</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interpretations, decrees, licenses, exemptions, publications, filings, comfort letters (to the extent any are in effect at the applicable time with respect to the applicable Person or property), no further action letters (to the extent any are in effect at the applicable time with respect to the applicable Person or property), environmental deed restrictions (to the extent any are in effect at the applicable time with respect to the applicable Person or property), notices to and declarations of or with, or required by, any Governmental Authority, or required by any Applicable Laws, and shall include, without limitation, all environmental and operating permits and licenses that are required for the ownership, occupancy, full use and operation of the Leased Property.</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means any federal, any state or other political subdivision thereof or any other entity exercising executive, legislative,</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 regulatory or administrative functions of or pertaining to government.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“Gross Proceeds” </w:t>
      </w:r>
      <w:r>
        <w:rPr>
          <w:rFonts w:ascii="Arial" w:cs="Arial" w:eastAsia="Arial" w:hAnsi="Arial"/>
          <w:sz w:val="18"/>
          <w:szCs w:val="18"/>
          <w:color w:val="auto"/>
        </w:rPr>
        <w:t>is defined in Section 20.1(l)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“Grossed-Up Basis” </w:t>
      </w:r>
      <w:r>
        <w:rPr>
          <w:rFonts w:ascii="Arial" w:cs="Arial" w:eastAsia="Arial" w:hAnsi="Arial"/>
          <w:sz w:val="18"/>
          <w:szCs w:val="18"/>
          <w:color w:val="auto"/>
        </w:rPr>
        <w:t>is defined in Section 13.4(c)(ii) of the Participation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8" w:name="page109"/>
    <w:bookmarkEnd w:id="108"/>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“Guarantee” </w:t>
      </w:r>
      <w:r>
        <w:rPr>
          <w:rFonts w:ascii="Arial" w:cs="Arial" w:eastAsia="Arial" w:hAnsi="Arial"/>
          <w:sz w:val="16"/>
          <w:szCs w:val="16"/>
          <w:color w:val="auto"/>
        </w:rPr>
        <w:t>of or by any Person (the</w:t>
      </w:r>
      <w:r>
        <w:rPr>
          <w:rFonts w:ascii="Arial" w:cs="Arial" w:eastAsia="Arial" w:hAnsi="Arial"/>
          <w:sz w:val="16"/>
          <w:szCs w:val="16"/>
          <w:i w:val="1"/>
          <w:iCs w:val="1"/>
          <w:color w:val="auto"/>
        </w:rPr>
        <w:t xml:space="preserve"> “guarantor”</w:t>
      </w:r>
      <w:r>
        <w:rPr>
          <w:rFonts w:ascii="Arial" w:cs="Arial" w:eastAsia="Arial" w:hAnsi="Arial"/>
          <w:sz w:val="16"/>
          <w:szCs w:val="16"/>
          <w:color w:val="auto"/>
        </w:rPr>
        <w:t>) means any obligation, contingent or otherwise, of the guarantor guaranteeing or having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economic effect of guaranteeing any Indebtedness or other obligation of any 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w:t>
      </w:r>
    </w:p>
    <w:p>
      <w:pPr>
        <w:spacing w:after="0" w:line="2" w:lineRule="exact"/>
        <w:rPr>
          <w:sz w:val="20"/>
          <w:szCs w:val="20"/>
          <w:color w:val="auto"/>
        </w:rPr>
      </w:pPr>
    </w:p>
    <w:p>
      <w:pPr>
        <w:jc w:val="both"/>
        <w:ind w:firstLine="8"/>
        <w:spacing w:after="0" w:line="251" w:lineRule="auto"/>
        <w:tabs>
          <w:tab w:leader="none" w:pos="26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by a bank or other financial institution to support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Parent Guarantor or Lessee in good faith.</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means, individually and collectively, the Parent Guarantor and the Subsidiary Guarantors.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“Guaranty” </w:t>
      </w:r>
      <w:r>
        <w:rPr>
          <w:rFonts w:ascii="Arial" w:cs="Arial" w:eastAsia="Arial" w:hAnsi="Arial"/>
          <w:sz w:val="18"/>
          <w:szCs w:val="18"/>
          <w:color w:val="auto"/>
        </w:rPr>
        <w:t>means that certain Guaranty, dated as of the Original Closing Date (such Guaranty as in effect on the Original Closing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Original Guaranty</w:t>
      </w:r>
      <w:r>
        <w:rPr>
          <w:rFonts w:ascii="Arial" w:cs="Arial" w:eastAsia="Arial" w:hAnsi="Arial"/>
          <w:sz w:val="18"/>
          <w:szCs w:val="18"/>
          <w:color w:val="auto"/>
        </w:rPr>
        <w:t>”), as amended and restated by that certain Amended and Restated Guaranty, dated as of the First Restatement Date, as further amended and restated by that Second Amended and Restated Guaranty dated the Execution Date and effective as of the Restatement Date, by the Parent Guarantor and each Subsidiary Guarantor party thereto from time to time and any other Person required pursuant to Article VI of the Lease in connection with an Affiliate Transferee, including any and all supplements to the foregoing, as the foregoing may be further amended, restated, supplemented or otherwise modified from time to time.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“Hazardous Materials” </w:t>
      </w:r>
      <w:r>
        <w:rPr>
          <w:rFonts w:ascii="Arial" w:cs="Arial" w:eastAsia="Arial" w:hAnsi="Arial"/>
          <w:sz w:val="18"/>
          <w:szCs w:val="18"/>
          <w:color w:val="auto"/>
        </w:rPr>
        <w:t>means all explosive or radioactive substances or wastes and all hazardous or toxic substances, wastes or other pollutants,</w:t>
      </w:r>
      <w:r>
        <w:rPr>
          <w:rFonts w:ascii="Arial" w:cs="Arial" w:eastAsia="Arial" w:hAnsi="Arial"/>
          <w:sz w:val="18"/>
          <w:szCs w:val="18"/>
          <w:i w:val="1"/>
          <w:iCs w:val="1"/>
          <w:color w:val="auto"/>
        </w:rPr>
        <w:t xml:space="preserve"> </w:t>
      </w:r>
      <w:r>
        <w:rPr>
          <w:rFonts w:ascii="Arial" w:cs="Arial" w:eastAsia="Arial" w:hAnsi="Arial"/>
          <w:sz w:val="18"/>
          <w:szCs w:val="18"/>
          <w:color w:val="auto"/>
        </w:rPr>
        <w:t>asbestos or asbestos-containing materials, polychlorinated biphenyls, radon gas, infectious or medical wastes and all other substances or wastes of any nature regulated pursuant to any Environmental Law.</w:t>
      </w:r>
    </w:p>
    <w:p>
      <w:pPr>
        <w:spacing w:after="0" w:line="18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i w:val="1"/>
          <w:iCs w:val="1"/>
          <w:color w:val="auto"/>
        </w:rPr>
        <w:t xml:space="preserve">“Hazardous Substance” </w:t>
      </w:r>
      <w:r>
        <w:rPr>
          <w:rFonts w:ascii="Arial" w:cs="Arial" w:eastAsia="Arial" w:hAnsi="Arial"/>
          <w:sz w:val="18"/>
          <w:szCs w:val="18"/>
          <w:color w:val="auto"/>
        </w:rPr>
        <w:t>means any substance, waste or material that (i) is toxic, explosive, corrosive, flammable, infectious, radioactive,</w:t>
      </w:r>
      <w:r>
        <w:rPr>
          <w:rFonts w:ascii="Arial" w:cs="Arial" w:eastAsia="Arial" w:hAnsi="Arial"/>
          <w:sz w:val="18"/>
          <w:szCs w:val="18"/>
          <w:i w:val="1"/>
          <w:iCs w:val="1"/>
          <w:color w:val="auto"/>
        </w:rPr>
        <w:t xml:space="preserve"> </w:t>
      </w:r>
      <w:r>
        <w:rPr>
          <w:rFonts w:ascii="Arial" w:cs="Arial" w:eastAsia="Arial" w:hAnsi="Arial"/>
          <w:sz w:val="18"/>
          <w:szCs w:val="18"/>
          <w:color w:val="auto"/>
        </w:rPr>
        <w:t>carcinogenic, mutagenic or otherwise hazardous by listing characteristic or definition under any Environmental Law including asbestos, polychlorinated biphenyls, radon gas, petroleum, crude oil or any fraction thereof, petroleum derivatives, by products and other hydrocarbons or (ii) that is or becomes otherwise regulated pursuant to any Environmental Law.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“Highest Lawful Rate” </w:t>
      </w:r>
      <w:r>
        <w:rPr>
          <w:rFonts w:ascii="Arial" w:cs="Arial" w:eastAsia="Arial" w:hAnsi="Arial"/>
          <w:sz w:val="18"/>
          <w:szCs w:val="18"/>
          <w:color w:val="auto"/>
        </w:rPr>
        <w:t>is defined in Section 4.6(b) of the Participation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9" w:name="page110"/>
    <w:bookmarkEnd w:id="109"/>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“Home Depot Ground Lease” </w:t>
      </w:r>
      <w:r>
        <w:rPr>
          <w:rFonts w:ascii="Arial" w:cs="Arial" w:eastAsia="Arial" w:hAnsi="Arial"/>
          <w:sz w:val="18"/>
          <w:szCs w:val="18"/>
          <w:color w:val="auto"/>
        </w:rPr>
        <w:t>means that certain Ground Lease, dated September 7, 2006, by and between Eastview Holdings LLC and Home</w:t>
      </w:r>
      <w:r>
        <w:rPr>
          <w:rFonts w:ascii="Arial" w:cs="Arial" w:eastAsia="Arial" w:hAnsi="Arial"/>
          <w:sz w:val="18"/>
          <w:szCs w:val="18"/>
          <w:i w:val="1"/>
          <w:iCs w:val="1"/>
          <w:color w:val="auto"/>
        </w:rPr>
        <w:t xml:space="preserve"> </w:t>
      </w:r>
      <w:r>
        <w:rPr>
          <w:rFonts w:ascii="Arial" w:cs="Arial" w:eastAsia="Arial" w:hAnsi="Arial"/>
          <w:sz w:val="18"/>
          <w:szCs w:val="18"/>
          <w:color w:val="auto"/>
        </w:rPr>
        <w:t>Depot U.S.A., Inc., as the same may be amended, restated, modified, supplemented, extended or replaced.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“IFRS” </w:t>
      </w:r>
      <w:r>
        <w:rPr>
          <w:rFonts w:ascii="Arial" w:cs="Arial" w:eastAsia="Arial" w:hAnsi="Arial"/>
          <w:sz w:val="18"/>
          <w:szCs w:val="18"/>
          <w:color w:val="auto"/>
        </w:rPr>
        <w:t>means the International Financial Reporting Standards and applicable accounting requirements (as issued by the International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Board and the International Financial Reporting Standards Interpretations Committee and/or adopted by the European Union) or other generally accepted accounting principles applicable to a Person in a particular country.</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“Impositions” </w:t>
      </w:r>
      <w:r>
        <w:rPr>
          <w:rFonts w:ascii="Arial" w:cs="Arial" w:eastAsia="Arial" w:hAnsi="Arial"/>
          <w:sz w:val="16"/>
          <w:szCs w:val="16"/>
          <w:color w:val="auto"/>
        </w:rPr>
        <w:t>means any and all liabilities, losses, expenses and costs of any kind whatsoever for fees, taxes, levies, imposts, duties, charges,</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or withholdings of any nature whatsoever imposed by a Governmental Authority (</w:t>
      </w:r>
      <w:r>
        <w:rPr>
          <w:rFonts w:ascii="Arial" w:cs="Arial" w:eastAsia="Arial" w:hAnsi="Arial"/>
          <w:sz w:val="16"/>
          <w:szCs w:val="16"/>
          <w:i w:val="1"/>
          <w:iCs w:val="1"/>
          <w:color w:val="auto"/>
        </w:rPr>
        <w:t>“Taxes”</w:t>
      </w:r>
      <w:r>
        <w:rPr>
          <w:rFonts w:ascii="Arial" w:cs="Arial" w:eastAsia="Arial" w:hAnsi="Arial"/>
          <w:sz w:val="16"/>
          <w:szCs w:val="16"/>
          <w:color w:val="auto"/>
        </w:rPr>
        <w:t>) (including (i) real property taxes and personal property taxes on any property covered by the Lease that is classified by Governmental Authorities as personal property, and real estate or ad valorem taxes in the nature of property taxes; (ii) sales taxes, use taxes and other similar taxes (including rent taxes and intangibles taxes); (iii) any excise taxes; (iv) real estate transfer taxes, conveyance taxes, mortgage taxes, intangible taxes, stamp taxes and documentary recording taxes and fees; (v) taxes that are or are in the nature of franchise, income, value added, gross receipts, privilege and doing business taxes, license and registration fees; and (vi) assessments on the Site or Facility, including all assessments for public improvements or benefits, whether or not such improvements are commenced or completed within the Term), and in each case all interest, additions to tax and penalties thereon, which at any time may be levied, assessed or imposed by any Federal, state or local authority upon or with respect to (a) any Tax Indemnitee, the Leased Property or any part thereof or interest therein, or the Lessee or any sublessee or user of the Leased Property; (b) the financing, refinancing, demolition, construction, substitution, subleasing, assignment, control, condition, servicing, maintenance, repair, ownership, possession, purchase, rental, lease, activity conducted on, delivery, insuring, use, operation, improvement, transfer, return or other disposition of the Leased Property or any part thereof or interest therein; (c) the Rent Assignment Contribution Amount, Lessor Amount, or other indebtedness with respect to the Leased Property or any part thereof or interest therein or transfer thereof; (d) the rentals, receipts or earnings arising from the Leased Property or any part thereof or interest therein; (e) the Operative Documents or any payment made or accrued pursuant thereto; (f) the income or other proceeds received with respect to the Leased Property or any part thereof or interest therein upon the sale or disposition thereof; (g) any contract relating to the construction, acquisition or delivery of the Facility or any part thereof or interest therein; (h) [reserved]; (i) any transaction contemplated by Section 10.1(f) of the Participation Agreement; or (j) otherwise in connection with the Overall Transaction.</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Notwithstanding anything in the first paragraph of this definition (except as provided in the final paragraph of this definition) the term “Impositions” shall not mean or include:</w:t>
      </w:r>
    </w:p>
    <w:p>
      <w:pPr>
        <w:spacing w:after="0" w:line="170" w:lineRule="exact"/>
        <w:rPr>
          <w:sz w:val="20"/>
          <w:szCs w:val="20"/>
          <w:color w:val="auto"/>
        </w:rPr>
      </w:pPr>
    </w:p>
    <w:p>
      <w:pPr>
        <w:jc w:val="both"/>
        <w:ind w:left="660" w:firstLine="644"/>
        <w:spacing w:after="0" w:line="270" w:lineRule="auto"/>
        <w:tabs>
          <w:tab w:leader="none" w:pos="170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Taxes and impositions imposed upon a Tax Indemnitee (other than Taxes that are, or are in the nature of, sales, use, value added, rental, transfer, property or ad valorem taxes with respect to the Leased Property or any sublease or other transfer thereof) that are imposed by any Governmental Authority and that are based upon or measured by the overall gross or net income or overall gross or net receipts (including, without limitation, any minimum taxes, income or capital gains taxes, or taxes on, measured by, with respect to, or in the nature of capital, net worth, excess profits, items of tax preference, capital stock, franchise, business privilege or doing business taxes or any taxes in the nature of an intangibles tax, an ad valorem tax or property tax imposed on a Participant, Sub-Participant, or any holder of a Lessor Amount, Rent Assignment Contribution or Rent Assignment Interest by reason of owning or holding of a Lessor Amount, Rent Assignment Contribution or Rent Assignment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(i) shall not be interpreted to prevent a payment from being made on an After Tax Basis if such payment is otherwise required to be so made;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0" w:name="page111"/>
    <w:bookmarkEnd w:id="110"/>
    <w:p>
      <w:pPr>
        <w:jc w:val="both"/>
        <w:ind w:left="-460" w:right="20" w:firstLine="644"/>
        <w:spacing w:after="0" w:line="263" w:lineRule="auto"/>
        <w:tabs>
          <w:tab w:leader="none" w:pos="61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Tax or imposition to the extent, but only to such extent, it relates to any act, event or omission that occurs, or relates to a period, after the termination of the Lease (but not any Tax or imposition that relates to any period prior to the termination of the Lease with respect to the Leased Property to which such Tax or Imposition relates;</w:t>
      </w:r>
    </w:p>
    <w:p>
      <w:pPr>
        <w:spacing w:after="0" w:line="183" w:lineRule="exact"/>
        <w:rPr>
          <w:rFonts w:ascii="Arial" w:cs="Arial" w:eastAsia="Arial" w:hAnsi="Arial"/>
          <w:sz w:val="18"/>
          <w:szCs w:val="18"/>
          <w:color w:val="auto"/>
        </w:rPr>
      </w:pPr>
    </w:p>
    <w:p>
      <w:pPr>
        <w:jc w:val="both"/>
        <w:ind w:left="-460" w:firstLine="644"/>
        <w:spacing w:after="0" w:line="301" w:lineRule="auto"/>
        <w:tabs>
          <w:tab w:leader="none" w:pos="63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any Tax or imposition for so long as, but only for so long as, it is being contested in accordance with the provisions of Section 13.4(b) of the Participation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limit the Lessee’s obligation under Section 13.4(b) of the Participation Agreement to advance to such Tax Indemnitee amounts with respect to Taxes or impositions that are being contested in accordance with Section 13.4(b) of the Participation Agreement or any expenses incurred by such Tax Indemnitee in connection with such contest;</w:t>
      </w:r>
    </w:p>
    <w:p>
      <w:pPr>
        <w:spacing w:after="0" w:line="157" w:lineRule="exact"/>
        <w:rPr>
          <w:rFonts w:ascii="Arial" w:cs="Arial" w:eastAsia="Arial" w:hAnsi="Arial"/>
          <w:sz w:val="16"/>
          <w:szCs w:val="16"/>
          <w:color w:val="auto"/>
        </w:rPr>
      </w:pPr>
    </w:p>
    <w:p>
      <w:pPr>
        <w:jc w:val="both"/>
        <w:ind w:left="-460" w:firstLine="644"/>
        <w:spacing w:after="0" w:line="291" w:lineRule="auto"/>
        <w:tabs>
          <w:tab w:leader="none" w:pos="62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Taxes or impositions imposed upon a Tax Indemnitee with respect to any transfer, sale, financing or other disposition by such Tax Indemnitee of any interest in the Leased Property or any part thereof, or any interest therein or any interest or obligation under the Operative Documents or any Lessor Amount, Rent Assignment Contribution or Rent Assignment Interest, or from any sale, assignment, transfer or other disposition of any interest in a Tax Indemnitee or any Affiliate thereof, (other than any transfer in connection with (1) the exercise by the Lessee of its Early Termination Option or any termination option or other purchase of the Leased Property by the Lessee (including the Purchase Option) or the exercise by Lessee of the Sale Option, (2) the occurrence of an Event of Default, (3) a Casualty or Condemnation affecting the Leased Property or (4) any assignment, sublease, modification or addition of or to the Leased Property by the Lessee);</w:t>
      </w:r>
    </w:p>
    <w:p>
      <w:pPr>
        <w:spacing w:after="0" w:line="166" w:lineRule="exact"/>
        <w:rPr>
          <w:rFonts w:ascii="Arial" w:cs="Arial" w:eastAsia="Arial" w:hAnsi="Arial"/>
          <w:sz w:val="16"/>
          <w:szCs w:val="16"/>
          <w:color w:val="auto"/>
        </w:rPr>
      </w:pPr>
    </w:p>
    <w:p>
      <w:pPr>
        <w:jc w:val="both"/>
        <w:ind w:left="-460" w:firstLine="644"/>
        <w:spacing w:after="0" w:line="311" w:lineRule="auto"/>
        <w:tabs>
          <w:tab w:leader="none" w:pos="6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Taxes or impositions imposed on a Tax Indemnitee to the extent such Tax Indemnitee or its Affiliate actually receives the benefit of a credit (or otherwise has a reduction in a liability for Taxes) in respect thereof against Taxes that are not indemnified under the Participation Agreement (but only to the extent such credit is not taken into account in calculating the indemnity payment on an After Tax Basis);</w:t>
      </w:r>
    </w:p>
    <w:p>
      <w:pPr>
        <w:spacing w:after="0" w:line="148" w:lineRule="exact"/>
        <w:rPr>
          <w:rFonts w:ascii="Arial" w:cs="Arial" w:eastAsia="Arial" w:hAnsi="Arial"/>
          <w:sz w:val="16"/>
          <w:szCs w:val="16"/>
          <w:color w:val="auto"/>
        </w:rPr>
      </w:pPr>
    </w:p>
    <w:p>
      <w:pPr>
        <w:ind w:left="-460" w:right="20" w:firstLine="644"/>
        <w:spacing w:after="0" w:line="277" w:lineRule="auto"/>
        <w:tabs>
          <w:tab w:leader="none" w:pos="6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Taxes or impositions imposed against or payable by a Tax Indemnitee resulting from, or that would not have been imposed but for, the gross negligence or willful misconduct of such Tax Indemnitee or its Affiliates;</w:t>
      </w:r>
    </w:p>
    <w:p>
      <w:pPr>
        <w:spacing w:after="0" w:line="3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11" w:name="page112"/>
    <w:bookmarkEnd w:id="111"/>
    <w:p>
      <w:pPr>
        <w:jc w:val="both"/>
        <w:ind w:left="660" w:firstLine="644"/>
        <w:spacing w:after="0" w:line="259" w:lineRule="auto"/>
        <w:tabs>
          <w:tab w:leader="none" w:pos="177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Taxes or impositions imposed on or payable by a Tax Indemnitee to the extent such Taxes or impositions would not have been imposed but for a breach by the Tax Indemnitee or any Affiliate thereof of any representations, warranties or covenants set forth in the Operative Documents (unless such breach is caused by the Lessee’s breach of its representations, warranties or covenants set forth in the Operative Documents);</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80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Taxes or impositions to the extent resulting from such Tax Indemnitee’s failure to comply with the provisions of Section 13.4(b) of the Participation Agreement, which failure precludes the ability to conduct a contest pursuant to Section 13.4(b) of the Participation Agreement (unless such failure is caused by the Lessee’s breach of its obligations under the Operative Documents);</w:t>
      </w:r>
    </w:p>
    <w:p>
      <w:pPr>
        <w:spacing w:after="0" w:line="183" w:lineRule="exact"/>
        <w:rPr>
          <w:rFonts w:ascii="Arial" w:cs="Arial" w:eastAsia="Arial" w:hAnsi="Arial"/>
          <w:sz w:val="18"/>
          <w:szCs w:val="18"/>
          <w:color w:val="auto"/>
        </w:rPr>
      </w:pPr>
    </w:p>
    <w:p>
      <w:pPr>
        <w:ind w:left="660" w:firstLine="644"/>
        <w:spacing w:after="0" w:line="277" w:lineRule="auto"/>
        <w:tabs>
          <w:tab w:leader="none" w:pos="17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Taxes or impositions imposed on or with respect to or payable as a result of activities of a Tax Indemnitee or its Affiliate unrelated to the Overall Transaction; and</w:t>
      </w:r>
    </w:p>
    <w:p>
      <w:pPr>
        <w:spacing w:after="0" w:line="170" w:lineRule="exact"/>
        <w:rPr>
          <w:rFonts w:ascii="Arial" w:cs="Arial" w:eastAsia="Arial" w:hAnsi="Arial"/>
          <w:sz w:val="18"/>
          <w:szCs w:val="18"/>
          <w:color w:val="auto"/>
        </w:rPr>
      </w:pPr>
    </w:p>
    <w:p>
      <w:pPr>
        <w:ind w:left="1720" w:hanging="416"/>
        <w:spacing w:after="0"/>
        <w:tabs>
          <w:tab w:leader="none" w:pos="1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Taxes and impositions described in paragraphs (A)-(G) of Section 13.4(e)(i) of the Participation Agreement.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the foregoing, the exclusions from the definition of “Impositions” set forth in clauses (i), (ii), (iv) and (ix) shall not apply (but the other exclusions shall apply) to any Taxes or any increase in Taxes imposed on a Tax Indemnitee net of any decrease in Taxes realized by such Tax Indemnitee, to the extent that such Tax increase or decrease would not have occurred if on the Restatement Date the Participants had advanced funds to the Lessee in the form of a loan secured by the Leased Property in an amount equal to the Participant Costs funded on the Original Closing Date, with debt service for such loan equal to the Basic Rent payable on each Payment Date and a principal balance at the maturity of such loan in an amount equal to the then outstanding Rent Assignment Contributions and Lessor Amount at the end of the Term of the Lease.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“Improvement” </w:t>
      </w:r>
      <w:r>
        <w:rPr>
          <w:rFonts w:ascii="Arial" w:cs="Arial" w:eastAsia="Arial" w:hAnsi="Arial"/>
          <w:sz w:val="18"/>
          <w:szCs w:val="18"/>
          <w:color w:val="auto"/>
        </w:rPr>
        <w:t>is defined in Section 10.2(b) of the 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2" w:name="page113"/>
    <w:bookmarkEnd w:id="112"/>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of any Person means, without duplication, (a) all obligations of such Person for borrowed money, (b) the principal amount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of such Person evidenced by bonds, debentures, notes or similar instruments, (c) all obligations of such Person under conditional sale or other title retention agreements relating to property acquired by such Person (excluding trade accounts payable incurred in the ordinary course of business),</w:t>
      </w:r>
    </w:p>
    <w:p>
      <w:pPr>
        <w:spacing w:after="0" w:line="2" w:lineRule="exact"/>
        <w:rPr>
          <w:sz w:val="20"/>
          <w:szCs w:val="20"/>
          <w:color w:val="auto"/>
        </w:rPr>
      </w:pPr>
    </w:p>
    <w:p>
      <w:pPr>
        <w:jc w:val="both"/>
        <w:ind w:firstLine="8"/>
        <w:spacing w:after="0" w:line="283" w:lineRule="auto"/>
        <w:tabs>
          <w:tab w:leader="none" w:pos="27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all obligations of such Person in respect of the deferred purchase price of property or services (excluding current accounts payable incurred in the ordinary course of business), (e) all Indebtedness of others secured by (or for which the holder of such Indebtedness has an existing unconditional right to be secured by) any Lien on property owned or acquired by such Person, whether or not the Indebtedness secured thereby has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Person has not assumed or otherwise become liable in respect of such Indebtedness, such obligations shall be deemed to be in an amount equal to the lesser of (i) the amount of such Indebtedness and (ii) fair market value of such property at the time of determination (in the Parent Guarantor’s or Lessee’s good faith estimate), (f) all Guarantees by such Person of Indebtedness of others, (g) all Capital Lease Obligations of such Person, (h) all obligations, contingent or otherwise, of such Person as an account party in respect of letters of credit and letters of guaranty issued by banks or other financial institutions, (i) all obligations, contingent or otherwise, of such Person in respect of bankers’ acceptances and (j) all obligations of such Person under Sale and Leaseback Transactions. The Indebtedness of any Person shall include the Indebtedness of any other entity (including any partnership in which such Person is a general partner) to the extent such Person is liable therefor by operation of law as a result of such Person’s ownership interest in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 (x) such specified amount and (y) the fair market value of such identified asset as determined by such Person in good faith. Notwithstanding anything to the contrary in this definition, the term “Indebtedness” shall not include (i) deferred or prepaid revenue, (ii) purchase price holdbacks to satisfy warranty or other unperformed obligations of a seller, (iii) obligations arising under any Swap Agreement, (iv) contingent or deferred payment obligations (including, without limitation, any purchase price adjustments, indemnification obligations, reimbursement obligations, funding or investment commitments, or earnout, non-compete, consulting, royalty, milestone, option, development or other incentive payment obligations) with respect to (A) any Collaboration Arrangement or (B) any Acquisition, disposition, other acquisition of assets or other business combination, (v) obligations arising under any Permitted Call Spread Swap Agreement, (vi) all obligations of such Person arising under any Tax Abatement Transaction, (vii) the Obligations and Liabilities, and (viii) all obligations of such Person under or relating to any Operating Lease.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“Indemnitee” </w:t>
      </w:r>
      <w:r>
        <w:rPr>
          <w:rFonts w:ascii="Arial" w:cs="Arial" w:eastAsia="Arial" w:hAnsi="Arial"/>
          <w:sz w:val="18"/>
          <w:szCs w:val="18"/>
          <w:color w:val="auto"/>
        </w:rPr>
        <w:t>means any of Lessor, a Participant Indemnitee, a General Indemnitee or a Tax Indemnitee, as applicable.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“Index Debt” </w:t>
      </w:r>
      <w:r>
        <w:rPr>
          <w:rFonts w:ascii="Arial" w:cs="Arial" w:eastAsia="Arial" w:hAnsi="Arial"/>
          <w:sz w:val="18"/>
          <w:szCs w:val="18"/>
          <w:color w:val="auto"/>
        </w:rPr>
        <w:t>means senior, unsecured, long-term indebtedness for borrowed money of the Parent Guarantor that is not guaranteed by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entity or subject to any other credit enhancement.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is defined in Section 15.14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“Insolvency Event” </w:t>
      </w:r>
      <w:r>
        <w:rPr>
          <w:rFonts w:ascii="Arial" w:cs="Arial" w:eastAsia="Arial" w:hAnsi="Arial"/>
          <w:sz w:val="16"/>
          <w:szCs w:val="16"/>
          <w:color w:val="auto"/>
        </w:rPr>
        <w:t>means any Event of Default described in Section 16.1(h) or (i) of the Lease with respect to the Lessee or the Parent Guarantor.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“Inspecting Parties” </w:t>
      </w:r>
      <w:r>
        <w:rPr>
          <w:rFonts w:ascii="Arial" w:cs="Arial" w:eastAsia="Arial" w:hAnsi="Arial"/>
          <w:sz w:val="18"/>
          <w:szCs w:val="18"/>
          <w:color w:val="auto"/>
        </w:rPr>
        <w:t>is defined in Section 4.2(a)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“Insurance Consultant” </w:t>
      </w:r>
      <w:r>
        <w:rPr>
          <w:rFonts w:ascii="Arial" w:cs="Arial" w:eastAsia="Arial" w:hAnsi="Arial"/>
          <w:sz w:val="18"/>
          <w:szCs w:val="18"/>
          <w:color w:val="auto"/>
        </w:rPr>
        <w:t>means A.J. Gallagher &amp; Co. or any successor named by Lessor.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“Insurance Requirements” </w:t>
      </w:r>
      <w:r>
        <w:rPr>
          <w:rFonts w:ascii="Arial" w:cs="Arial" w:eastAsia="Arial" w:hAnsi="Arial"/>
          <w:sz w:val="18"/>
          <w:szCs w:val="18"/>
          <w:color w:val="auto"/>
        </w:rPr>
        <w:t>means all terms and conditions of any insurance policy required by Section 13.1 and Section 13.2 of the Lease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by the Lessee.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“Interest Period” </w:t>
      </w:r>
      <w:r>
        <w:rPr>
          <w:rFonts w:ascii="Arial" w:cs="Arial" w:eastAsia="Arial" w:hAnsi="Arial"/>
          <w:sz w:val="18"/>
          <w:szCs w:val="18"/>
          <w:color w:val="auto"/>
        </w:rPr>
        <w:t>means the period commencing on (and including) the Original Closing Date and ending on (but excluding) the next succeeding</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Date, and thereafter each period commencing on (and including) a Payment Date and ending on (but excluding) the next succeeding Payment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“Investment Company Act” </w:t>
      </w:r>
      <w:r>
        <w:rPr>
          <w:rFonts w:ascii="Arial" w:cs="Arial" w:eastAsia="Arial" w:hAnsi="Arial"/>
          <w:sz w:val="18"/>
          <w:szCs w:val="18"/>
          <w:color w:val="auto"/>
        </w:rPr>
        <w:t>means the Investment Company Act of 1940,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3" w:name="page114"/>
    <w:bookmarkEnd w:id="113"/>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an issuer rating for the Parent Guarantor of BBB- (or higher) from S&amp;P or Baa3 (or higher) from Moody’s. For purposes of this definition, (i) if at any time there is a split in such ratings between the issuer ratings established or deemed to have been established by Moody’s and S&amp;P for the Parent Guarantor and (x) the ratings differential is one level, the higher rating will apply and (y) the ratings differential is two levels or more, the level one level lower than the higher rating will apply, (ii) if only one of S&amp;P and Moody’s shall have in effect an issuer rating, the ratings level shall be determined by reference to the available rating, (iii) if the issuer ratings established or deemed to have been established by Moody’s and S&amp;P for the Parent Guarantor shall be changed (other than as a result of a change in the rating system of Moody’s or S&amp;P), such change shall be effective as of the date on which it is first announced by the applicable rating agency, irrespective of when notice of such change shall have been furnished by the Parent Guarantor to the Administrative Agent, and (iv) if the rating system of Moody’s or S&amp;P shall change, or if either such rating agency shall cease to be in the business of rating corporate debt obligations, the Lessee and the Participants shall negotiate in good faith to amend this definition to reflect such changed rating system or the unavailability of ratings from such rating agency and, pending the effectiveness of any such amendment, the ratings level shall be determined by reference to the issuer rating most recently in effect prior to such change or cessation.</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“Lease” </w:t>
      </w:r>
      <w:r>
        <w:rPr>
          <w:rFonts w:ascii="Arial" w:cs="Arial" w:eastAsia="Arial" w:hAnsi="Arial"/>
          <w:sz w:val="18"/>
          <w:szCs w:val="18"/>
          <w:color w:val="auto"/>
        </w:rPr>
        <w:t>means the Lease and Remedies Agreement, dated as of the Original Closing Date, as amended and restated by that certain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Lease and Remedies Agreement, dated as of the First Restatement Date, as further amended and restated by that Second Amended and Restated Lease and Remedies Agreement dated the Execution Date and effective as of the Restatement Date, between the Lessor and the Lessee, as the foregoing may be further amended, restated, supplemented or modified from time to time.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“Lease Balance” </w:t>
      </w:r>
      <w:r>
        <w:rPr>
          <w:rFonts w:ascii="Arial" w:cs="Arial" w:eastAsia="Arial" w:hAnsi="Arial"/>
          <w:sz w:val="18"/>
          <w:szCs w:val="18"/>
          <w:color w:val="auto"/>
        </w:rPr>
        <w:t>means, as of any date of determination, an amount equal to the sum, without duplication, of the Rent Assignment Contribution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with respect to each Rent Assignee and the Lessor Balance.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“Lease Renewal”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“Leased Property” </w:t>
      </w:r>
      <w:r>
        <w:rPr>
          <w:rFonts w:ascii="Arial" w:cs="Arial" w:eastAsia="Arial" w:hAnsi="Arial"/>
          <w:sz w:val="18"/>
          <w:szCs w:val="18"/>
          <w:color w:val="auto"/>
        </w:rPr>
        <w:t>means, collectively, (a) the Facility, (b) the Site, and (c) all other rights relating to the Site and/or the Facility conveyed to</w:t>
      </w:r>
      <w:r>
        <w:rPr>
          <w:rFonts w:ascii="Arial" w:cs="Arial" w:eastAsia="Arial" w:hAnsi="Arial"/>
          <w:sz w:val="18"/>
          <w:szCs w:val="18"/>
          <w:i w:val="1"/>
          <w:iCs w:val="1"/>
          <w:color w:val="auto"/>
        </w:rPr>
        <w:t xml:space="preserve"> </w:t>
      </w:r>
      <w:r>
        <w:rPr>
          <w:rFonts w:ascii="Arial" w:cs="Arial" w:eastAsia="Arial" w:hAnsi="Arial"/>
          <w:sz w:val="18"/>
          <w:szCs w:val="18"/>
          <w:color w:val="auto"/>
        </w:rPr>
        <w:t>Lessor pursuant to that certain Bill of Sale from the Sellers dated as of March 3, 2017, but, in any such case, excluding Excluded Property. Notwithstanding the foregoing, the Facility, Site and Leased Property shall be deemed to exclude that portion of the Facility, Site or Leased Property which is subject to the Parcel D Ground Lease.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“Leased Property Records” </w:t>
      </w:r>
      <w:r>
        <w:rPr>
          <w:rFonts w:ascii="Arial" w:cs="Arial" w:eastAsia="Arial" w:hAnsi="Arial"/>
          <w:sz w:val="18"/>
          <w:szCs w:val="18"/>
          <w:color w:val="auto"/>
        </w:rPr>
        <w:t>means those maintenance and other records relating to the maintenance and operation of the Leased Property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of Lessee.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“Lenders” </w:t>
      </w:r>
      <w:r>
        <w:rPr>
          <w:rFonts w:ascii="Arial" w:cs="Arial" w:eastAsia="Arial" w:hAnsi="Arial"/>
          <w:sz w:val="18"/>
          <w:szCs w:val="18"/>
          <w:color w:val="auto"/>
        </w:rPr>
        <w:t>means, collectively, each of the financial institutions party to the Previously Existing Participation Agreement from time to time as a</w:t>
      </w:r>
      <w:r>
        <w:rPr>
          <w:rFonts w:ascii="Arial" w:cs="Arial" w:eastAsia="Arial" w:hAnsi="Arial"/>
          <w:sz w:val="18"/>
          <w:szCs w:val="18"/>
          <w:i w:val="1"/>
          <w:iCs w:val="1"/>
          <w:color w:val="auto"/>
        </w:rPr>
        <w:t xml:space="preserve"> </w:t>
      </w:r>
      <w:r>
        <w:rPr>
          <w:rFonts w:ascii="Arial" w:cs="Arial" w:eastAsia="Arial" w:hAnsi="Arial"/>
          <w:sz w:val="18"/>
          <w:szCs w:val="18"/>
          <w:color w:val="auto"/>
        </w:rPr>
        <w:t>Lender prior to the Restatement Date.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means Old Saw Mill Holdings LLC, a New York limited liability company, together with its successors and permitted assigns, in its</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as Lessee under the Lease.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4" w:name="page115"/>
    <w:bookmarkEnd w:id="114"/>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“Lessee Communications” </w:t>
      </w:r>
      <w:r>
        <w:rPr>
          <w:rFonts w:ascii="Arial" w:cs="Arial" w:eastAsia="Arial" w:hAnsi="Arial"/>
          <w:sz w:val="18"/>
          <w:szCs w:val="18"/>
          <w:color w:val="auto"/>
        </w:rPr>
        <w:t>means, collectively, any notice, demand, communication, information, document or other material provided by or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Lessee or any Guarantor pursuant to any Operative Document or the transactions contemplated therein which is distributed by the Administrative Agent or any Participant by means of electronic communications, including through an Electronic System.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“Lessee Property” </w:t>
      </w:r>
      <w:r>
        <w:rPr>
          <w:rFonts w:ascii="Arial" w:cs="Arial" w:eastAsia="Arial" w:hAnsi="Arial"/>
          <w:sz w:val="18"/>
          <w:szCs w:val="18"/>
          <w:color w:val="auto"/>
        </w:rPr>
        <w:t>is defined in Section 10.2(d)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means BA Leasing BSC, LLC, a Delaware limited liability company, as Lessor under the Lease.</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“Lessor Amount” </w:t>
      </w:r>
      <w:r>
        <w:rPr>
          <w:rFonts w:ascii="Arial" w:cs="Arial" w:eastAsia="Arial" w:hAnsi="Arial"/>
          <w:sz w:val="16"/>
          <w:szCs w:val="16"/>
          <w:color w:val="auto"/>
        </w:rPr>
        <w:t>means, as of any date of determination, the aggregate amount of the Advance made by Lessor from its Lessor Commitment</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3.1 of the Original Participation Agreement, net of any distributions (other than distributions of Yield) with respect thereto.</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“Lessor Balance” </w:t>
      </w:r>
      <w:r>
        <w:rPr>
          <w:rFonts w:ascii="Arial" w:cs="Arial" w:eastAsia="Arial" w:hAnsi="Arial"/>
          <w:sz w:val="18"/>
          <w:szCs w:val="18"/>
          <w:color w:val="auto"/>
        </w:rPr>
        <w:t>means, as of any date of determination, an amount equal to the sum of the outstanding Lessor Amount net of any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distributions of Yield) with respect thereto, together with all accrued and unpaid Yield thereon.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“Lessor Commitment” </w:t>
      </w:r>
      <w:r>
        <w:rPr>
          <w:rFonts w:ascii="Arial" w:cs="Arial" w:eastAsia="Arial" w:hAnsi="Arial"/>
          <w:sz w:val="18"/>
          <w:szCs w:val="18"/>
          <w:color w:val="auto"/>
        </w:rPr>
        <w:t>means the commitment of the Lessor to (a) make available the Lessor Commitment Amount on the Original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or (b) extend the maturity date, effective as of the Restatement Date, of the Lessor Amount in an amount equal to the Lessor Commitment Amount, as the context may require.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“Lessor Commitment Amount” </w:t>
      </w:r>
      <w:r>
        <w:rPr>
          <w:rFonts w:ascii="Arial" w:cs="Arial" w:eastAsia="Arial" w:hAnsi="Arial"/>
          <w:sz w:val="18"/>
          <w:szCs w:val="18"/>
          <w:color w:val="auto"/>
        </w:rPr>
        <w:t>means the aggregate principal amount set forth on Schedule I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“Lessor Documents” </w:t>
      </w:r>
      <w:r>
        <w:rPr>
          <w:rFonts w:ascii="Arial" w:cs="Arial" w:eastAsia="Arial" w:hAnsi="Arial"/>
          <w:sz w:val="18"/>
          <w:szCs w:val="18"/>
          <w:color w:val="auto"/>
        </w:rPr>
        <w:t>means the Operative Documents to which Lessor is a party or is otherwise bound.</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“Lessor Lien” </w:t>
      </w:r>
      <w:r>
        <w:rPr>
          <w:rFonts w:ascii="Arial" w:cs="Arial" w:eastAsia="Arial" w:hAnsi="Arial"/>
          <w:sz w:val="16"/>
          <w:szCs w:val="16"/>
          <w:color w:val="auto"/>
        </w:rPr>
        <w:t>means any Lien, true lease or sublease or disposition or other transfer of title to or any interest in any of the Leased Property,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or rights in the Operative Documents arising as a result of (a) any claim against the Lessor, Administrative Agent or any Participant not resulting from the Overall Transaction or otherwise contemplated by the Operative Documents, (b) any act or omission of the Lessor, Administrative Agent or any Participant which is not required or permitted by the Operative Documents or is in violation of any of the terms of the Operative Documents, (c) any claim against Lessor, Administrative Agent or any Participant with respect to Taxes or Transaction Expenses against which Lessee is not required to indemnify the Lessor, Administrative Agent or any Participant, in its individual capacity, pursuant to Article XIII of the Participation Agreement, (d) any claim against the Lessor, Administrative Agent or any Participant arising out of any transfer by the Lessor or the Administrative Agent of all or any portion of the interest of the Lessor or the Administrative Agent in the Leased Property, the other Collateral or the Operative Documents other than the transfer of title to or possession of the Leased Property or other Collateral by the Lessor pursuant to and in accordance with the Operative Documents, including pursuant to the exercise of remedies, or (e) any claim against any Participant arising out of any transfer by such Participant of any Rent Assignment Contribution or Lessor Amount, or any interest therein, other than in accordance with the Participation Agreement and, in the case of a transfer of any Rent Assignment Contribution, also in accordance with the Rent Assignment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is defined in Section 1 of the Guaranty.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“Lien” </w:t>
      </w:r>
      <w:r>
        <w:rPr>
          <w:rFonts w:ascii="Arial" w:cs="Arial" w:eastAsia="Arial" w:hAnsi="Arial"/>
          <w:sz w:val="16"/>
          <w:szCs w:val="16"/>
          <w:color w:val="auto"/>
        </w:rPr>
        <w:t>means, with respect to any asset, (a) any mortgage, deed of trust, lien, pledge, hypothecation, encumbrance, charge or security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on or of such asset and (b) the interest of a vendor or a lessor under any conditional sale agreement, capital lease, ground lease, master lease or title retention agreement (or any financing lease having substantially the same economic effect as any of the foregoing) relating to such asset.</w:t>
      </w:r>
    </w:p>
    <w:p>
      <w:pPr>
        <w:spacing w:after="0" w:line="1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“Loan Agreement” </w:t>
      </w:r>
      <w:r>
        <w:rPr>
          <w:rFonts w:ascii="Arial" w:cs="Arial" w:eastAsia="Arial" w:hAnsi="Arial"/>
          <w:sz w:val="17"/>
          <w:szCs w:val="17"/>
          <w:color w:val="auto"/>
        </w:rPr>
        <w:t>means the Loan Agreement dated as of March 3, 2017, between Lessor, as Borrower thereunder, Administrative Agent,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Lenders, as amended, restated, supplemented or modified from time to time prior to the termination thereof on the Restatement Date.</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“Loan Balance” </w:t>
      </w:r>
      <w:r>
        <w:rPr>
          <w:rFonts w:ascii="Arial" w:cs="Arial" w:eastAsia="Arial" w:hAnsi="Arial"/>
          <w:sz w:val="18"/>
          <w:szCs w:val="18"/>
          <w:color w:val="auto"/>
        </w:rPr>
        <w:t>means, with respect to any Lender, as of any time of determination prior to the conversion of the Loans on the Restatement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Participation Agreement, the aggregate principal amount of Loans made by such Lender net of any distributions (other than distributions of Interest under and as defined in the Previously Existing Participation Agreement) with respect thereto (together with all accrued and unpaid Interest under and as defined in the Previously Existing Participation Agreement).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“Loan Commitment” </w:t>
      </w:r>
      <w:r>
        <w:rPr>
          <w:rFonts w:ascii="Arial" w:cs="Arial" w:eastAsia="Arial" w:hAnsi="Arial"/>
          <w:sz w:val="18"/>
          <w:szCs w:val="18"/>
          <w:color w:val="auto"/>
        </w:rPr>
        <w:t>means the commitments of the Lenders to make Loans to the Borrower (as defined in the Loan Agreement) on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in an aggregate principal amount set forth on Schedule II to the Original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“Loan Documents” </w:t>
      </w:r>
      <w:r>
        <w:rPr>
          <w:rFonts w:ascii="Arial" w:cs="Arial" w:eastAsia="Arial" w:hAnsi="Arial"/>
          <w:sz w:val="17"/>
          <w:szCs w:val="17"/>
          <w:color w:val="auto"/>
        </w:rPr>
        <w:t>means the Loan Agreement and the Notes prior to the termination or cancellation thereof on the Restatement Date.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means, prior to the conversion thereof on the Restatement Date pursuant to the Participation Agreement, the Loans made by each Lender</w:t>
      </w:r>
      <w:r>
        <w:rPr>
          <w:rFonts w:ascii="Arial" w:cs="Arial" w:eastAsia="Arial" w:hAnsi="Arial"/>
          <w:sz w:val="18"/>
          <w:szCs w:val="18"/>
          <w:i w:val="1"/>
          <w:iCs w:val="1"/>
          <w:color w:val="auto"/>
        </w:rPr>
        <w:t xml:space="preserve"> </w:t>
      </w:r>
      <w:r>
        <w:rPr>
          <w:rFonts w:ascii="Arial" w:cs="Arial" w:eastAsia="Arial" w:hAnsi="Arial"/>
          <w:sz w:val="18"/>
          <w:szCs w:val="18"/>
          <w:color w:val="auto"/>
        </w:rPr>
        <w:t>under and pursuant to Article II of the Loan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“Material Acquisition” </w:t>
      </w:r>
      <w:r>
        <w:rPr>
          <w:rFonts w:ascii="Arial" w:cs="Arial" w:eastAsia="Arial" w:hAnsi="Arial"/>
          <w:sz w:val="18"/>
          <w:szCs w:val="18"/>
          <w:color w:val="auto"/>
        </w:rPr>
        <w:t>is defined in the definition of Consolidated EBITDA.</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“Material Adverse Effect” </w:t>
      </w:r>
      <w:r>
        <w:rPr>
          <w:rFonts w:ascii="Arial" w:cs="Arial" w:eastAsia="Arial" w:hAnsi="Arial"/>
          <w:sz w:val="16"/>
          <w:szCs w:val="16"/>
          <w:color w:val="auto"/>
        </w:rPr>
        <w:t>means a material adverse effect on (a) the business, results of operations or financial condition of Parent Guarantor and</w:t>
      </w:r>
      <w:r>
        <w:rPr>
          <w:rFonts w:ascii="Arial" w:cs="Arial" w:eastAsia="Arial" w:hAnsi="Arial"/>
          <w:sz w:val="16"/>
          <w:szCs w:val="16"/>
          <w:i w:val="1"/>
          <w:iCs w:val="1"/>
          <w:color w:val="auto"/>
        </w:rPr>
        <w:t xml:space="preserve"> </w:t>
      </w:r>
      <w:r>
        <w:rPr>
          <w:rFonts w:ascii="Arial" w:cs="Arial" w:eastAsia="Arial" w:hAnsi="Arial"/>
          <w:sz w:val="16"/>
          <w:szCs w:val="16"/>
          <w:color w:val="auto"/>
        </w:rPr>
        <w:t>its Subsidiaries taken as a whole, (b) the ability of (i) Lessee to perform its payment obligations under the Operative Documents (taken as a whole) or</w:t>
      </w:r>
    </w:p>
    <w:p>
      <w:pPr>
        <w:jc w:val="both"/>
        <w:ind w:firstLine="8"/>
        <w:spacing w:after="0" w:line="253" w:lineRule="auto"/>
        <w:tabs>
          <w:tab w:leader="none" w:pos="28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Lessee and the Guarantors, taken as a whole, to perform their payment obligations under the Operative Documents (taken as a whole), (c) the material rights or remedies of the Administrative Agent and the Participants under the Operative Documents (taken as a whole), (d) the rights or interests of Administrative Agent, Lessor or the Rent Assignees in the Leased Property (taken as a whole) or (e) the validity or priority of the Liens on the Collateral (taken as a whole).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6" w:name="page117"/>
    <w:bookmarkEnd w:id="116"/>
    <w:p>
      <w:pPr>
        <w:ind w:left="660"/>
        <w:spacing w:after="0"/>
        <w:rPr>
          <w:sz w:val="20"/>
          <w:szCs w:val="20"/>
          <w:color w:val="auto"/>
        </w:rPr>
      </w:pPr>
      <w:r>
        <w:rPr>
          <w:rFonts w:ascii="Arial" w:cs="Arial" w:eastAsia="Arial" w:hAnsi="Arial"/>
          <w:sz w:val="18"/>
          <w:szCs w:val="18"/>
          <w:i w:val="1"/>
          <w:iCs w:val="1"/>
          <w:color w:val="auto"/>
        </w:rPr>
        <w:t xml:space="preserve">“Material Disposition” </w:t>
      </w:r>
      <w:r>
        <w:rPr>
          <w:rFonts w:ascii="Arial" w:cs="Arial" w:eastAsia="Arial" w:hAnsi="Arial"/>
          <w:sz w:val="18"/>
          <w:szCs w:val="18"/>
          <w:color w:val="auto"/>
        </w:rPr>
        <w:t>is defined in the definition of Consolidated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“Material Domestic Subsidiary” </w:t>
      </w:r>
      <w:r>
        <w:rPr>
          <w:rFonts w:ascii="Arial" w:cs="Arial" w:eastAsia="Arial" w:hAnsi="Arial"/>
          <w:sz w:val="18"/>
          <w:szCs w:val="18"/>
          <w:color w:val="auto"/>
        </w:rPr>
        <w:t>means each Material Subsidiary that is a Domestic Subsidiary and not an Excluded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“Material Environmental Violation” </w:t>
      </w:r>
      <w:r>
        <w:rPr>
          <w:rFonts w:ascii="Arial" w:cs="Arial" w:eastAsia="Arial" w:hAnsi="Arial"/>
          <w:sz w:val="18"/>
          <w:szCs w:val="18"/>
          <w:color w:val="auto"/>
        </w:rPr>
        <w:t>is defined in Section 14.3 of the Lease.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“Material Indebtedness” </w:t>
      </w:r>
      <w:r>
        <w:rPr>
          <w:rFonts w:ascii="Arial" w:cs="Arial" w:eastAsia="Arial" w:hAnsi="Arial"/>
          <w:sz w:val="17"/>
          <w:szCs w:val="17"/>
          <w:color w:val="auto"/>
        </w:rPr>
        <w:t>means Indebtedness (other than, for the avoidance of doubt, the Obligations or the obligations under the Guaranty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any intercompany indebtedness), or obligations in respect of one or more Swap Agreements, of any one or more of the Lessee or any Guarantor in an aggregate principal amount exceeding $100,000,000. For purposes of determining Material Indebtedness, the “principal amount” of the obligations of the Lessee or any Guarantor in respect of any Swap Agreement at any time shall be the maximum aggregate amount (giving effect to any netting agreements) that the Lessee or any such Guarantor would be required to pay if such Swap Agreement were terminated at such time.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“Material Subsidiary” </w:t>
      </w:r>
      <w:r>
        <w:rPr>
          <w:rFonts w:ascii="Arial" w:cs="Arial" w:eastAsia="Arial" w:hAnsi="Arial"/>
          <w:sz w:val="18"/>
          <w:szCs w:val="18"/>
          <w:color w:val="auto"/>
        </w:rPr>
        <w:t>means, at any time of determination, each wholly-owned Subsidiary which, as of the most recent fiscal year of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for the period of four consecutive fiscal quarters then ended, for which financial statements have been delivered pursuant to Section 8(a)(i) of the Guaranty, contributed greater than ten percent (10%) of Consolidated EBITDA for such period.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means the Expiration Date, as extended from time to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“Memorandum of Lease” </w:t>
      </w:r>
      <w:r>
        <w:rPr>
          <w:rFonts w:ascii="Arial" w:cs="Arial" w:eastAsia="Arial" w:hAnsi="Arial"/>
          <w:sz w:val="18"/>
          <w:szCs w:val="18"/>
          <w:color w:val="auto"/>
        </w:rPr>
        <w:t>means the Memorandum of Lease and Remedies Agreement, dated as of March 3, 2017, between the Lessee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as amended by the First Amendment to Memorandum of Lease and Remedies Agreement, dated as of the Execution Date and effective as of the Restatement Date (such amendment, the “</w:t>
      </w:r>
      <w:r>
        <w:rPr>
          <w:rFonts w:ascii="Arial" w:cs="Arial" w:eastAsia="Arial" w:hAnsi="Arial"/>
          <w:sz w:val="18"/>
          <w:szCs w:val="18"/>
          <w:i w:val="1"/>
          <w:iCs w:val="1"/>
          <w:color w:val="auto"/>
        </w:rPr>
        <w:t>Memorandum of Lease Amendment</w:t>
      </w:r>
      <w:r>
        <w:rPr>
          <w:rFonts w:ascii="Arial" w:cs="Arial" w:eastAsia="Arial" w:hAnsi="Arial"/>
          <w:sz w:val="18"/>
          <w:szCs w:val="18"/>
          <w:color w:val="auto"/>
        </w:rPr>
        <w:t>”), between the Lessee and the Lessor, as may be further amended, restated, amended and restated, supplemented or otherwise modified from time to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“Memorandum of Lease Amendment” </w:t>
      </w:r>
      <w:r>
        <w:rPr>
          <w:rFonts w:ascii="Arial" w:cs="Arial" w:eastAsia="Arial" w:hAnsi="Arial"/>
          <w:sz w:val="18"/>
          <w:szCs w:val="18"/>
          <w:color w:val="auto"/>
        </w:rPr>
        <w:t>is defined in the definition of “Memorandum of Lease” as set forth in this Appendix 1 to the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means payments based on the achievement of specified revenue, profit or other performance targets (financial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in any such case, that are made pursuant to contractual arrangements during the period of twelve months ending on the Bank Credit Agreement Effective Date or arising thereafter in connection with any drug or pharmaceutical product research and development or Collaboration Arrangements or any Drug Acquisition and that are recognized as expense in the period in which they are incurred.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“Modifications” </w:t>
      </w:r>
      <w:r>
        <w:rPr>
          <w:rFonts w:ascii="Arial" w:cs="Arial" w:eastAsia="Arial" w:hAnsi="Arial"/>
          <w:sz w:val="18"/>
          <w:szCs w:val="18"/>
          <w:color w:val="auto"/>
        </w:rPr>
        <w:t>is defined in Section 10.1 of the 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7" w:name="page118"/>
    <w:bookmarkEnd w:id="117"/>
    <w:p>
      <w:pPr>
        <w:ind w:left="66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“Multiemployer Plan” </w:t>
      </w:r>
      <w:r>
        <w:rPr>
          <w:rFonts w:ascii="Arial" w:cs="Arial" w:eastAsia="Arial" w:hAnsi="Arial"/>
          <w:sz w:val="18"/>
          <w:szCs w:val="18"/>
          <w:color w:val="auto"/>
        </w:rPr>
        <w:t>means a multiemployer plan as defined in Section 4001(a)(3) of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“Nonconformance Amount” </w:t>
      </w:r>
      <w:r>
        <w:rPr>
          <w:rFonts w:ascii="Arial" w:cs="Arial" w:eastAsia="Arial" w:hAnsi="Arial"/>
          <w:sz w:val="18"/>
          <w:szCs w:val="18"/>
          <w:color w:val="auto"/>
        </w:rPr>
        <w:t>is defined in Section 13.2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“Non-Renewing Participant” </w:t>
      </w:r>
      <w:r>
        <w:rPr>
          <w:rFonts w:ascii="Arial" w:cs="Arial" w:eastAsia="Arial" w:hAnsi="Arial"/>
          <w:sz w:val="18"/>
          <w:szCs w:val="18"/>
          <w:color w:val="auto"/>
        </w:rPr>
        <w:t>is defined in Section 4.7(c) of the Participation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“Nonseverable” </w:t>
      </w:r>
      <w:r>
        <w:rPr>
          <w:rFonts w:ascii="Arial" w:cs="Arial" w:eastAsia="Arial" w:hAnsi="Arial"/>
          <w:sz w:val="18"/>
          <w:szCs w:val="18"/>
          <w:color w:val="auto"/>
        </w:rPr>
        <w:t>means a Modification or part of a Modification which cannot be readily removed from the Leased Property without causing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damage to or materially impairing the Fair Market Value, utility, useful life or residual value thereof as set forth in the Appraisal delivered on or prior to the Restatement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is defined in Section 2.3 of the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“Obligations” </w:t>
      </w:r>
      <w:r>
        <w:rPr>
          <w:rFonts w:ascii="Arial" w:cs="Arial" w:eastAsia="Arial" w:hAnsi="Arial"/>
          <w:sz w:val="16"/>
          <w:szCs w:val="16"/>
          <w:color w:val="auto"/>
        </w:rPr>
        <w:t>means all obligations (monetary or otherwise) of the Lessee arising under or in connection with any of the Operative Documents.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“OFAC” </w:t>
      </w:r>
      <w:r>
        <w:rPr>
          <w:rFonts w:ascii="Arial" w:cs="Arial" w:eastAsia="Arial" w:hAnsi="Arial"/>
          <w:sz w:val="18"/>
          <w:szCs w:val="18"/>
          <w:color w:val="auto"/>
        </w:rPr>
        <w:t>means the Office of Foreign Assets Control of the United States Department of the Treasury.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“Omnibus Lease Amendment” </w:t>
      </w:r>
      <w:r>
        <w:rPr>
          <w:rFonts w:ascii="Arial" w:cs="Arial" w:eastAsia="Arial" w:hAnsi="Arial"/>
          <w:sz w:val="18"/>
          <w:szCs w:val="18"/>
          <w:color w:val="auto"/>
        </w:rPr>
        <w:t>means that certain Omnibus Agreement Regarding Leases, dated as of March 3, 2017, by and between Lessee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Parent Guarantor.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“Operating Lease” </w:t>
      </w:r>
      <w:r>
        <w:rPr>
          <w:rFonts w:ascii="Arial" w:cs="Arial" w:eastAsia="Arial" w:hAnsi="Arial"/>
          <w:sz w:val="18"/>
          <w:szCs w:val="18"/>
          <w:color w:val="auto"/>
        </w:rPr>
        <w:t>means any Specified Lease Arrangement or other arrangement that is accounted for as an operating lease for purposes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pursuant to clause (b) of this Appendix 1 to the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“Operative Documents” </w:t>
      </w:r>
      <w:r>
        <w:rPr>
          <w:rFonts w:ascii="Arial" w:cs="Arial" w:eastAsia="Arial" w:hAnsi="Arial"/>
          <w:sz w:val="18"/>
          <w:szCs w:val="18"/>
          <w:color w:val="auto"/>
        </w:rPr>
        <w:t>means the following:</w:t>
      </w:r>
    </w:p>
    <w:p>
      <w:pPr>
        <w:spacing w:after="0" w:line="225" w:lineRule="exact"/>
        <w:rPr>
          <w:sz w:val="20"/>
          <w:szCs w:val="20"/>
          <w:color w:val="auto"/>
        </w:rPr>
      </w:pPr>
    </w:p>
    <w:p>
      <w:pPr>
        <w:ind w:left="1720" w:hanging="416"/>
        <w:spacing w:after="0"/>
        <w:tabs>
          <w:tab w:leader="none" w:pos="1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Participation Agreement;</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Purchase Agreement;</w:t>
      </w:r>
    </w:p>
    <w:p>
      <w:pPr>
        <w:spacing w:after="0" w:line="225" w:lineRule="exact"/>
        <w:rPr>
          <w:rFonts w:ascii="Arial" w:cs="Arial" w:eastAsia="Arial" w:hAnsi="Arial"/>
          <w:sz w:val="18"/>
          <w:szCs w:val="18"/>
          <w:color w:val="auto"/>
        </w:rPr>
      </w:pPr>
    </w:p>
    <w:p>
      <w:pPr>
        <w:ind w:left="1720" w:hanging="416"/>
        <w:spacing w:after="0"/>
        <w:tabs>
          <w:tab w:leader="none" w:pos="1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Lease;</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Loan Agreement (prior to the termination thereof on the Restatement Date);</w:t>
      </w:r>
    </w:p>
    <w:p>
      <w:pPr>
        <w:spacing w:after="0" w:line="225" w:lineRule="exact"/>
        <w:rPr>
          <w:rFonts w:ascii="Arial" w:cs="Arial" w:eastAsia="Arial" w:hAnsi="Arial"/>
          <w:sz w:val="18"/>
          <w:szCs w:val="18"/>
          <w:color w:val="auto"/>
        </w:rPr>
      </w:pPr>
    </w:p>
    <w:p>
      <w:pPr>
        <w:ind w:left="1720" w:hanging="416"/>
        <w:spacing w:after="0"/>
        <w:tabs>
          <w:tab w:leader="none" w:pos="1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Notes (prior to the cancellation thereof on the Restatement Date);</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Security Instruments;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8" w:name="page119"/>
    <w:bookmarkEnd w:id="118"/>
    <w:p>
      <w:pPr>
        <w:ind w:left="660" w:firstLine="644"/>
        <w:spacing w:after="0" w:line="277" w:lineRule="auto"/>
        <w:tabs>
          <w:tab w:leader="none" w:pos="174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Administrative Agent Fee Letter and the Arranger Fee Letter (solely with respect to the provisions thereof relating to the Arranger Fee for purposes of Section 4.4(y) of the Participation Agreement);</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Memorandum of Lease;</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Guaranty;</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Assignment of Purchase Agreement;</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Deed; and</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Rent Assignment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“Original Closing Date” </w:t>
      </w:r>
      <w:r>
        <w:rPr>
          <w:rFonts w:ascii="Arial" w:cs="Arial" w:eastAsia="Arial" w:hAnsi="Arial"/>
          <w:sz w:val="18"/>
          <w:szCs w:val="18"/>
          <w:color w:val="auto"/>
        </w:rPr>
        <w:t>is defined in the recitals to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“Original Executed Counterpart” </w:t>
      </w:r>
      <w:r>
        <w:rPr>
          <w:rFonts w:ascii="Arial" w:cs="Arial" w:eastAsia="Arial" w:hAnsi="Arial"/>
          <w:sz w:val="18"/>
          <w:szCs w:val="18"/>
          <w:color w:val="auto"/>
        </w:rPr>
        <w:t>is defined in Section 25.9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Guaranty</w:t>
      </w:r>
      <w:r>
        <w:rPr>
          <w:rFonts w:ascii="Arial" w:cs="Arial" w:eastAsia="Arial" w:hAnsi="Arial"/>
          <w:sz w:val="18"/>
          <w:szCs w:val="18"/>
          <w:color w:val="auto"/>
        </w:rPr>
        <w:t>” is defined in the definition of “Guaranty” as set forth in this Appendix 1 to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“Original Payment” </w:t>
      </w:r>
      <w:r>
        <w:rPr>
          <w:rFonts w:ascii="Arial" w:cs="Arial" w:eastAsia="Arial" w:hAnsi="Arial"/>
          <w:sz w:val="18"/>
          <w:szCs w:val="18"/>
          <w:color w:val="auto"/>
        </w:rPr>
        <w:t>is defined in Section 13.5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“Original Participation Agreement” </w:t>
      </w:r>
      <w:r>
        <w:rPr>
          <w:rFonts w:ascii="Arial" w:cs="Arial" w:eastAsia="Arial" w:hAnsi="Arial"/>
          <w:sz w:val="18"/>
          <w:szCs w:val="18"/>
          <w:color w:val="auto"/>
        </w:rPr>
        <w:t>is defined in the recitals to the Participation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“Overall Transaction” </w:t>
      </w:r>
      <w:r>
        <w:rPr>
          <w:rFonts w:ascii="Arial" w:cs="Arial" w:eastAsia="Arial" w:hAnsi="Arial"/>
          <w:sz w:val="18"/>
          <w:szCs w:val="18"/>
          <w:color w:val="auto"/>
        </w:rPr>
        <w:t>means, collectively, the execution, delivery and performance by each of the Lessee, the Guarantors and Participants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to which such Person is a party, the Funding, the use of the proceeds thereof, the sale of the Rent Assignment Contributions under the Rent Assignment Agreement and the lease of the Leased Property by the Lessor to the Lessee.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“Overdue Rate” </w:t>
      </w:r>
      <w:r>
        <w:rPr>
          <w:rFonts w:ascii="Arial" w:cs="Arial" w:eastAsia="Arial" w:hAnsi="Arial"/>
          <w:sz w:val="18"/>
          <w:szCs w:val="18"/>
          <w:color w:val="auto"/>
        </w:rPr>
        <w:t>means, with respect to any Rent Assignment Contribution or Lessor Amount, the lesser of (i) the Alternate Base Rate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Rent Assignment Contribution or Lessor Amount plus 2.0% per annum and (ii) the Highest Lawful Rate.</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“Parcel D Ground Lease” </w:t>
      </w:r>
      <w:r>
        <w:rPr>
          <w:rFonts w:ascii="Arial" w:cs="Arial" w:eastAsia="Arial" w:hAnsi="Arial"/>
          <w:sz w:val="17"/>
          <w:szCs w:val="17"/>
          <w:color w:val="auto"/>
        </w:rPr>
        <w:t>means that certain Ground Lease, dated as of March 2, 2022, by and between BA Leasing BSC, LLC, as lessor, and</w:t>
      </w:r>
      <w:r>
        <w:rPr>
          <w:rFonts w:ascii="Arial" w:cs="Arial" w:eastAsia="Arial" w:hAnsi="Arial"/>
          <w:sz w:val="17"/>
          <w:szCs w:val="17"/>
          <w:i w:val="1"/>
          <w:iCs w:val="1"/>
          <w:color w:val="auto"/>
        </w:rPr>
        <w:t xml:space="preserve"> </w:t>
      </w:r>
      <w:r>
        <w:rPr>
          <w:rFonts w:ascii="Arial" w:cs="Arial" w:eastAsia="Arial" w:hAnsi="Arial"/>
          <w:sz w:val="17"/>
          <w:szCs w:val="17"/>
          <w:color w:val="auto"/>
        </w:rPr>
        <w:t>Parcel D Ground Lease Lessee, as lessee, as the same may be amended, restated, modified, supplemented, extended or replaced.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“Parcel D Ground Lease Lessee” </w:t>
      </w:r>
      <w:r>
        <w:rPr>
          <w:rFonts w:ascii="Arial" w:cs="Arial" w:eastAsia="Arial" w:hAnsi="Arial"/>
          <w:sz w:val="16"/>
          <w:szCs w:val="16"/>
          <w:color w:val="auto"/>
        </w:rPr>
        <w:t>means Eastside Campus Holdings LLC, a New York limited liability company and its successors and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Parcel D Ground Leased Property</w:t>
      </w:r>
      <w:r>
        <w:rPr>
          <w:rFonts w:ascii="Arial" w:cs="Arial" w:eastAsia="Arial" w:hAnsi="Arial"/>
          <w:sz w:val="18"/>
          <w:szCs w:val="18"/>
          <w:color w:val="auto"/>
        </w:rPr>
        <w:t>” means the parcel described in Exhibit A annexed to the Parcel D Ground Lease and all other “Leased Property” (as defined in the Parcel D Ground Lease) under the Parcel D Ground Lease.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9" w:name="page120"/>
    <w:bookmarkEnd w:id="119"/>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“Parcel D REA” </w:t>
      </w:r>
      <w:r>
        <w:rPr>
          <w:rFonts w:ascii="Arial" w:cs="Arial" w:eastAsia="Arial" w:hAnsi="Arial"/>
          <w:sz w:val="18"/>
          <w:szCs w:val="18"/>
          <w:color w:val="auto"/>
        </w:rPr>
        <w:t>means that certain Reciprocal Easement and Operating Agreement, dated as of March 2, 2022, by and between Lessee and Parcel</w:t>
      </w:r>
      <w:r>
        <w:rPr>
          <w:rFonts w:ascii="Arial" w:cs="Arial" w:eastAsia="Arial" w:hAnsi="Arial"/>
          <w:sz w:val="18"/>
          <w:szCs w:val="18"/>
          <w:i w:val="1"/>
          <w:iCs w:val="1"/>
          <w:color w:val="auto"/>
        </w:rPr>
        <w:t xml:space="preserve"> </w:t>
      </w:r>
      <w:r>
        <w:rPr>
          <w:rFonts w:ascii="Arial" w:cs="Arial" w:eastAsia="Arial" w:hAnsi="Arial"/>
          <w:sz w:val="18"/>
          <w:szCs w:val="18"/>
          <w:color w:val="auto"/>
        </w:rPr>
        <w:t>D Ground Lease Lessee, as the same may be amended, restated, modified, supplemented, extended or replaced.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“Parent Guarantor” </w:t>
      </w:r>
      <w:r>
        <w:rPr>
          <w:rFonts w:ascii="Arial" w:cs="Arial" w:eastAsia="Arial" w:hAnsi="Arial"/>
          <w:sz w:val="18"/>
          <w:szCs w:val="18"/>
          <w:color w:val="auto"/>
        </w:rPr>
        <w:t>means Regeneron Pharmaceuticals, Inc., a New York corporation.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“Participant Balance” </w:t>
      </w:r>
      <w:r>
        <w:rPr>
          <w:rFonts w:ascii="Arial" w:cs="Arial" w:eastAsia="Arial" w:hAnsi="Arial"/>
          <w:sz w:val="18"/>
          <w:szCs w:val="18"/>
          <w:color w:val="auto"/>
        </w:rPr>
        <w:t>means as of any date of determination: (i) with respect to any Rent Assignee, the Rent Assignment Contribution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held by such Rent Assignee or (ii) with respect to Lessor, Lessor Balance.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“Participant Costs” </w:t>
      </w:r>
      <w:r>
        <w:rPr>
          <w:rFonts w:ascii="Arial" w:cs="Arial" w:eastAsia="Arial" w:hAnsi="Arial"/>
          <w:sz w:val="18"/>
          <w:szCs w:val="18"/>
          <w:color w:val="auto"/>
        </w:rPr>
        <w:t>means the aggregate amount of the Purchase Price and reimbursement of the Deposit (to the extent not applied to the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Purchase Price to the Sellers), subject to the Aggregate Commitment Amount.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“Participant Indemnitee” </w:t>
      </w:r>
      <w:r>
        <w:rPr>
          <w:rFonts w:ascii="Arial" w:cs="Arial" w:eastAsia="Arial" w:hAnsi="Arial"/>
          <w:sz w:val="16"/>
          <w:szCs w:val="16"/>
          <w:color w:val="auto"/>
        </w:rPr>
        <w:t>means each Participant, the Administrative Agent (in its individual capacity and as agent), the Arranger, any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separate or co-agent appointed in accordance with the terms of the Participation Agreement, and their respective Affiliates, successors, permitted assigns, permitted transferees, contractors, employees, officers, directors, shareholders, partners, permitted participants, representatives and agents of each of the foregoing Persons;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Lessee or any Guarantor or any of their Affiliates be a Participant Indemnitee.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“Participant” or “Participants” </w:t>
      </w:r>
      <w:r>
        <w:rPr>
          <w:rFonts w:ascii="Arial" w:cs="Arial" w:eastAsia="Arial" w:hAnsi="Arial"/>
          <w:sz w:val="18"/>
          <w:szCs w:val="18"/>
          <w:color w:val="auto"/>
        </w:rPr>
        <w:t>means, individually and collectively, as the context may require, the Lessor and the Rent Assignees.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“Participation Agreement” </w:t>
      </w:r>
      <w:r>
        <w:rPr>
          <w:rFonts w:ascii="Arial" w:cs="Arial" w:eastAsia="Arial" w:hAnsi="Arial"/>
          <w:sz w:val="18"/>
          <w:szCs w:val="18"/>
          <w:color w:val="auto"/>
        </w:rPr>
        <w:t>means that certain Participation Agreement, dated as of the Original Closing Date, by and among the Lessee,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the Lenders party thereto and the Administrative Agent, as amended and restated by that certain Amended and Restated Participation Agreement, dated as of the First Restatement Date, by and among the Lessee, the Lessor, the Lenders party thereto and the Administrative Agent, as further amended and restated by that certain Second Amended and Restated Participation Agreement, dated as of the Execution Date and effective as of the Restatement Date, by and among the Lessee, the Lessor, the Rent Assignees party thereto from time to time and the Administrative Agent, as further amended, restated, supplemented or modified from time to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“Patriot Act” </w:t>
      </w:r>
      <w:r>
        <w:rPr>
          <w:rFonts w:ascii="Arial" w:cs="Arial" w:eastAsia="Arial" w:hAnsi="Arial"/>
          <w:sz w:val="18"/>
          <w:szCs w:val="18"/>
          <w:color w:val="auto"/>
        </w:rPr>
        <w:t>means the USA PATRIOT Act (Title III of Pub. L. 107-56 (signed into law October 26, 2001)).</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“Payment Date” </w:t>
      </w:r>
      <w:r>
        <w:rPr>
          <w:rFonts w:ascii="Arial" w:cs="Arial" w:eastAsia="Arial" w:hAnsi="Arial"/>
          <w:sz w:val="17"/>
          <w:szCs w:val="17"/>
          <w:color w:val="auto"/>
        </w:rPr>
        <w:t>means (a) the third (3rd) day of the month in which the Base Term Commencement Date occurs and the third (3rd) day of every</w:t>
      </w:r>
      <w:r>
        <w:rPr>
          <w:rFonts w:ascii="Arial" w:cs="Arial" w:eastAsia="Arial" w:hAnsi="Arial"/>
          <w:sz w:val="17"/>
          <w:szCs w:val="17"/>
          <w:i w:val="1"/>
          <w:iCs w:val="1"/>
          <w:color w:val="auto"/>
        </w:rPr>
        <w:t xml:space="preserve"> </w:t>
      </w:r>
      <w:r>
        <w:rPr>
          <w:rFonts w:ascii="Arial" w:cs="Arial" w:eastAsia="Arial" w:hAnsi="Arial"/>
          <w:sz w:val="17"/>
          <w:szCs w:val="17"/>
          <w:color w:val="auto"/>
        </w:rPr>
        <w:t>month thereafter. If the third (3rd) day of any month is not a Business Day, then the Payment Date shall be the next following Business Day, unless the result of such extension would carry such Payment Date into the next succeeding month, in which case such payment shall be made on the immediately preceding Business Day and (b) in any case, the Expiration Date (or, if applicable, the Termination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0" w:name="page121"/>
    <w:bookmarkEnd w:id="120"/>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“Payment Default” </w:t>
      </w:r>
      <w:r>
        <w:rPr>
          <w:rFonts w:ascii="Arial" w:cs="Arial" w:eastAsia="Arial" w:hAnsi="Arial"/>
          <w:sz w:val="18"/>
          <w:szCs w:val="18"/>
          <w:color w:val="auto"/>
        </w:rPr>
        <w:t>means the failure of Lessee to make any payment of (i) any amounts due pursuant to Sections 15.1, 18.1, 19.1(b) or 20.1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Lease when due and payable, or (ii) Basic Rent or, to the extent not subject to clause (i) above, any other amount required to be paid by Lessee pursuant to the Operative Documents when due and payable and, in any such case of this clause (ii), such failure shall continue unremedied for a period of five (5) Business Days.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“Payment Office” </w:t>
      </w:r>
      <w:r>
        <w:rPr>
          <w:rFonts w:ascii="Arial" w:cs="Arial" w:eastAsia="Arial" w:hAnsi="Arial"/>
          <w:sz w:val="18"/>
          <w:szCs w:val="18"/>
          <w:color w:val="auto"/>
        </w:rPr>
        <w:t>means the office of the Lessor or the Administrative Agent identified on Schedule III to the Participation Agreement as its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Office.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“PBGC” </w:t>
      </w:r>
      <w:r>
        <w:rPr>
          <w:rFonts w:ascii="Arial" w:cs="Arial" w:eastAsia="Arial" w:hAnsi="Arial"/>
          <w:sz w:val="18"/>
          <w:szCs w:val="18"/>
          <w:color w:val="auto"/>
        </w:rPr>
        <w:t>means the Pension Benefit Guaranty Corporation referred to and defined in ERISA and any successor entity performing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“Permitted 767 Improvements” </w:t>
      </w:r>
      <w:r>
        <w:rPr>
          <w:rFonts w:ascii="Arial" w:cs="Arial" w:eastAsia="Arial" w:hAnsi="Arial"/>
          <w:sz w:val="18"/>
          <w:szCs w:val="18"/>
          <w:color w:val="auto"/>
        </w:rPr>
        <w:t>means the Improvements described on Schedule C to the Lease.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“Permitted Call Spread Swap Agreement” </w:t>
      </w:r>
      <w:r>
        <w:rPr>
          <w:rFonts w:ascii="Arial" w:cs="Arial" w:eastAsia="Arial" w:hAnsi="Arial"/>
          <w:sz w:val="16"/>
          <w:szCs w:val="16"/>
          <w:color w:val="auto"/>
        </w:rPr>
        <w:t>means (a) any Swap Agreement (including, but not limited to, any bond hedge transaction or capped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call transaction) pursuant to which the Parent Guarantor acquires an option requiring the counterparty thereto to deliver to the Parent Guarantor shares of common stock of the Parent Guarantor, the cash value of such shares or a combination thereof from time to time upon exercise of such option and (b) any Swap Agreement pursuant to which the Parent Guarantor issues to the counterparty thereto warrants to acquire common stock of the Parent Guarantor (whether such warrant is settled in shares, cash or a combination thereof), in each case entered into by the Parent Guarantor in connection with the issuance of Permitted Convertible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conditions and covenants of each such Swap Agreement shall be such as are customary for Swap Agreements of such type (as determined by the Board of Directors of the Parent Guarantor in good faith). For the avoidance of doubt, </w:t>
      </w:r>
      <w:r>
        <w:rPr>
          <w:rFonts w:ascii="Arial" w:cs="Arial" w:eastAsia="Arial" w:hAnsi="Arial"/>
          <w:sz w:val="16"/>
          <w:szCs w:val="16"/>
          <w:i w:val="1"/>
          <w:iCs w:val="1"/>
          <w:color w:val="auto"/>
        </w:rPr>
        <w:t>“Permitted Call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Spread Swap Agreement” </w:t>
      </w:r>
      <w:r>
        <w:rPr>
          <w:rFonts w:ascii="Arial" w:cs="Arial" w:eastAsia="Arial" w:hAnsi="Arial"/>
          <w:sz w:val="16"/>
          <w:szCs w:val="16"/>
          <w:color w:val="auto"/>
        </w:rPr>
        <w:t>includes any convertible note hedge and warrant transaction similar to any such transaction that was previously entered into by</w:t>
      </w:r>
      <w:r>
        <w:rPr>
          <w:rFonts w:ascii="Arial" w:cs="Arial" w:eastAsia="Arial" w:hAnsi="Arial"/>
          <w:sz w:val="16"/>
          <w:szCs w:val="16"/>
          <w:i w:val="1"/>
          <w:iCs w:val="1"/>
          <w:color w:val="auto"/>
        </w:rPr>
        <w:t xml:space="preserve"> </w:t>
      </w:r>
      <w:r>
        <w:rPr>
          <w:rFonts w:ascii="Arial" w:cs="Arial" w:eastAsia="Arial" w:hAnsi="Arial"/>
          <w:sz w:val="16"/>
          <w:szCs w:val="16"/>
          <w:color w:val="auto"/>
        </w:rPr>
        <w:t>the Parent Guarantor in connection with the Parent Guarantor’s 1.875% convertible senior notes due October 1, 2016.</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“Permitted Convertible Notes” </w:t>
      </w:r>
      <w:r>
        <w:rPr>
          <w:rFonts w:ascii="Arial" w:cs="Arial" w:eastAsia="Arial" w:hAnsi="Arial"/>
          <w:sz w:val="18"/>
          <w:szCs w:val="18"/>
          <w:color w:val="auto"/>
        </w:rPr>
        <w:t>means any unsecured notes issued by the Parent Guarantor that are convertible into common stock of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Guarantor, cash or any combination thereof. For the avoidance of doubt, </w:t>
      </w:r>
      <w:r>
        <w:rPr>
          <w:rFonts w:ascii="Arial" w:cs="Arial" w:eastAsia="Arial" w:hAnsi="Arial"/>
          <w:sz w:val="18"/>
          <w:szCs w:val="18"/>
          <w:i w:val="1"/>
          <w:iCs w:val="1"/>
          <w:color w:val="auto"/>
        </w:rPr>
        <w:t>“Permitted Convertible Notes”</w:t>
      </w:r>
      <w:r>
        <w:rPr>
          <w:rFonts w:ascii="Arial" w:cs="Arial" w:eastAsia="Arial" w:hAnsi="Arial"/>
          <w:sz w:val="18"/>
          <w:szCs w:val="18"/>
          <w:color w:val="auto"/>
        </w:rPr>
        <w:t xml:space="preserve"> includes any such notes similar to the Parent Guarantor’s 1.875% convertible senior notes due October 1, 2016.</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“Permitted Developed Area Release Payment” </w:t>
      </w:r>
      <w:r>
        <w:rPr>
          <w:rFonts w:ascii="Arial" w:cs="Arial" w:eastAsia="Arial" w:hAnsi="Arial"/>
          <w:sz w:val="18"/>
          <w:szCs w:val="18"/>
          <w:color w:val="auto"/>
        </w:rPr>
        <w:t>means Sixteen Million Six Hundred Thousand Dollars ($16,600,000).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“Permitted Developed Areas” </w:t>
      </w:r>
      <w:r>
        <w:rPr>
          <w:rFonts w:ascii="Arial" w:cs="Arial" w:eastAsia="Arial" w:hAnsi="Arial"/>
          <w:sz w:val="18"/>
          <w:szCs w:val="18"/>
          <w:color w:val="auto"/>
        </w:rPr>
        <w:t>is defined in Section 10.3(b)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“Permitted Development Projects” </w:t>
      </w:r>
      <w:r>
        <w:rPr>
          <w:rFonts w:ascii="Arial" w:cs="Arial" w:eastAsia="Arial" w:hAnsi="Arial"/>
          <w:sz w:val="18"/>
          <w:szCs w:val="18"/>
          <w:color w:val="auto"/>
        </w:rPr>
        <w:t>means the work and development permitted under Sections 10.3(a) and 10.3(b) of the 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i w:val="1"/>
          <w:iCs w:val="1"/>
          <w:color w:val="auto"/>
        </w:rPr>
        <w:t xml:space="preserve">“Permitted Encumbrances” </w:t>
      </w:r>
      <w:r>
        <w:rPr>
          <w:rFonts w:ascii="Arial" w:cs="Arial" w:eastAsia="Arial" w:hAnsi="Arial"/>
          <w:sz w:val="18"/>
          <w:szCs w:val="18"/>
          <w:color w:val="auto"/>
        </w:rPr>
        <w:t>means:</w:t>
      </w:r>
    </w:p>
    <w:p>
      <w:pPr>
        <w:spacing w:after="0" w:line="225" w:lineRule="exact"/>
        <w:rPr>
          <w:sz w:val="20"/>
          <w:szCs w:val="20"/>
          <w:color w:val="auto"/>
        </w:rPr>
      </w:pPr>
    </w:p>
    <w:p>
      <w:pPr>
        <w:ind w:right="20" w:firstLine="644"/>
        <w:spacing w:after="0" w:line="277" w:lineRule="auto"/>
        <w:tabs>
          <w:tab w:leader="none" w:pos="107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imposed by law for Taxes that have not yet been paid (to the extent such non-payment does not violate Section 8(d) of the Guaranty) or are being contested in compliance with Section 8(d) of the Guaranty, and Liens for unpaid utility charges;</w:t>
      </w:r>
    </w:p>
    <w:p>
      <w:pPr>
        <w:spacing w:after="0" w:line="170" w:lineRule="exact"/>
        <w:rPr>
          <w:rFonts w:ascii="Arial" w:cs="Arial" w:eastAsia="Arial" w:hAnsi="Arial"/>
          <w:sz w:val="18"/>
          <w:szCs w:val="18"/>
          <w:color w:val="auto"/>
        </w:rPr>
      </w:pPr>
    </w:p>
    <w:p>
      <w:pPr>
        <w:jc w:val="both"/>
        <w:ind w:firstLine="644"/>
        <w:spacing w:after="0" w:line="259" w:lineRule="auto"/>
        <w:tabs>
          <w:tab w:leader="none" w:pos="108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carriers’, warehousemen’s, materialmen’s, mechanics’, workers’, repairmen’s, employees’, suppliers’ or other like Liens imposed by law arising in the ordinary course of business and securing obligations that are not overdue by more than sixty (60) days (or if more than 60 days overdue, are unfiled and no other action has been taken to enforce such Liens) or are being contested in compliance with Section 8(d) of the Guaranty;</w:t>
      </w:r>
    </w:p>
    <w:p>
      <w:pPr>
        <w:spacing w:after="0" w:line="186" w:lineRule="exact"/>
        <w:rPr>
          <w:rFonts w:ascii="Arial" w:cs="Arial" w:eastAsia="Arial" w:hAnsi="Arial"/>
          <w:sz w:val="18"/>
          <w:szCs w:val="18"/>
          <w:color w:val="auto"/>
        </w:rPr>
      </w:pPr>
    </w:p>
    <w:p>
      <w:pPr>
        <w:jc w:val="both"/>
        <w:ind w:firstLine="644"/>
        <w:spacing w:after="0" w:line="263" w:lineRule="auto"/>
        <w:tabs>
          <w:tab w:leader="none" w:pos="107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connection with workers’ compensation, unemployment insurance and other social security or retirement benefits laws or regulations or employment laws, to secure liability to insurance carriers under insurance or self-insurance arrangements or to secure other public, statutory or regulatory obligations;</w:t>
      </w:r>
    </w:p>
    <w:p>
      <w:pPr>
        <w:spacing w:after="0" w:line="183" w:lineRule="exact"/>
        <w:rPr>
          <w:rFonts w:ascii="Arial" w:cs="Arial" w:eastAsia="Arial" w:hAnsi="Arial"/>
          <w:sz w:val="18"/>
          <w:szCs w:val="18"/>
          <w:color w:val="auto"/>
        </w:rPr>
      </w:pPr>
    </w:p>
    <w:p>
      <w:pPr>
        <w:jc w:val="both"/>
        <w:ind w:firstLine="644"/>
        <w:spacing w:after="0" w:line="311" w:lineRule="auto"/>
        <w:tabs>
          <w:tab w:leader="none" w:pos="10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pledges and deposits to secure the performance of bids, trade contracts, government contracts, leases, statutory obligations, customer deposits and advances, surety, customs and appeal bonds, performance and completion bonds and other obligations of a like nature, in each case in the ordinary course of business, and Liens to secure letters of credit or bank guarantees supporting any of the foregoing;</w:t>
      </w:r>
    </w:p>
    <w:p>
      <w:pPr>
        <w:spacing w:after="0" w:line="148" w:lineRule="exact"/>
        <w:rPr>
          <w:rFonts w:ascii="Arial" w:cs="Arial" w:eastAsia="Arial" w:hAnsi="Arial"/>
          <w:sz w:val="16"/>
          <w:szCs w:val="16"/>
          <w:color w:val="auto"/>
        </w:rPr>
      </w:pPr>
    </w:p>
    <w:p>
      <w:pPr>
        <w:jc w:val="both"/>
        <w:ind w:firstLine="644"/>
        <w:spacing w:after="0" w:line="263" w:lineRule="auto"/>
        <w:tabs>
          <w:tab w:leader="none" w:pos="107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Lien granted or arising in connection with any legal proceeding (including judgment Liens) to the extent such proceeding has not resulted in an Event of Default under Section 16.1(k) of the Lease or Liens securing appeal or surety bonds related to such legal proceedings or judgments;</w:t>
      </w:r>
    </w:p>
    <w:p>
      <w:pPr>
        <w:spacing w:after="0" w:line="183" w:lineRule="exact"/>
        <w:rPr>
          <w:rFonts w:ascii="Arial" w:cs="Arial" w:eastAsia="Arial" w:hAnsi="Arial"/>
          <w:sz w:val="18"/>
          <w:szCs w:val="18"/>
          <w:color w:val="auto"/>
        </w:rPr>
      </w:pPr>
    </w:p>
    <w:p>
      <w:pPr>
        <w:jc w:val="both"/>
        <w:ind w:firstLine="644"/>
        <w:spacing w:after="0" w:line="286" w:lineRule="auto"/>
        <w:tabs>
          <w:tab w:leader="none" w:pos="105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easements, zoning restrictions, rights-of-way and similar charges or encumbrances on real property imposed by law or arising in the ordinary course of business that do not secure any monetary obligations and do not materially detract from the value of the affected property or materially interfere with the ordinary conduct of business of the Parent Guarantor and its Subsidiaries, taken as a whole;</w:t>
      </w:r>
    </w:p>
    <w:p>
      <w:pPr>
        <w:spacing w:after="0" w:line="165" w:lineRule="exact"/>
        <w:rPr>
          <w:rFonts w:ascii="Arial" w:cs="Arial" w:eastAsia="Arial" w:hAnsi="Arial"/>
          <w:sz w:val="17"/>
          <w:szCs w:val="17"/>
          <w:color w:val="auto"/>
        </w:rPr>
      </w:pPr>
    </w:p>
    <w:p>
      <w:pPr>
        <w:ind w:firstLine="644"/>
        <w:spacing w:after="0" w:line="277" w:lineRule="auto"/>
        <w:tabs>
          <w:tab w:leader="none" w:pos="108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interest or title of, and other statutory and common law liens of, a landlord, lessor or sublessor under any lease or sublease or any Lien affecting solely the interest of the landlord, lessor or sublessor;</w:t>
      </w:r>
    </w:p>
    <w:p>
      <w:pPr>
        <w:spacing w:after="0" w:line="170" w:lineRule="exact"/>
        <w:rPr>
          <w:rFonts w:ascii="Arial" w:cs="Arial" w:eastAsia="Arial" w:hAnsi="Arial"/>
          <w:sz w:val="18"/>
          <w:szCs w:val="18"/>
          <w:color w:val="auto"/>
        </w:rPr>
      </w:pPr>
    </w:p>
    <w:p>
      <w:pPr>
        <w:jc w:val="both"/>
        <w:ind w:firstLine="644"/>
        <w:spacing w:after="0" w:line="259" w:lineRule="auto"/>
        <w:tabs>
          <w:tab w:leader="none" w:pos="108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leases, licenses, subleases or sublicenses (i) that are granted to others and do not adversely interfere in any material respect with the business of the Parent Guarantor and its Subsidiaries as conducted at the time granted, taken as a whole, (ii) between or among any of the Lessee, any Guarantor or any of their respective Subsidiaries (or any combination thereof) or (iii) granted to other Persons and not prohibited under Section 9(c) of the Guaranty;</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122" w:name="page123"/>
    <w:bookmarkEnd w:id="122"/>
    <w:p>
      <w:pPr>
        <w:ind w:left="660" w:right="20" w:firstLine="644"/>
        <w:spacing w:after="0" w:line="277" w:lineRule="auto"/>
        <w:tabs>
          <w:tab w:leader="none" w:pos="170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purported Liens evidenced by the filing of precautionary UCC financing statements or similar filings relating to operating leases of personal property entered into by the Parent Guarantor or any of its Subsidiaries in the ordinary course of business;</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0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interest or title of a licensor under any license or sublicense entered into by the Parent Guarantor or any Subsidiary as a licensee or sublicensee (i) existing on the Original Closing Date, the First Restatement Date or the Restatement Date, (ii) in the ordinary course of its business or (iii) not otherwise prohibited by the Operative Documents;</w:t>
      </w:r>
    </w:p>
    <w:p>
      <w:pPr>
        <w:spacing w:after="0" w:line="183" w:lineRule="exact"/>
        <w:rPr>
          <w:rFonts w:ascii="Arial" w:cs="Arial" w:eastAsia="Arial" w:hAnsi="Arial"/>
          <w:sz w:val="18"/>
          <w:szCs w:val="18"/>
          <w:color w:val="auto"/>
        </w:rPr>
      </w:pPr>
    </w:p>
    <w:p>
      <w:pPr>
        <w:ind w:left="1740" w:hanging="436"/>
        <w:spacing w:after="0"/>
        <w:tabs>
          <w:tab w:leader="none" w:pos="17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with respect to any real property, immaterial title defects or irregularities that do not materially impair the use of such real property;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20" w:firstLine="644"/>
        <w:spacing w:after="0" w:line="277" w:lineRule="auto"/>
        <w:tabs>
          <w:tab w:leader="none" w:pos="170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Liens on real property, fixtures, equipment, other fixed or capital assets or other related assets in connection with a Tax Abatement Transaction in favor of the Related Municipal Party.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“Permitted Lien” </w:t>
      </w:r>
      <w:r>
        <w:rPr>
          <w:rFonts w:ascii="Arial" w:cs="Arial" w:eastAsia="Arial" w:hAnsi="Arial"/>
          <w:sz w:val="16"/>
          <w:szCs w:val="16"/>
          <w:color w:val="auto"/>
        </w:rPr>
        <w:t>means (a) the respective rights and interests of the parties to the Operative Documents, as provided in the Operative Documents,</w:t>
      </w:r>
    </w:p>
    <w:p>
      <w:pPr>
        <w:spacing w:after="0" w:line="46" w:lineRule="exact"/>
        <w:rPr>
          <w:sz w:val="20"/>
          <w:szCs w:val="20"/>
          <w:color w:val="auto"/>
        </w:rPr>
      </w:pPr>
    </w:p>
    <w:p>
      <w:pPr>
        <w:jc w:val="both"/>
        <w:ind w:firstLine="8"/>
        <w:spacing w:after="0" w:line="283" w:lineRule="auto"/>
        <w:tabs>
          <w:tab w:leader="none" w:pos="28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Lessor Liens, (c) Liens for Taxes or utility charges that have not yet been paid (to the extent such non-payment does not violate the Lease, the Participation Agreement or Section 8(d) of the Guaranty) or are being contested in good faith and by appropriate proceedings diligently conducted, so long as (i) no Event of Default shall have occurred and be continuing, (ii) such proceedings shall not involve any meaningful risk of the sale, forfeiture or loss of any of the Leased Property, the other Collateral, the Operative Documents, title thereto or any interest therein and shall not interfere with the use or disposition of the Leased Property, the other Collateral, the Operative Documents or the payment of Rent, (iii) such proceedings do not impair the perfection or priority of the Lien created by the Lease or the Security Instruments and (iv) the Lessee or the Parent Guarantor has set aside on its books adequate reserves in accordance with GAAP in respect of the Lien, (d) materialmen’s, mechanics’, workers’, repairmen’s, employees’, suppliers’ or other like Liens relating to the construction of any Improvements or in connection with any Modifications or arising in the ordinary course of business and securing obligations that are not overdue by more than sixty (60) days or being contested in good faith and by appropriate proceedings so long as (i) no Event of Default shall have occurred and be continuing, (ii) such proceedings shall not involve any meaningful risk of the sale, forfeiture or loss of any of the Leased Property, the other Collateral, the Operative Documents, title thereto or any interest therein and shall not interfere with the use or disposition of the Leased Property, the other Collateral, the Operative Documents or the payment of Rent and (iii) such proceedings do not impair the perfection or priority of the Lien created by the Lease or the Security Instruments, (e) Liens arising out of judgments or awards with respect to which appeals or other proceedings for review are being prosecuted in good faith and for the payment of which adequate reserves have been provided as required by GAAP or other appropriate provisions have been made, so long as such proceedings have the effect of staying the execution of such judgments or awards and satisfy the conditions for the continuation of proceedings set forth in Section 12.1 of the Lease, (f) the rights of any sublessee under a sublease permitted pursuant to and subject to the terms of the Lease, (g) easements, rights of way and other encumbrances permitted pursuant to Section 11.2 of the Lease, including, without limitation, easements, rights of way and other encumbrances pursuant to the Parcel D REA, (h) Liens expressly permitted under the Purchase Agreement, (i) easements, zoning restrictions, rights-of-way and similar charges or other Liens imposed by law or arising in the ordinary course of business that do not secure any monetary obligations and do not materially detract from the value of the affected property or materially interfere with the ordinary conduct of business of the Parent Guarantor and its Subsidiaries, taken as a whole, (j) with respect to any real property, immaterial title defects or irregularities that do not materially impair the use of such real property, (k) Liens of any of the types referred to in clause (c), (d) or (e) above that have been bonded for not less than the full amount in dispute (or as to which other security arrangements satisfactory to the Lessor have been made), which bonding (or arrangements) shall comply with Applicable Laws, and has effectively stayed any execution or enforcement of such Liens, (l) Liens described on the Title Policy, (m) Liens on real property, fixtures, equipment, other fixed or capital assets or other related assets in connection with a Specified Tax Abatement Transaction in favor of the Related Municipal Party, (n) materialmen’s, mechanics’, workers’, repairmen’s, employees’, suppliers’ or other like Liens relating to the construction of any Improvements or in connection with any Modifications or arising in the ordinary course of business not exceeding (or, if less, attaching to Leased Property having a value not exceeding) $1,000,000 in the aggregate for this clause (n), and (o) Liens for Taxes that have not yet been paid securing obligations not exceeding (or, if less, attaching to Leased Property having a value not exceeding) $50,000 in the aggregate for this clause (o).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8"/>
          <w:szCs w:val="18"/>
          <w:i w:val="1"/>
          <w:iCs w:val="1"/>
          <w:color w:val="auto"/>
        </w:rPr>
        <w:t xml:space="preserve">“Permitted Modification” </w:t>
      </w:r>
      <w:r>
        <w:rPr>
          <w:rFonts w:ascii="Arial" w:cs="Arial" w:eastAsia="Arial" w:hAnsi="Arial"/>
          <w:sz w:val="18"/>
          <w:szCs w:val="18"/>
          <w:color w:val="auto"/>
        </w:rPr>
        <w:t>is defined in Section 10.1(a) of the Lease.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“Permitted Restructurings” </w:t>
      </w:r>
      <w:r>
        <w:rPr>
          <w:rFonts w:ascii="Arial" w:cs="Arial" w:eastAsia="Arial" w:hAnsi="Arial"/>
          <w:sz w:val="16"/>
          <w:szCs w:val="16"/>
          <w:color w:val="auto"/>
        </w:rPr>
        <w:t>means a transaction or series of transactions pursuant to which direct and indirect Subsidiaries of the Parent Guarantor</w:t>
      </w:r>
      <w:r>
        <w:rPr>
          <w:rFonts w:ascii="Arial" w:cs="Arial" w:eastAsia="Arial" w:hAnsi="Arial"/>
          <w:sz w:val="16"/>
          <w:szCs w:val="16"/>
          <w:i w:val="1"/>
          <w:iCs w:val="1"/>
          <w:color w:val="auto"/>
        </w:rPr>
        <w:t xml:space="preserve"> </w:t>
      </w:r>
      <w:r>
        <w:rPr>
          <w:rFonts w:ascii="Arial" w:cs="Arial" w:eastAsia="Arial" w:hAnsi="Arial"/>
          <w:sz w:val="16"/>
          <w:szCs w:val="16"/>
          <w:color w:val="auto"/>
        </w:rPr>
        <w:t>are converted, restructured or reorganized for tax planning or due to changes or potential changes in any relevant legal or regulatory framework, whether by</w:t>
      </w:r>
    </w:p>
    <w:p>
      <w:pPr>
        <w:jc w:val="both"/>
        <w:ind w:firstLine="8"/>
        <w:spacing w:after="0" w:line="252" w:lineRule="auto"/>
        <w:tabs>
          <w:tab w:leader="none" w:pos="21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transfer, (ii) acquisition, (iii) contribution, (iv) merger, (v) consolidation, (vi) voluntary dissolution, (vii) liquidation, (viii) recapitalization, (ix) change in identity, form, place of organization, incorporation, domicile or, to the extent relevant, centre of main interests (as that term is used in Article 3(1) of the Council of the European Union Regulation No. 1346/2000 on Insolvency Proceedings), or (x) otherwise, in each case the result of which may cause a direct or indirect sale, assignment or transfer of Equity Interests and/or other assets between and among the Parent Guarantor and/or various Subsidiaries of the Parent Guarantor, and in each case to the extent the Administrative Agent (acting in its reasonable credit judgment) approves such Permitted Restructuring (it being understood and agreed that the proposed Permitted Restructurings disclosed in writing by the Parent Guarantor to the Administrative Agent prior to the Restatement Date are approved).</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natural person, corporation, limited liability company, trust, joint venture, association, company, partnership,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“Personalty” </w:t>
      </w:r>
      <w:r>
        <w:rPr>
          <w:rFonts w:ascii="Arial" w:cs="Arial" w:eastAsia="Arial" w:hAnsi="Arial"/>
          <w:sz w:val="18"/>
          <w:szCs w:val="18"/>
          <w:color w:val="auto"/>
        </w:rPr>
        <w:t>is defined in Section 24.2(c) of the Lease.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any employee pension benefit plan (other than a Multiemployer Plan) subject to the provisions of Title IV of ERISA or Section 412</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Code or Section 302 of ERISA, and in respect of which the Parent Guarantor or any ERISA Affiliate is (or, if such plan were terminated, would under Section 4069 of ERISA be deemed to be) an “employer” as defined in Section 3(5) of ERISA.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4" w:name="page125"/>
    <w:bookmarkEnd w:id="124"/>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“Priority Indebtedness” </w:t>
      </w:r>
      <w:r>
        <w:rPr>
          <w:rFonts w:ascii="Arial" w:cs="Arial" w:eastAsia="Arial" w:hAnsi="Arial"/>
          <w:sz w:val="18"/>
          <w:szCs w:val="18"/>
          <w:color w:val="auto"/>
        </w:rPr>
        <w:t>means (a) Indebtedness of the Parent Guarantor or any Subsidiary secured by any Lien on any asset(s) of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or any Subsidiary and (b) unsecured Indebtedness of any Subsidiary (other than Lessee, a Bank Credit Agreement Specified Loan Party or a Subsidiary Guarantor), in each case owing to a Person other than the Parent Guarantor or any Subsidiary.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“Purchase Agreement” </w:t>
      </w:r>
      <w:r>
        <w:rPr>
          <w:rFonts w:ascii="Arial" w:cs="Arial" w:eastAsia="Arial" w:hAnsi="Arial"/>
          <w:sz w:val="18"/>
          <w:szCs w:val="18"/>
          <w:color w:val="auto"/>
        </w:rPr>
        <w:t>means the Purchase Agreement, dated as of December 30, 2016, between Sellers and Lessee (as assignee of Parent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“Purchase Amount” </w:t>
      </w:r>
      <w:r>
        <w:rPr>
          <w:rFonts w:ascii="Arial" w:cs="Arial" w:eastAsia="Arial" w:hAnsi="Arial"/>
          <w:sz w:val="18"/>
          <w:szCs w:val="18"/>
          <w:color w:val="auto"/>
        </w:rPr>
        <w:t>means, as of any date of determination and without duplication, the sum of (a) the Lease Balance,</w:t>
      </w:r>
      <w:r>
        <w:rPr>
          <w:rFonts w:ascii="Arial" w:cs="Arial" w:eastAsia="Arial" w:hAnsi="Arial"/>
          <w:sz w:val="18"/>
          <w:szCs w:val="18"/>
          <w:i w:val="1"/>
          <w:iCs w:val="1"/>
          <w:color w:val="auto"/>
        </w:rPr>
        <w:t xml:space="preserve"> plus </w:t>
      </w:r>
      <w:r>
        <w:rPr>
          <w:rFonts w:ascii="Arial" w:cs="Arial" w:eastAsia="Arial" w:hAnsi="Arial"/>
          <w:sz w:val="18"/>
          <w:szCs w:val="18"/>
          <w:color w:val="auto"/>
        </w:rPr>
        <w:t>(b) all other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owing by Lessee to the Administrative Agent, if any, and/or the Participants under the Operative Documents (including, but without duplication, accrued and unpaid Rent),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(c) all Break Costs.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“Purchase Notice” </w:t>
      </w:r>
      <w:r>
        <w:rPr>
          <w:rFonts w:ascii="Arial" w:cs="Arial" w:eastAsia="Arial" w:hAnsi="Arial"/>
          <w:sz w:val="18"/>
          <w:szCs w:val="18"/>
          <w:color w:val="auto"/>
        </w:rPr>
        <w:t>means an irrevocable written notice by the Lessee delivered to the Lessor pursuant to Section 18.1 of the Lease, notifying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of the Lessee’s intention to exercise its Early Termination Option, and the proposed purchase date therefor.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“Purchase Option” </w:t>
      </w:r>
      <w:r>
        <w:rPr>
          <w:rFonts w:ascii="Arial" w:cs="Arial" w:eastAsia="Arial" w:hAnsi="Arial"/>
          <w:sz w:val="18"/>
          <w:szCs w:val="18"/>
          <w:color w:val="auto"/>
        </w:rPr>
        <w:t>is defined in Section 19.1(b)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means Seven Hundred Twenty Million Dollars ($720,000,000.00).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“PwC” </w:t>
      </w:r>
      <w:r>
        <w:rPr>
          <w:rFonts w:ascii="Arial" w:cs="Arial" w:eastAsia="Arial" w:hAnsi="Arial"/>
          <w:sz w:val="18"/>
          <w:szCs w:val="18"/>
          <w:color w:val="auto"/>
        </w:rPr>
        <w:t>means PricewaterhouseCoopers LLP.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“Recipient” </w:t>
      </w:r>
      <w:r>
        <w:rPr>
          <w:rFonts w:ascii="Arial" w:cs="Arial" w:eastAsia="Arial" w:hAnsi="Arial"/>
          <w:sz w:val="18"/>
          <w:szCs w:val="18"/>
          <w:color w:val="auto"/>
        </w:rPr>
        <w:t>is defined in Section 12.3 of the Participation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“Related Municipal Party” </w:t>
      </w:r>
      <w:r>
        <w:rPr>
          <w:rFonts w:ascii="Arial" w:cs="Arial" w:eastAsia="Arial" w:hAnsi="Arial"/>
          <w:sz w:val="18"/>
          <w:szCs w:val="18"/>
          <w:color w:val="auto"/>
        </w:rPr>
        <w:t>means the industrial development agency or other Governmental Authority party to a Tax Abatement Transaction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if applicable, any trustee or agent with respect to such Tax Abatement Transaction.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“Related Parties” </w:t>
      </w:r>
      <w:r>
        <w:rPr>
          <w:rFonts w:ascii="Arial" w:cs="Arial" w:eastAsia="Arial" w:hAnsi="Arial"/>
          <w:sz w:val="18"/>
          <w:szCs w:val="18"/>
          <w:color w:val="auto"/>
        </w:rPr>
        <w:t>means, with respect to any specified Person, such Person’s Affiliates and the respective partners, directors, officers,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agents, trustees, administrators, managers, advisors and representatives of such Person and of such Person’s Affiliates.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“Release” </w:t>
      </w:r>
      <w:r>
        <w:rPr>
          <w:rFonts w:ascii="Arial" w:cs="Arial" w:eastAsia="Arial" w:hAnsi="Arial"/>
          <w:sz w:val="18"/>
          <w:szCs w:val="18"/>
          <w:color w:val="auto"/>
        </w:rPr>
        <w:t>means any release, migrating, pumping, pouring, emptying, injecting, escaping, leaching, dumping, seepage, spill, leak, flow,</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 disposal or emission of a Hazardous Substance into the environment, including, without limitation, ambient air, surface water, ground water or land.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Effective Date”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Option” </w:t>
      </w:r>
      <w:r>
        <w:rPr>
          <w:rFonts w:ascii="Arial" w:cs="Arial" w:eastAsia="Arial" w:hAnsi="Arial"/>
          <w:sz w:val="18"/>
          <w:szCs w:val="18"/>
          <w:color w:val="auto"/>
        </w:rPr>
        <w:t>is defined in Section 19.1(a) of the Lease.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5" w:name="page126"/>
    <w:bookmarkEnd w:id="125"/>
    <w:p>
      <w:pPr>
        <w:ind w:left="660"/>
        <w:spacing w:after="0"/>
        <w:rPr>
          <w:sz w:val="20"/>
          <w:szCs w:val="20"/>
          <w:color w:val="auto"/>
        </w:rPr>
      </w:pPr>
      <w:r>
        <w:rPr>
          <w:rFonts w:ascii="Arial" w:cs="Arial" w:eastAsia="Arial" w:hAnsi="Arial"/>
          <w:sz w:val="18"/>
          <w:szCs w:val="18"/>
          <w:i w:val="1"/>
          <w:iCs w:val="1"/>
          <w:color w:val="auto"/>
        </w:rPr>
        <w:t xml:space="preserve">“Renewal Option Request”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Option Response Date”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Rescission” </w:t>
      </w:r>
      <w:r>
        <w:rPr>
          <w:rFonts w:ascii="Arial" w:cs="Arial" w:eastAsia="Arial" w:hAnsi="Arial"/>
          <w:sz w:val="18"/>
          <w:szCs w:val="18"/>
          <w:color w:val="auto"/>
        </w:rPr>
        <w:t>is defined in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Rescission Period” </w:t>
      </w:r>
      <w:r>
        <w:rPr>
          <w:rFonts w:ascii="Arial" w:cs="Arial" w:eastAsia="Arial" w:hAnsi="Arial"/>
          <w:sz w:val="18"/>
          <w:szCs w:val="18"/>
          <w:color w:val="auto"/>
        </w:rPr>
        <w:t>is defined in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“Rent” </w:t>
      </w:r>
      <w:r>
        <w:rPr>
          <w:rFonts w:ascii="Arial" w:cs="Arial" w:eastAsia="Arial" w:hAnsi="Arial"/>
          <w:sz w:val="18"/>
          <w:szCs w:val="18"/>
          <w:color w:val="auto"/>
        </w:rPr>
        <w:t>means, collectively, the Basic Rent and the Supplemental Rent, in each case payable under the Lease.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“Rent Assignees” </w:t>
      </w:r>
      <w:r>
        <w:rPr>
          <w:rFonts w:ascii="Arial" w:cs="Arial" w:eastAsia="Arial" w:hAnsi="Arial"/>
          <w:sz w:val="16"/>
          <w:szCs w:val="16"/>
          <w:color w:val="auto"/>
        </w:rPr>
        <w:t>means, collectively, each of the Persons named as a “Rent Assignee” on Schedule II to the Participation Agreement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successors and assigns in such capacity that shall have become a Rent Assignee under the Rent Assignment Agreement and Participation Agreement pursuant to an Assignment Agreement or other documentation contemplated thereby, other than any such Person that ceases to be a party to the Rent Assignment Agreement and the Participation Agreement pursuant to an Assignment Agreement or as otherwise contemplated thereby.</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“Rent Assignment Agreement” </w:t>
      </w:r>
      <w:r>
        <w:rPr>
          <w:rFonts w:ascii="Arial" w:cs="Arial" w:eastAsia="Arial" w:hAnsi="Arial"/>
          <w:sz w:val="18"/>
          <w:szCs w:val="18"/>
          <w:color w:val="auto"/>
        </w:rPr>
        <w:t>means the Rent Assignment Agreement dated as of the Execution Date and effective as of the Restatement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among Lessor, the Administrative Agent, and the Rent Assignees.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“Rent Assignment Contribution Amount” </w:t>
      </w:r>
      <w:r>
        <w:rPr>
          <w:rFonts w:ascii="Arial" w:cs="Arial" w:eastAsia="Arial" w:hAnsi="Arial"/>
          <w:sz w:val="18"/>
          <w:szCs w:val="18"/>
          <w:color w:val="auto"/>
        </w:rPr>
        <w:t>means, as of any date of determination, the aggregate amount, as indicated on Schedule II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 of each Rent Assignee’s Loan Balance, or portion thereof, as indicated on Schedule II, as converted pursuant to Section 3.1 of this Participation Agreement (and after giving effect to the assignments among the Rent Assignees provided for in Section 3.1(c) thereof), and deemed Advanced under the Rent Assignment Agreement, in each case as shown on Schedule II attached to this Participation Agreement, net of any distributions (other than distributions of Yield) with respect thereto.</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“Rent Assignment Contribution Balance” </w:t>
      </w:r>
      <w:r>
        <w:rPr>
          <w:rFonts w:ascii="Arial" w:cs="Arial" w:eastAsia="Arial" w:hAnsi="Arial"/>
          <w:sz w:val="18"/>
          <w:szCs w:val="18"/>
          <w:color w:val="auto"/>
        </w:rPr>
        <w:t>means, as of any date of determination, the aggregate principal amount of the outstanding Rent</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 Contribution Amount, together with all accrued and unpaid Yield thereon.</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“Rent Assignment Contribution Commitment” </w:t>
      </w:r>
      <w:r>
        <w:rPr>
          <w:rFonts w:ascii="Arial" w:cs="Arial" w:eastAsia="Arial" w:hAnsi="Arial"/>
          <w:sz w:val="17"/>
          <w:szCs w:val="17"/>
          <w:color w:val="auto"/>
        </w:rPr>
        <w:t>means the commitments of the Rent Assignees to make Rent Assignment Contributions 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Restatement Date in an aggregate principal amount set forth on Schedule II to the Participation Agreement as of the Restatement Date.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“Rent Assignment Contribution Commitment Amount” </w:t>
      </w:r>
      <w:r>
        <w:rPr>
          <w:rFonts w:ascii="Arial" w:cs="Arial" w:eastAsia="Arial" w:hAnsi="Arial"/>
          <w:sz w:val="18"/>
          <w:szCs w:val="18"/>
          <w:color w:val="auto"/>
        </w:rPr>
        <w:t>means the principal amount for each Rent Assignee set forth on Schedule II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 as of the Restatement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“Rent Assignment Contributions” </w:t>
      </w:r>
      <w:r>
        <w:rPr>
          <w:rFonts w:ascii="Arial" w:cs="Arial" w:eastAsia="Arial" w:hAnsi="Arial"/>
          <w:sz w:val="18"/>
          <w:szCs w:val="18"/>
          <w:color w:val="auto"/>
        </w:rPr>
        <w:t>is defined in Section 2.1 of the Rent Assignment Agreement. For the avoidance of doubt, the amount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Rent Assignee’s Rent Assignment Contribution as of any date of determination after the Restatement Date shall be calculated net of any distributions (other than distributions of Yield) with respect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“Rent Assignment Interest” </w:t>
      </w:r>
      <w:r>
        <w:rPr>
          <w:rFonts w:ascii="Arial" w:cs="Arial" w:eastAsia="Arial" w:hAnsi="Arial"/>
          <w:sz w:val="18"/>
          <w:szCs w:val="18"/>
          <w:color w:val="auto"/>
        </w:rPr>
        <w:t>is defined in Section 2.3 of the Rent Assignment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“Required Modification” </w:t>
      </w:r>
      <w:r>
        <w:rPr>
          <w:rFonts w:ascii="Arial" w:cs="Arial" w:eastAsia="Arial" w:hAnsi="Arial"/>
          <w:sz w:val="18"/>
          <w:szCs w:val="18"/>
          <w:color w:val="auto"/>
        </w:rPr>
        <w:t>is defined in Section 10.1(a) of the Lease.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“Required Participants” </w:t>
      </w:r>
      <w:r>
        <w:rPr>
          <w:rFonts w:ascii="Arial" w:cs="Arial" w:eastAsia="Arial" w:hAnsi="Arial"/>
          <w:sz w:val="18"/>
          <w:szCs w:val="18"/>
          <w:color w:val="auto"/>
        </w:rPr>
        <w:t>means, at any time, the Participants whose aggregate Credit Exposures (as hereinafter defined) constitute more than 50%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aggregate Credit Exposure of all Participants at such time. For purposes of the preceding sentence, the term </w:t>
      </w:r>
      <w:r>
        <w:rPr>
          <w:rFonts w:ascii="Arial" w:cs="Arial" w:eastAsia="Arial" w:hAnsi="Arial"/>
          <w:sz w:val="18"/>
          <w:szCs w:val="18"/>
          <w:i w:val="1"/>
          <w:iCs w:val="1"/>
          <w:color w:val="auto"/>
        </w:rPr>
        <w:t>“Credit Exposure”</w:t>
      </w:r>
      <w:r>
        <w:rPr>
          <w:rFonts w:ascii="Arial" w:cs="Arial" w:eastAsia="Arial" w:hAnsi="Arial"/>
          <w:sz w:val="18"/>
          <w:szCs w:val="18"/>
          <w:color w:val="auto"/>
        </w:rPr>
        <w:t xml:space="preserve"> as applied to (i) the Lessor shall mean the outstanding Lessor Amount owed to the Lessor at such time and (ii) each Rent Assignee shall mean the aggregate principal amount of Rent Assignment Contribution Amount held by such Rent Assignee at such time net of any distributions (other than distributions of Yield) with respect thereto.</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means, relative to the Lessee or a Guarantor, as the context may require, the chief executive officer, president, a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chief legal officer of the Lessee or such Guarantor, as applicable, or any other Person designated by the Lessee or such Guarantor, as applicable, in writing to the Administrative Agent and reasonably acceptable to the Administrative Agent.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“Responsible Officer’s Certificate” </w:t>
      </w:r>
      <w:r>
        <w:rPr>
          <w:rFonts w:ascii="Arial" w:cs="Arial" w:eastAsia="Arial" w:hAnsi="Arial"/>
          <w:sz w:val="18"/>
          <w:szCs w:val="18"/>
          <w:color w:val="auto"/>
        </w:rPr>
        <w:t>means a certificate signed by any Responsible Officer of the Lessee or a Guarantor, as the context may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which certificate shall certify as true and correct the subject matter being certified to in such certificate.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“Restated Operative Documents” </w:t>
      </w:r>
      <w:r>
        <w:rPr>
          <w:rFonts w:ascii="Arial" w:cs="Arial" w:eastAsia="Arial" w:hAnsi="Arial"/>
          <w:sz w:val="18"/>
          <w:szCs w:val="18"/>
          <w:color w:val="auto"/>
        </w:rPr>
        <w:t>means, collectively, the Participation Agreement, the Guaranty, and the Lease, in each case, as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as of the Restatement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“Restatement Date” </w:t>
      </w:r>
      <w:r>
        <w:rPr>
          <w:rFonts w:ascii="Arial" w:cs="Arial" w:eastAsia="Arial" w:hAnsi="Arial"/>
          <w:sz w:val="18"/>
          <w:szCs w:val="18"/>
          <w:color w:val="auto"/>
        </w:rPr>
        <w:t>is defined in Section 2.4 of the Participation Agreement.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“Restricted Payment” </w:t>
      </w:r>
      <w:r>
        <w:rPr>
          <w:rFonts w:ascii="Arial" w:cs="Arial" w:eastAsia="Arial" w:hAnsi="Arial"/>
          <w:sz w:val="16"/>
          <w:szCs w:val="16"/>
          <w:color w:val="auto"/>
        </w:rPr>
        <w:t>means (a) any dividend or other distribution (whether in cash, securities or other property) with respect to any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the Parent Guarantor or any Subsidiary, and (b) any payment (whether in cash, securities or other property), including any sinking fund or similar deposit, on account of the purchase, redemption, retirement, acquisition, cancellation or termination of any Equity Interests in the Parent Guarantor or any option, warrant or other similar right to acquire any such Equity Interests in the Parent Guarantor. Notwithstanding the foregoing, and for the avoidance of doubt, any of the foregoing directly on account of any Permitted Convertible Notes or any Permitted Call Spread Swap Agreement, including</w:t>
      </w:r>
    </w:p>
    <w:p>
      <w:pPr>
        <w:spacing w:after="0" w:line="2" w:lineRule="exact"/>
        <w:rPr>
          <w:sz w:val="20"/>
          <w:szCs w:val="20"/>
          <w:color w:val="auto"/>
        </w:rPr>
      </w:pPr>
    </w:p>
    <w:p>
      <w:pPr>
        <w:jc w:val="both"/>
        <w:ind w:firstLine="8"/>
        <w:spacing w:after="0" w:line="253" w:lineRule="auto"/>
        <w:tabs>
          <w:tab w:leader="none" w:pos="2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issuance of, conversion of (including any cash payment upon conversion), or payment of any principal or premium on, or payment of any interest with respect to, or any other exercise of rights or performance of obligations under any Permitted Convertible Notes and (ii) any entry into, payment with respect to, or early unwind or settlement of, or any other exercise of rights or performance of obligations under any Permitted Call Spread Swap Agreement, in any such case, shall not constitute a Restricted Payment.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ind w:left="66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Services, a Standard &amp; Poor’s Financial Services LLC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“Sale and Leaseback Transaction” </w:t>
      </w:r>
      <w:r>
        <w:rPr>
          <w:rFonts w:ascii="Arial" w:cs="Arial" w:eastAsia="Arial" w:hAnsi="Arial"/>
          <w:sz w:val="18"/>
          <w:szCs w:val="18"/>
          <w:color w:val="auto"/>
        </w:rPr>
        <w:t>means any sale or other transfer of any property or asset by any Person with the intent to lease such property or</w:t>
      </w:r>
      <w:r>
        <w:rPr>
          <w:rFonts w:ascii="Arial" w:cs="Arial" w:eastAsia="Arial" w:hAnsi="Arial"/>
          <w:sz w:val="18"/>
          <w:szCs w:val="18"/>
          <w:i w:val="1"/>
          <w:iCs w:val="1"/>
          <w:color w:val="auto"/>
        </w:rPr>
        <w:t xml:space="preserve"> </w:t>
      </w:r>
      <w:r>
        <w:rPr>
          <w:rFonts w:ascii="Arial" w:cs="Arial" w:eastAsia="Arial" w:hAnsi="Arial"/>
          <w:sz w:val="18"/>
          <w:szCs w:val="18"/>
          <w:color w:val="auto"/>
        </w:rPr>
        <w:t>asset as lessee.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“Sale Option” </w:t>
      </w:r>
      <w:r>
        <w:rPr>
          <w:rFonts w:ascii="Arial" w:cs="Arial" w:eastAsia="Arial" w:hAnsi="Arial"/>
          <w:sz w:val="18"/>
          <w:szCs w:val="18"/>
          <w:color w:val="auto"/>
        </w:rPr>
        <w:t>is defined in Section 19.1(c) of the Lease.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“Sale Option Recourse Amount” </w:t>
      </w:r>
      <w:r>
        <w:rPr>
          <w:rFonts w:ascii="Arial" w:cs="Arial" w:eastAsia="Arial" w:hAnsi="Arial"/>
          <w:sz w:val="17"/>
          <w:szCs w:val="17"/>
          <w:color w:val="auto"/>
        </w:rPr>
        <w:t>means, as of any date of determination, the Lease Balance and all other amounts owing by Lessee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if any, and/or the Participants under the Operative Documents (including, but without duplication, accrued and unpaid Rent).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“Sanctioned Country” </w:t>
      </w:r>
      <w:r>
        <w:rPr>
          <w:rFonts w:ascii="Arial" w:cs="Arial" w:eastAsia="Arial" w:hAnsi="Arial"/>
          <w:sz w:val="18"/>
          <w:szCs w:val="18"/>
          <w:color w:val="auto"/>
        </w:rPr>
        <w:t>means, at any time, a country, region or territory which is itself the subject or target of any comprehensive Sanctions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for purposes of illustration and clarification includes, as of the Restatement Date, Crimea, Cuba, Iran, North Korea, Syria, Donetsk People’s Republic and Luhansk People’s Republic).</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“Sanctioned Person” </w:t>
      </w:r>
      <w:r>
        <w:rPr>
          <w:rFonts w:ascii="Arial" w:cs="Arial" w:eastAsia="Arial" w:hAnsi="Arial"/>
          <w:sz w:val="18"/>
          <w:szCs w:val="18"/>
          <w:color w:val="auto"/>
        </w:rPr>
        <w:t>means, at any time, (a) any Person listed in any Sanctions-related list of designated Persons maintained by OFAC or the U.S.</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State, (b) any Person located, organized or resident in a Sanctioned Country, or (c) any Person owned 50% or more or controlled by any such Person described in clause (a) or (b) above.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“Sanctions” </w:t>
      </w:r>
      <w:r>
        <w:rPr>
          <w:rFonts w:ascii="Arial" w:cs="Arial" w:eastAsia="Arial" w:hAnsi="Arial"/>
          <w:sz w:val="17"/>
          <w:szCs w:val="17"/>
          <w:color w:val="auto"/>
        </w:rPr>
        <w:t>means economic or financial sanctions or trade embargoes imposed, administered or enforced from time to time by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including those administered by OFAC or the U.S. Department of State.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Scheduled Unavailability Date</w:t>
      </w:r>
      <w:r>
        <w:rPr>
          <w:rFonts w:ascii="Arial" w:cs="Arial" w:eastAsia="Arial" w:hAnsi="Arial"/>
          <w:sz w:val="18"/>
          <w:szCs w:val="18"/>
          <w:color w:val="auto"/>
        </w:rPr>
        <w:t>” is defined in Section 14.10(b)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“SEC” </w:t>
      </w:r>
      <w:r>
        <w:rPr>
          <w:rFonts w:ascii="Arial" w:cs="Arial" w:eastAsia="Arial" w:hAnsi="Arial"/>
          <w:sz w:val="16"/>
          <w:szCs w:val="16"/>
          <w:color w:val="auto"/>
        </w:rPr>
        <w:t>means the United States Securities and Exchange Commission or any Governmental Authority succeeding to any of its principal functions.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United States Securities Act of 1933.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“Security Instruments” </w:t>
      </w:r>
      <w:r>
        <w:rPr>
          <w:rFonts w:ascii="Arial" w:cs="Arial" w:eastAsia="Arial" w:hAnsi="Arial"/>
          <w:sz w:val="18"/>
          <w:szCs w:val="18"/>
          <w:color w:val="auto"/>
        </w:rPr>
        <w:t>means the Lease, the Assignment of Mortgage, the Consolidated Mortgage, the Assignment of Leases and the UCC</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“Security Property” </w:t>
      </w:r>
      <w:r>
        <w:rPr>
          <w:rFonts w:ascii="Arial" w:cs="Arial" w:eastAsia="Arial" w:hAnsi="Arial"/>
          <w:sz w:val="18"/>
          <w:szCs w:val="18"/>
          <w:color w:val="auto"/>
        </w:rPr>
        <w:t>is defined in Section 24.2(b)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“Sellers” </w:t>
      </w:r>
      <w:r>
        <w:rPr>
          <w:rFonts w:ascii="Arial" w:cs="Arial" w:eastAsia="Arial" w:hAnsi="Arial"/>
          <w:sz w:val="18"/>
          <w:szCs w:val="18"/>
          <w:color w:val="auto"/>
        </w:rPr>
        <w:t>means BMR-Landmark at Eastview LLC and BMR-Landmark at Eastview IV LLC.</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Series A Yield Rate</w:t>
      </w:r>
      <w:r>
        <w:rPr>
          <w:rFonts w:ascii="Arial" w:cs="Arial" w:eastAsia="Arial" w:hAnsi="Arial"/>
          <w:sz w:val="16"/>
          <w:szCs w:val="16"/>
          <w:color w:val="auto"/>
        </w:rPr>
        <w:t>” means, with respect to any Interest Period (A) the sum of the Term SOFR Rate for such Interest Period, plus the Applicable Margin for the Rent Assignment Contributions, and (B) if the provisions of Section 14.1 or Section 14.10 of the Participation Agreement shall apply for such Interest Period, the Alternate Base Rate or the Successor Rate (plus the Applicable Margin), as applicable, for the Rent Assignment Contributions.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Series B Yield Rate</w:t>
      </w:r>
      <w:r>
        <w:rPr>
          <w:rFonts w:ascii="Arial" w:cs="Arial" w:eastAsia="Arial" w:hAnsi="Arial"/>
          <w:sz w:val="17"/>
          <w:szCs w:val="17"/>
          <w:color w:val="auto"/>
        </w:rPr>
        <w:t>” means, with respect to any Interest Period (A) the sum of the Term SOFR Rate for such Interest Period, plus the Applicable Margin for the Lessor Amount, and (B) if the provisions of Section 14.1 or Section 14.10 of the Participation Agreement shall apply for such Interest Period, the Alternate Base Rate or the Successor Rate (plus the Applicable Margin), as applicable, for the Lessor Amount.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“Significant Casualty” </w:t>
      </w:r>
      <w:r>
        <w:rPr>
          <w:rFonts w:ascii="Arial" w:cs="Arial" w:eastAsia="Arial" w:hAnsi="Arial"/>
          <w:sz w:val="18"/>
          <w:szCs w:val="18"/>
          <w:color w:val="auto"/>
        </w:rPr>
        <w:t>means that the Leased Property shall suffer (i) damage or destruction if the resulting cost to repair or restore the Leased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is in excess of $100,000,000 and cannot be restored prior to the Expiration Date or (ii) damage or destruction if the resulting cost to repair or restore the Leased Property is in excess of $250,000,000.</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“Significant Condemnation” </w:t>
      </w:r>
      <w:r>
        <w:rPr>
          <w:rFonts w:ascii="Arial" w:cs="Arial" w:eastAsia="Arial" w:hAnsi="Arial"/>
          <w:sz w:val="17"/>
          <w:szCs w:val="17"/>
          <w:color w:val="auto"/>
        </w:rPr>
        <w:t>means that (i) (x) title to all or any material portion of the Leased Property shall be taken or appropriated by a</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Authority under the power of eminent domain or otherwise, (y) all or any material portion of the Leased Property shall be taken, confiscated, seized or requisitioned for use by any Governmental Authority under the power of eminent domain or otherwise, and such taking, confiscation, seizure or requisition for use pursuant to this clause (y) is for a period that exceeds one hundred eighty (180) consecutive days or, if less, the remaining portion of the Term, or (ii) as a result of any rule, regulation, order or other action by any Governmental Authority, the use of the Leased Property in commercial operation shall have been prohibited, directly or indirectly, for a period of sixty (60) consecutive days.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“Significant Environmental Event” </w:t>
      </w:r>
      <w:r>
        <w:rPr>
          <w:rFonts w:ascii="Arial" w:cs="Arial" w:eastAsia="Arial" w:hAnsi="Arial"/>
          <w:sz w:val="18"/>
          <w:szCs w:val="18"/>
          <w:color w:val="auto"/>
        </w:rPr>
        <w:t>means an Environmental Violation the cost of remediation of which, in the reasonable judgment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environmental consultant would exceed $1,000,000.</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“Site” </w:t>
      </w:r>
      <w:r>
        <w:rPr>
          <w:rFonts w:ascii="Arial" w:cs="Arial" w:eastAsia="Arial" w:hAnsi="Arial"/>
          <w:sz w:val="18"/>
          <w:szCs w:val="18"/>
          <w:color w:val="auto"/>
        </w:rPr>
        <w:t>means an approximately 150-acre parcel of real property and the Facility and other improvements thereon located in the towns of Mount</w:t>
      </w:r>
      <w:r>
        <w:rPr>
          <w:rFonts w:ascii="Arial" w:cs="Arial" w:eastAsia="Arial" w:hAnsi="Arial"/>
          <w:sz w:val="18"/>
          <w:szCs w:val="18"/>
          <w:i w:val="1"/>
          <w:iCs w:val="1"/>
          <w:color w:val="auto"/>
        </w:rPr>
        <w:t xml:space="preserve"> </w:t>
      </w:r>
      <w:r>
        <w:rPr>
          <w:rFonts w:ascii="Arial" w:cs="Arial" w:eastAsia="Arial" w:hAnsi="Arial"/>
          <w:sz w:val="18"/>
          <w:szCs w:val="18"/>
          <w:color w:val="auto"/>
        </w:rPr>
        <w:t>Pleasant and Greenburgh, New York as more fully described in the Lease, including any Appurtenant Rights, but, in any such case, excluding Excluded Property. Notwithstanding the foregoing, the Facility, Site and Leased Property shall be deemed to exclude that portion of the Facility, Site or Leased Property which is subject to the Parcel D Ground Lease.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SOFR</w:t>
      </w:r>
      <w:r>
        <w:rPr>
          <w:rFonts w:ascii="Arial" w:cs="Arial" w:eastAsia="Arial" w:hAnsi="Arial"/>
          <w:sz w:val="16"/>
          <w:szCs w:val="16"/>
          <w:color w:val="auto"/>
        </w:rPr>
        <w:t>” means the Secured Overnight Financing Rate as administered by the Federal Reserve Bank of New York (or a successor administrator).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SOFR Adjustment</w:t>
      </w:r>
      <w:r>
        <w:rPr>
          <w:rFonts w:ascii="Arial" w:cs="Arial" w:eastAsia="Arial" w:hAnsi="Arial"/>
          <w:sz w:val="16"/>
          <w:szCs w:val="16"/>
          <w:color w:val="auto"/>
        </w:rPr>
        <w:t>” with respect to Daily Simple SOFR means 0.10% (10 basis points); and with respect to Term SOFR means 0.10% (10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points).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“Specified Lease Arrangements” </w:t>
      </w:r>
      <w:r>
        <w:rPr>
          <w:rFonts w:ascii="Arial" w:cs="Arial" w:eastAsia="Arial" w:hAnsi="Arial"/>
          <w:sz w:val="17"/>
          <w:szCs w:val="17"/>
          <w:color w:val="auto"/>
        </w:rPr>
        <w:t>means, to the extent any of the following constitute Capital Lease Obligations (but for the provisions set forth in</w:t>
      </w:r>
      <w:r>
        <w:rPr>
          <w:rFonts w:ascii="Arial" w:cs="Arial" w:eastAsia="Arial" w:hAnsi="Arial"/>
          <w:sz w:val="17"/>
          <w:szCs w:val="17"/>
          <w:i w:val="1"/>
          <w:iCs w:val="1"/>
          <w:color w:val="auto"/>
        </w:rPr>
        <w:t xml:space="preserve"> </w:t>
      </w:r>
      <w:r>
        <w:rPr>
          <w:rFonts w:ascii="Arial" w:cs="Arial" w:eastAsia="Arial" w:hAnsi="Arial"/>
          <w:sz w:val="17"/>
          <w:szCs w:val="17"/>
          <w:color w:val="auto"/>
        </w:rPr>
        <w:t>clause (b) of this Appendix 1 to the Participation Agreement) or other obligations reflected as a liability on the consolidated balance sheet of the Parent Guarantor, (a) any obligations of the Parent Guarantor and its Subsidiaries owed to any Affiliates of the Parent Guarantor related to leases of assets (whether pursuant to a Sale and Leaseback Transaction or otherwise), (b) any arrangement similar to either of the Existing Leases identified in clause “(a)” or “(b)” of the definition thereof (each as in effect immediately prior to the Original Closing Date), (c) the Obligations and Liabilities and (d) any lease or other obligation that was or would have been categorized as “facility lease obligations” or “facility financing obligations” on the Parent Guarantor’s consolidated balance sheet as of the Bank Credit Agreement Effective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ind w:left="660"/>
        <w:spacing w:after="0"/>
        <w:rPr>
          <w:sz w:val="20"/>
          <w:szCs w:val="20"/>
          <w:color w:val="auto"/>
        </w:rPr>
      </w:pPr>
      <w:r>
        <w:rPr>
          <w:rFonts w:ascii="Arial" w:cs="Arial" w:eastAsia="Arial" w:hAnsi="Arial"/>
          <w:sz w:val="18"/>
          <w:szCs w:val="18"/>
          <w:i w:val="1"/>
          <w:iCs w:val="1"/>
          <w:color w:val="auto"/>
        </w:rPr>
        <w:t xml:space="preserve">“Specified Material Environmental Violation” </w:t>
      </w:r>
      <w:r>
        <w:rPr>
          <w:rFonts w:ascii="Arial" w:cs="Arial" w:eastAsia="Arial" w:hAnsi="Arial"/>
          <w:sz w:val="18"/>
          <w:szCs w:val="18"/>
          <w:color w:val="auto"/>
        </w:rPr>
        <w:t>is defined in Section 14.3(b) of the Lease.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“Specified Significant Environmental Event” </w:t>
      </w:r>
      <w:r>
        <w:rPr>
          <w:rFonts w:ascii="Arial" w:cs="Arial" w:eastAsia="Arial" w:hAnsi="Arial"/>
          <w:sz w:val="18"/>
          <w:szCs w:val="18"/>
          <w:color w:val="auto"/>
        </w:rPr>
        <w:t>means (a) the occurrence of a Specified Material Environmental Violation but only to the extent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 so long as the Lessor shall have the right to terminate the Lease pursuant to Section 14.3(b) of the Lease due to such Specified Material Environmental Violation or (b) an Environmental Violation the cost of remediation of which, in the reasonable judgment of the Participants, after consultation with an independent environmental consultant and the Lessee, would exceed $25,000,000.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“Specified Tax Abatement Documents” </w:t>
      </w:r>
      <w:r>
        <w:rPr>
          <w:rFonts w:ascii="Arial" w:cs="Arial" w:eastAsia="Arial" w:hAnsi="Arial"/>
          <w:sz w:val="18"/>
          <w:szCs w:val="18"/>
          <w:color w:val="auto"/>
        </w:rPr>
        <w:t>means the documents evidencing each Specified Tax Abatement Transaction.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“Specified Tax Abatement Transaction” </w:t>
      </w:r>
      <w:r>
        <w:rPr>
          <w:rFonts w:ascii="Arial" w:cs="Arial" w:eastAsia="Arial" w:hAnsi="Arial"/>
          <w:sz w:val="17"/>
          <w:szCs w:val="17"/>
          <w:color w:val="auto"/>
        </w:rPr>
        <w:t>means any Tax Abatement Transaction with respect to all or any part of the Leased Property.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“Subject Contract” </w:t>
      </w:r>
      <w:r>
        <w:rPr>
          <w:rFonts w:ascii="Arial" w:cs="Arial" w:eastAsia="Arial" w:hAnsi="Arial"/>
          <w:sz w:val="18"/>
          <w:szCs w:val="18"/>
          <w:color w:val="auto"/>
        </w:rPr>
        <w:t>is defined in Section 24.2(b)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“Subject Leases” </w:t>
      </w:r>
      <w:r>
        <w:rPr>
          <w:rFonts w:ascii="Arial" w:cs="Arial" w:eastAsia="Arial" w:hAnsi="Arial"/>
          <w:sz w:val="18"/>
          <w:szCs w:val="18"/>
          <w:color w:val="auto"/>
        </w:rPr>
        <w:t>is defined in Section 24.2(b)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“Sub-Participant” </w:t>
      </w:r>
      <w:r>
        <w:rPr>
          <w:rFonts w:ascii="Arial" w:cs="Arial" w:eastAsia="Arial" w:hAnsi="Arial"/>
          <w:sz w:val="18"/>
          <w:szCs w:val="18"/>
          <w:color w:val="auto"/>
        </w:rPr>
        <w:t>is defined in Section 12.2 of the Participation Agreement.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or</w:t>
      </w:r>
      <w:r>
        <w:rPr>
          <w:rFonts w:ascii="Arial" w:cs="Arial" w:eastAsia="Arial" w:hAnsi="Arial"/>
          <w:sz w:val="16"/>
          <w:szCs w:val="16"/>
          <w:i w:val="1"/>
          <w:iCs w:val="1"/>
          <w:color w:val="auto"/>
        </w:rPr>
        <w:t xml:space="preserve"> “subsidiary” </w:t>
      </w:r>
      <w:r>
        <w:rPr>
          <w:rFonts w:ascii="Arial" w:cs="Arial" w:eastAsia="Arial" w:hAnsi="Arial"/>
          <w:sz w:val="16"/>
          <w:szCs w:val="16"/>
          <w:color w:val="auto"/>
        </w:rPr>
        <w:t>means, with respect to any Person (the</w:t>
      </w:r>
      <w:r>
        <w:rPr>
          <w:rFonts w:ascii="Arial" w:cs="Arial" w:eastAsia="Arial" w:hAnsi="Arial"/>
          <w:sz w:val="16"/>
          <w:szCs w:val="16"/>
          <w:i w:val="1"/>
          <w:iCs w:val="1"/>
          <w:color w:val="auto"/>
        </w:rPr>
        <w:t xml:space="preserve"> “parent”</w:t>
      </w:r>
      <w:r>
        <w:rPr>
          <w:rFonts w:ascii="Arial" w:cs="Arial" w:eastAsia="Arial" w:hAnsi="Arial"/>
          <w:sz w:val="16"/>
          <w:szCs w:val="16"/>
          <w:color w:val="auto"/>
        </w:rPr>
        <w:t>) at any date, any corporation, limited liability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Unless otherwise qualified, all references to a “Subsidiary” or “subsidiary” in any Operative Document shall refer to a Subsidiary of the Parent Guarantor.</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“Subsidiary Guarantor” </w:t>
      </w:r>
      <w:r>
        <w:rPr>
          <w:rFonts w:ascii="Arial" w:cs="Arial" w:eastAsia="Arial" w:hAnsi="Arial"/>
          <w:sz w:val="18"/>
          <w:szCs w:val="18"/>
          <w:color w:val="auto"/>
        </w:rPr>
        <w:t>means each Material Domestic Subsidiary that is a party to the Guaranty. The Subsidiary Guarantors on the Restatement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 are identified as such in Schedule IV attached to the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Rate</w:t>
      </w:r>
      <w:r>
        <w:rPr>
          <w:rFonts w:ascii="Arial" w:cs="Arial" w:eastAsia="Arial" w:hAnsi="Arial"/>
          <w:sz w:val="18"/>
          <w:szCs w:val="18"/>
          <w:color w:val="auto"/>
        </w:rPr>
        <w:t>” is defined in Section 14.10 of the Participation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“Supplemental Rent” </w:t>
      </w:r>
      <w:r>
        <w:rPr>
          <w:rFonts w:ascii="Arial" w:cs="Arial" w:eastAsia="Arial" w:hAnsi="Arial"/>
          <w:sz w:val="18"/>
          <w:szCs w:val="18"/>
          <w:color w:val="auto"/>
        </w:rPr>
        <w:t>means all amounts, liabilities and obligations for the payment of money (other than Basic Rent) which Lessee assumes or</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to pay or is otherwise obligated to pay under the Lease or any other Operative Document (whether or not designated as Supplemental Rent) to Lessor, Administrative Agent or any other Person, including, without limitation, Break Costs, any Sale Option Recourse Amount, any Lease Balance and all rent and other amounts payable under the Lease.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“Swap Agreement” </w:t>
      </w:r>
      <w:r>
        <w:rPr>
          <w:rFonts w:ascii="Arial" w:cs="Arial" w:eastAsia="Arial" w:hAnsi="Arial"/>
          <w:sz w:val="18"/>
          <w:szCs w:val="18"/>
          <w:color w:val="auto"/>
        </w:rPr>
        <w:t>means any agreement with respect to any swap, forward, future or derivative transaction or option or similar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Parent Guarantor, Lessee or any Subsidiary shall be a Swap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“Tax Abatement Documents” </w:t>
      </w:r>
      <w:r>
        <w:rPr>
          <w:rFonts w:ascii="Arial" w:cs="Arial" w:eastAsia="Arial" w:hAnsi="Arial"/>
          <w:sz w:val="18"/>
          <w:szCs w:val="18"/>
          <w:color w:val="auto"/>
        </w:rPr>
        <w:t>means the documents evidencing each Tax Abatement Transaction.</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 xml:space="preserve">“Tax Abatement Transaction” </w:t>
      </w:r>
      <w:r>
        <w:rPr>
          <w:rFonts w:ascii="Arial" w:cs="Arial" w:eastAsia="Arial" w:hAnsi="Arial"/>
          <w:sz w:val="16"/>
          <w:szCs w:val="16"/>
          <w:color w:val="auto"/>
        </w:rPr>
        <w:t>means a transaction between the Parent Guarantor, Lessee and/or any Subsidiary, on the one hand, and a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Party, on the other hand (and, if applicable, other Person(s)), entered into for the purposes of reducing certain of the Parent Guarantor’s, Lessee’s and/or any Subsidiary’s Tax liabilities through (a) the sale, other transfer, lease or license to such Related Municipal Party of title to or an interest in real property, fixtures, equipment, other fixed or capital assets or other related assets of the Parent Guarantor, Lessee or such Subsidiary, (b) the granting to such Related Municipal Party of Liens on real property, fixtures, equipment, other fixed or capital assets or other related assets of the Parent Guarantor, Lessee or such Subsidiary, (c) a Sale and Leaseback Transaction or other transfer and licensing arrangement between the Parent Guarantor, Lessee and/or any Subsidiary, on the one hand, and such Related Municipal Party, on the other hand (and, if applicable, such other Person(s)), with respect to real property, fixtures, equipment, other fixed or capital assets or other related assets of the Parent Guarantor, Lessee or such Subsidiary, (d) any PILOT agreement or</w:t>
      </w:r>
    </w:p>
    <w:p>
      <w:pPr>
        <w:spacing w:after="0" w:line="1" w:lineRule="exact"/>
        <w:rPr>
          <w:sz w:val="20"/>
          <w:szCs w:val="20"/>
          <w:color w:val="auto"/>
        </w:rPr>
      </w:pPr>
    </w:p>
    <w:p>
      <w:pPr>
        <w:jc w:val="right"/>
        <w:ind w:left="660" w:right="5640" w:hanging="652"/>
        <w:spacing w:after="0" w:line="554" w:lineRule="auto"/>
        <w:tabs>
          <w:tab w:leader="none" w:pos="25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any combination of the foregoing or through arrangements similar thereto. </w:t>
      </w:r>
      <w:r>
        <w:rPr>
          <w:rFonts w:ascii="Arial" w:cs="Arial" w:eastAsia="Arial" w:hAnsi="Arial"/>
          <w:sz w:val="16"/>
          <w:szCs w:val="16"/>
          <w:i w:val="1"/>
          <w:iCs w:val="1"/>
          <w:color w:val="auto"/>
        </w:rPr>
        <w:t xml:space="preserve">“Tax Indemnitee” </w:t>
      </w:r>
      <w:r>
        <w:rPr>
          <w:rFonts w:ascii="Arial" w:cs="Arial" w:eastAsia="Arial" w:hAnsi="Arial"/>
          <w:sz w:val="16"/>
          <w:szCs w:val="16"/>
          <w:color w:val="auto"/>
        </w:rPr>
        <w:t>is defined in the definition of General Indemnitee.</w:t>
      </w:r>
    </w:p>
    <w:p>
      <w:pPr>
        <w:ind w:left="660"/>
        <w:spacing w:after="0"/>
        <w:rPr>
          <w:sz w:val="20"/>
          <w:szCs w:val="20"/>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is defined in the definition of Impositions.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is defined in Section 2.3 of the Lease.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Term SOFR</w:t>
      </w:r>
      <w:r>
        <w:rPr>
          <w:rFonts w:ascii="Arial" w:cs="Arial" w:eastAsia="Arial" w:hAnsi="Arial"/>
          <w:sz w:val="17"/>
          <w:szCs w:val="17"/>
          <w:color w:val="auto"/>
        </w:rPr>
        <w:t xml:space="preserve">” means for any Interest Period with respect to any Advance bearing Yield by reference to the Term SOFR Rate, the rate per annum equal to the Term SOFR Screen Rate two U.S. Government Securities Business Days prior to the commencement of such Interest Period with a term equivalent to such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rate is not published prior to 11:00 a.m. on such determination date then Term SOFR means the Term SOFR Screen Rate on the first U.S. Government Securities Business Day immediately prior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Term SOFR Rate</w:t>
      </w:r>
      <w:r>
        <w:rPr>
          <w:rFonts w:ascii="Arial" w:cs="Arial" w:eastAsia="Arial" w:hAnsi="Arial"/>
          <w:sz w:val="16"/>
          <w:szCs w:val="16"/>
          <w:color w:val="auto"/>
        </w:rPr>
        <w:t xml:space="preserve">” means the sum of (a) Term SOFR plus (b) the SOFR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Term SOFR Rate determined in accordance with the foregoing would otherwise be less than zero, the Term SOFR Rate shall be deemed zero for purposes of the Participation Agreement.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 Screen Rate</w:t>
      </w:r>
      <w:r>
        <w:rPr>
          <w:rFonts w:ascii="Arial" w:cs="Arial" w:eastAsia="Arial" w:hAnsi="Arial"/>
          <w:sz w:val="18"/>
          <w:szCs w:val="18"/>
          <w:color w:val="auto"/>
        </w:rPr>
        <w:t>” means the forward-looking SOFR term rate administered by CME (or any successor administrator satisfactory to the Administrative Agent) and published on the applicable Bloomberg screen page (or such other commercially available source providing such quotations as may be designated by the Administrative Agent from time to time in its reasonable discretion).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“Termination Date” </w:t>
      </w:r>
      <w:r>
        <w:rPr>
          <w:rFonts w:ascii="Arial" w:cs="Arial" w:eastAsia="Arial" w:hAnsi="Arial"/>
          <w:sz w:val="18"/>
          <w:szCs w:val="18"/>
          <w:color w:val="auto"/>
        </w:rPr>
        <w:t>is defined in Section 15.2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“Termination Notice” </w:t>
      </w:r>
      <w:r>
        <w:rPr>
          <w:rFonts w:ascii="Arial" w:cs="Arial" w:eastAsia="Arial" w:hAnsi="Arial"/>
          <w:sz w:val="18"/>
          <w:szCs w:val="18"/>
          <w:color w:val="auto"/>
        </w:rPr>
        <w:t>is defined in Section 15.1(a) of the Lease.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“Title Insurance Company” </w:t>
      </w:r>
      <w:r>
        <w:rPr>
          <w:rFonts w:ascii="Arial" w:cs="Arial" w:eastAsia="Arial" w:hAnsi="Arial"/>
          <w:sz w:val="18"/>
          <w:szCs w:val="18"/>
          <w:color w:val="auto"/>
        </w:rPr>
        <w:t>means Chicago Title Insurance Company and First American Title Insurance Company and their successors or</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national title insurance company selected by Lessee and reasonably satisfactory to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“Title Policy” </w:t>
      </w:r>
      <w:r>
        <w:rPr>
          <w:rFonts w:ascii="Arial" w:cs="Arial" w:eastAsia="Arial" w:hAnsi="Arial"/>
          <w:sz w:val="18"/>
          <w:szCs w:val="18"/>
          <w:color w:val="auto"/>
        </w:rPr>
        <w:t>is defined in Section 6.2(x)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“Total Leverage Ratio” </w:t>
      </w:r>
      <w:r>
        <w:rPr>
          <w:rFonts w:ascii="Arial" w:cs="Arial" w:eastAsia="Arial" w:hAnsi="Arial"/>
          <w:sz w:val="18"/>
          <w:szCs w:val="18"/>
          <w:color w:val="auto"/>
        </w:rPr>
        <w:t>is defined in Section 9(f) of the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“Transaction Expenses” </w:t>
      </w:r>
      <w:r>
        <w:rPr>
          <w:rFonts w:ascii="Arial" w:cs="Arial" w:eastAsia="Arial" w:hAnsi="Arial"/>
          <w:sz w:val="17"/>
          <w:szCs w:val="17"/>
          <w:color w:val="auto"/>
        </w:rPr>
        <w:t>means all reasonable costs and expenses incurred in connection with the preparation, execution and delivery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Operative Documents and the transactions contemplated by the Operative Documents, including, without limitation, the following:</w:t>
      </w:r>
    </w:p>
    <w:p>
      <w:pPr>
        <w:spacing w:after="0" w:line="211" w:lineRule="exact"/>
        <w:rPr>
          <w:sz w:val="20"/>
          <w:szCs w:val="20"/>
          <w:color w:val="auto"/>
        </w:rPr>
      </w:pPr>
    </w:p>
    <w:p>
      <w:pPr>
        <w:jc w:val="both"/>
        <w:ind w:left="660" w:firstLine="644"/>
        <w:spacing w:after="0" w:line="263" w:lineRule="auto"/>
        <w:tabs>
          <w:tab w:leader="none" w:pos="17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Arranger Fee payable to BALC and BALC’s reasonable and documented out-of-pocket costs and expenses, including the costs and expenses incurred by BALC, with respect to any syndication and any other reasonable and documented out-of-pocket expenses of Arranger in connection with the consummation of the Overall Transaction;</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reasonable and documented fees and expenses of Chapman and Cutler LLP, special counsel to the Lessor;</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reasonable and documented out-of-pocket expenses of each of Lessor and Administrative Agent incurred in connection with the consummation of the Overall Transaction;</w:t>
      </w:r>
    </w:p>
    <w:p>
      <w:pPr>
        <w:spacing w:after="0" w:line="170" w:lineRule="exact"/>
        <w:rPr>
          <w:rFonts w:ascii="Arial" w:cs="Arial" w:eastAsia="Arial" w:hAnsi="Arial"/>
          <w:sz w:val="18"/>
          <w:szCs w:val="18"/>
          <w:color w:val="auto"/>
        </w:rPr>
      </w:pPr>
    </w:p>
    <w:p>
      <w:pPr>
        <w:ind w:left="660" w:firstLine="644"/>
        <w:spacing w:after="0" w:line="277" w:lineRule="auto"/>
        <w:tabs>
          <w:tab w:leader="none" w:pos="178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applicable reasonable and documented appraisal fees and reasonable and documented expenses incurred in connection with the Appraisal that was delivered pursuant to Section 6.1(i) of the Participation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left="660" w:firstLine="644"/>
        <w:spacing w:after="0" w:line="277" w:lineRule="auto"/>
        <w:tabs>
          <w:tab w:leader="none" w:pos="177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search fees, recording fees, filing fees and Taxes incurred in connection with Lien searches and the filing of UCC Financing Statements, and any and all mortgages, deeds of trust or other Operative Documents;</w:t>
      </w:r>
    </w:p>
    <w:p>
      <w:pPr>
        <w:spacing w:after="0" w:line="170" w:lineRule="exact"/>
        <w:rPr>
          <w:rFonts w:ascii="Arial" w:cs="Arial" w:eastAsia="Arial" w:hAnsi="Arial"/>
          <w:sz w:val="18"/>
          <w:szCs w:val="18"/>
          <w:color w:val="auto"/>
        </w:rPr>
      </w:pPr>
    </w:p>
    <w:p>
      <w:pPr>
        <w:ind w:left="660" w:firstLine="644"/>
        <w:spacing w:after="0" w:line="277" w:lineRule="auto"/>
        <w:tabs>
          <w:tab w:leader="none" w:pos="1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title fees and other expenses relating to title insurance incurred in connection with Restatement Date as contemplated by the Operative Documents;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reasonable and documented costs and expenses for the survey of the Site;</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reasonable and documented costs and expenses for the review of the environmental reports of the Site by Lessor; and</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Fees payable to Administrative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“UCC Financing Statements” </w:t>
      </w:r>
      <w:r>
        <w:rPr>
          <w:rFonts w:ascii="Arial" w:cs="Arial" w:eastAsia="Arial" w:hAnsi="Arial"/>
          <w:sz w:val="18"/>
          <w:szCs w:val="18"/>
          <w:color w:val="auto"/>
        </w:rPr>
        <w:t>means UCC financing statements appropriately completed for filing in the applicable jurisdiction in order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Lessor’s interest under the Lease to the extent the Lease is a security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“Uniform Commercial Code” </w:t>
      </w:r>
      <w:r>
        <w:rPr>
          <w:rFonts w:ascii="Arial" w:cs="Arial" w:eastAsia="Arial" w:hAnsi="Arial"/>
          <w:sz w:val="17"/>
          <w:szCs w:val="17"/>
          <w:color w:val="auto"/>
        </w:rPr>
        <w:t>and</w:t>
      </w:r>
      <w:r>
        <w:rPr>
          <w:rFonts w:ascii="Arial" w:cs="Arial" w:eastAsia="Arial" w:hAnsi="Arial"/>
          <w:sz w:val="17"/>
          <w:szCs w:val="17"/>
          <w:i w:val="1"/>
          <w:iCs w:val="1"/>
          <w:color w:val="auto"/>
        </w:rPr>
        <w:t xml:space="preserve"> “UCC” </w:t>
      </w:r>
      <w:r>
        <w:rPr>
          <w:rFonts w:ascii="Arial" w:cs="Arial" w:eastAsia="Arial" w:hAnsi="Arial"/>
          <w:sz w:val="17"/>
          <w:szCs w:val="17"/>
          <w:color w:val="auto"/>
        </w:rPr>
        <w:t>means the Uniform Commercial Code as in effect from time to time in any applicable jurisdiction.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“United States” </w:t>
      </w:r>
      <w:r>
        <w:rPr>
          <w:rFonts w:ascii="Arial" w:cs="Arial" w:eastAsia="Arial" w:hAnsi="Arial"/>
          <w:sz w:val="18"/>
          <w:szCs w:val="18"/>
          <w:color w:val="auto"/>
        </w:rPr>
        <w:t>and</w:t>
      </w:r>
      <w:r>
        <w:rPr>
          <w:rFonts w:ascii="Arial" w:cs="Arial" w:eastAsia="Arial" w:hAnsi="Arial"/>
          <w:sz w:val="18"/>
          <w:szCs w:val="18"/>
          <w:i w:val="1"/>
          <w:iCs w:val="1"/>
          <w:color w:val="auto"/>
        </w:rPr>
        <w:t xml:space="preserve"> “U.S.” </w:t>
      </w:r>
      <w:r>
        <w:rPr>
          <w:rFonts w:ascii="Arial" w:cs="Arial" w:eastAsia="Arial" w:hAnsi="Arial"/>
          <w:sz w:val="18"/>
          <w:szCs w:val="18"/>
          <w:color w:val="auto"/>
        </w:rPr>
        <w:t>mean the United States of America.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means an amount payable to the Administrative Agent, for the account of each Participant, on the Execution Date, equal to (a) 15</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points (0.15%), multiplied by (b) the final allocated Commitment of such Participant as of the Execution Date in connection with the transactions contemplated on the Restatement Date.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“Upfront Payments” </w:t>
      </w:r>
      <w:r>
        <w:rPr>
          <w:rFonts w:ascii="Arial" w:cs="Arial" w:eastAsia="Arial" w:hAnsi="Arial"/>
          <w:sz w:val="17"/>
          <w:szCs w:val="17"/>
          <w:color w:val="auto"/>
        </w:rPr>
        <w:t>means any upfront or similar payments made during the period of twelve months ending on the Bank 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or arising thereafter in connection with any drug or pharmaceutical product research and development or Collaboration Arrangements or the closing of any Drug Acquisition and that are recognized as expense in the period in which they are incurred.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Securities Business Day</w:t>
      </w:r>
      <w:r>
        <w:rPr>
          <w:rFonts w:ascii="Arial" w:cs="Arial" w:eastAsia="Arial" w:hAnsi="Arial"/>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84"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i w:val="1"/>
          <w:iCs w:val="1"/>
          <w:color w:val="auto"/>
        </w:rPr>
        <w:t xml:space="preserve">“wholly-owned Subsidiary” </w:t>
      </w:r>
      <w:r>
        <w:rPr>
          <w:rFonts w:ascii="Arial" w:cs="Arial" w:eastAsia="Arial" w:hAnsi="Arial"/>
          <w:sz w:val="16"/>
          <w:szCs w:val="16"/>
          <w:color w:val="auto"/>
        </w:rPr>
        <w:t>means a Subsidiary with respect to which 100% of the issued and outstanding Equity Interests are owned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by the Parent Guarantor (other than (x) directors’ qualifying shares; (y) shares issued to foreign nationals to the extent required by applicable law; and (z) shares held by a Person on trust for, or otherwise where the beneficial interest is held by, the Parent Guarantor (directly or indirectly)).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“Withdrawal Liability” </w:t>
      </w:r>
      <w:r>
        <w:rPr>
          <w:rFonts w:ascii="Arial" w:cs="Arial" w:eastAsia="Arial" w:hAnsi="Arial"/>
          <w:sz w:val="18"/>
          <w:szCs w:val="18"/>
          <w:color w:val="auto"/>
        </w:rPr>
        <w:t>means liability to a Multiemployer Plan as a result of a complete or partial withdrawal from such Multiemployer Plan,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terms are defined in Part I of Subtitle E of Title IV of ERISA.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“Withholding Taxes” </w:t>
      </w:r>
      <w:r>
        <w:rPr>
          <w:rFonts w:ascii="Arial" w:cs="Arial" w:eastAsia="Arial" w:hAnsi="Arial"/>
          <w:sz w:val="18"/>
          <w:szCs w:val="18"/>
          <w:color w:val="auto"/>
        </w:rPr>
        <w:t>means Taxes arising under the laws of any national, municipal or local government, political subdivision or taxing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United States or any other jurisdiction imposed or collected by way of withholding (regardless of whether such taxes may also be imposed upon or collected from the recipient of a payment), and fines, interest, penalties or other additions thereto, thereon, in lieu thereof or for non-collection or in respect thereof.</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“Yield” </w:t>
      </w:r>
      <w:r>
        <w:rPr>
          <w:rFonts w:ascii="Arial" w:cs="Arial" w:eastAsia="Arial" w:hAnsi="Arial"/>
          <w:sz w:val="18"/>
          <w:szCs w:val="18"/>
          <w:color w:val="auto"/>
        </w:rPr>
        <w:t>means (A) as to the Rent Assignment Contribution Amount, the product of (i) the Series A Yield Rate and (ii) the Rent Assignment</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Amount outstanding, as determined in accordance with Sections 2.5 and 2.6 of the Rent Assignment Agreement, and (B) as to the Lessor Amount, the product of (i) the Series B Yield Rate and (ii) the aggregate Lessor Amount outstanding, as determined in accordance with Section 4.1 of the Participation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“Yield Rate” </w:t>
      </w:r>
      <w:r>
        <w:rPr>
          <w:rFonts w:ascii="Arial" w:cs="Arial" w:eastAsia="Arial" w:hAnsi="Arial"/>
          <w:sz w:val="18"/>
          <w:szCs w:val="18"/>
          <w:color w:val="auto"/>
        </w:rPr>
        <w:t>means the Series A Yield Rate or the Series B Yield Rate, as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6120" w:type="dxa"/>
            <w:vAlign w:val="bottom"/>
            <w:gridSpan w:val="5"/>
          </w:tcPr>
          <w:p>
            <w:pPr>
              <w:ind w:left="114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ESSOR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OMMITMENT AS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ESTATEMENT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28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OMMITMENT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ERCENTAGE</w:t>
            </w:r>
          </w:p>
        </w:tc>
      </w:tr>
      <w:tr>
        <w:trPr>
          <w:trHeight w:val="216"/>
        </w:trPr>
        <w:tc>
          <w:tcPr>
            <w:tcW w:w="28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GGREGATE</w:t>
            </w:r>
          </w:p>
        </w:tc>
      </w:tr>
      <w:tr>
        <w:trPr>
          <w:trHeight w:val="23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ESSOR</w:t>
            </w:r>
          </w:p>
        </w:tc>
        <w:tc>
          <w:tcPr>
            <w:tcW w:w="36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ESSOR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OMMITMENT</w:t>
            </w:r>
          </w:p>
        </w:tc>
        <w:tc>
          <w:tcPr>
            <w:tcW w:w="22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OMMITMENT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MOUNT</w:t>
            </w: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r>
      <w:tr>
        <w:trPr>
          <w:trHeight w:val="209"/>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w:t>
            </w:r>
          </w:p>
        </w:tc>
        <w:tc>
          <w:tcPr>
            <w:tcW w:w="3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72,000,000</w:t>
            </w:r>
          </w:p>
        </w:tc>
        <w:tc>
          <w:tcPr>
            <w:tcW w:w="2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9180" w:type="dxa"/>
            <w:vAlign w:val="bottom"/>
            <w:gridSpan w:val="9"/>
          </w:tcPr>
          <w:p>
            <w:pPr>
              <w:ind w:left="358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SSIGNEES</w:t>
            </w:r>
            <w:r>
              <w:rPr>
                <w:rFonts w:ascii="Arial" w:cs="Arial" w:eastAsia="Arial" w:hAnsi="Arial"/>
                <w:sz w:val="18"/>
                <w:szCs w:val="18"/>
                <w:b w:val="1"/>
                <w:bCs w:val="1"/>
                <w:color w:val="auto"/>
              </w:rPr>
              <w:t>’ C</w:t>
            </w:r>
            <w:r>
              <w:rPr>
                <w:rFonts w:ascii="Arial" w:cs="Arial" w:eastAsia="Arial" w:hAnsi="Arial"/>
                <w:sz w:val="12"/>
                <w:szCs w:val="12"/>
                <w:b w:val="1"/>
                <w:bCs w:val="1"/>
                <w:color w:val="auto"/>
              </w:rPr>
              <w:t>OMMITMENTS AS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ESTATEMENT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8"/>
        </w:trPr>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3"/>
          </w:tcPr>
          <w:p>
            <w:pPr>
              <w:jc w:val="center"/>
              <w:ind w:right="50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3"/>
          </w:tcPr>
          <w:p>
            <w:pPr>
              <w:jc w:val="center"/>
              <w:ind w:right="480"/>
              <w:spacing w:after="0"/>
              <w:rPr>
                <w:sz w:val="20"/>
                <w:szCs w:val="20"/>
                <w:color w:val="auto"/>
              </w:rPr>
            </w:pPr>
            <w:r>
              <w:rPr>
                <w:rFonts w:ascii="Arial" w:cs="Arial" w:eastAsia="Arial" w:hAnsi="Arial"/>
                <w:sz w:val="18"/>
                <w:szCs w:val="18"/>
                <w:color w:val="auto"/>
                <w:w w:val="94"/>
              </w:rPr>
              <w:t>P</w:t>
            </w:r>
            <w:r>
              <w:rPr>
                <w:rFonts w:ascii="Arial" w:cs="Arial" w:eastAsia="Arial" w:hAnsi="Arial"/>
                <w:sz w:val="12"/>
                <w:szCs w:val="12"/>
                <w:color w:val="auto"/>
                <w:w w:val="94"/>
              </w:rPr>
              <w:t>ERCENTAGE</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jc w:val="center"/>
              <w:ind w:right="500"/>
              <w:spacing w:after="0"/>
              <w:rPr>
                <w:sz w:val="20"/>
                <w:szCs w:val="20"/>
                <w:color w:val="auto"/>
              </w:rPr>
            </w:pPr>
            <w:r>
              <w:rPr>
                <w:rFonts w:ascii="Arial" w:cs="Arial" w:eastAsia="Arial" w:hAnsi="Arial"/>
                <w:sz w:val="18"/>
                <w:szCs w:val="18"/>
                <w:color w:val="auto"/>
                <w:w w:val="97"/>
              </w:rPr>
              <w:t>R</w:t>
            </w:r>
            <w:r>
              <w:rPr>
                <w:rFonts w:ascii="Arial" w:cs="Arial" w:eastAsia="Arial" w:hAnsi="Arial"/>
                <w:sz w:val="12"/>
                <w:szCs w:val="12"/>
                <w:color w:val="auto"/>
                <w:w w:val="97"/>
              </w:rPr>
              <w:t>ENT</w:t>
            </w:r>
            <w:r>
              <w:rPr>
                <w:rFonts w:ascii="Arial" w:cs="Arial" w:eastAsia="Arial" w:hAnsi="Arial"/>
                <w:sz w:val="18"/>
                <w:szCs w:val="18"/>
                <w:color w:val="auto"/>
                <w:w w:val="97"/>
              </w:rPr>
              <w:t xml:space="preserve"> A</w:t>
            </w:r>
            <w:r>
              <w:rPr>
                <w:rFonts w:ascii="Arial" w:cs="Arial" w:eastAsia="Arial" w:hAnsi="Arial"/>
                <w:sz w:val="12"/>
                <w:szCs w:val="12"/>
                <w:color w:val="auto"/>
                <w:w w:val="97"/>
              </w:rPr>
              <w:t>SSIGNMENT</w:t>
            </w:r>
          </w:p>
        </w:tc>
        <w:tc>
          <w:tcPr>
            <w:tcW w:w="2060" w:type="dxa"/>
            <w:vAlign w:val="bottom"/>
            <w:gridSpan w:val="3"/>
          </w:tcPr>
          <w:p>
            <w:pPr>
              <w:jc w:val="center"/>
              <w:ind w:right="500"/>
              <w:spacing w:after="0"/>
              <w:rPr>
                <w:sz w:val="20"/>
                <w:szCs w:val="20"/>
                <w:color w:val="auto"/>
              </w:rPr>
            </w:pPr>
            <w:r>
              <w:rPr>
                <w:rFonts w:ascii="Arial" w:cs="Arial" w:eastAsia="Arial" w:hAnsi="Arial"/>
                <w:sz w:val="18"/>
                <w:szCs w:val="18"/>
                <w:color w:val="auto"/>
                <w:w w:val="97"/>
              </w:rPr>
              <w:t>(</w:t>
            </w:r>
            <w:r>
              <w:rPr>
                <w:rFonts w:ascii="Arial" w:cs="Arial" w:eastAsia="Arial" w:hAnsi="Arial"/>
                <w:sz w:val="12"/>
                <w:szCs w:val="12"/>
                <w:color w:val="auto"/>
                <w:w w:val="97"/>
              </w:rPr>
              <w:t>OF THE</w:t>
            </w:r>
            <w:r>
              <w:rPr>
                <w:rFonts w:ascii="Arial" w:cs="Arial" w:eastAsia="Arial" w:hAnsi="Arial"/>
                <w:sz w:val="18"/>
                <w:szCs w:val="18"/>
                <w:color w:val="auto"/>
                <w:w w:val="97"/>
              </w:rPr>
              <w:t xml:space="preserve"> A</w:t>
            </w:r>
            <w:r>
              <w:rPr>
                <w:rFonts w:ascii="Arial" w:cs="Arial" w:eastAsia="Arial" w:hAnsi="Arial"/>
                <w:sz w:val="12"/>
                <w:szCs w:val="12"/>
                <w:color w:val="auto"/>
                <w:w w:val="97"/>
              </w:rPr>
              <w:t>GGREGATE</w:t>
            </w:r>
          </w:p>
        </w:tc>
        <w:tc>
          <w:tcPr>
            <w:tcW w:w="2060" w:type="dxa"/>
            <w:vAlign w:val="bottom"/>
            <w:gridSpan w:val="2"/>
          </w:tcPr>
          <w:p>
            <w:pPr>
              <w:jc w:val="center"/>
              <w:ind w:right="187"/>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p>
        </w:tc>
      </w:tr>
      <w:tr>
        <w:trPr>
          <w:trHeight w:val="216"/>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jc w:val="center"/>
              <w:ind w:right="500"/>
              <w:spacing w:after="0"/>
              <w:rPr>
                <w:sz w:val="20"/>
                <w:szCs w:val="20"/>
                <w:color w:val="auto"/>
              </w:rPr>
            </w:pPr>
            <w:r>
              <w:rPr>
                <w:rFonts w:ascii="Arial" w:cs="Arial" w:eastAsia="Arial" w:hAnsi="Arial"/>
                <w:sz w:val="18"/>
                <w:szCs w:val="18"/>
                <w:color w:val="auto"/>
                <w:w w:val="98"/>
              </w:rPr>
              <w:t>C</w:t>
            </w:r>
            <w:r>
              <w:rPr>
                <w:rFonts w:ascii="Arial" w:cs="Arial" w:eastAsia="Arial" w:hAnsi="Arial"/>
                <w:sz w:val="12"/>
                <w:szCs w:val="12"/>
                <w:color w:val="auto"/>
                <w:w w:val="98"/>
              </w:rPr>
              <w:t>ONTRIBUTION</w:t>
            </w:r>
          </w:p>
        </w:tc>
        <w:tc>
          <w:tcPr>
            <w:tcW w:w="2060" w:type="dxa"/>
            <w:vAlign w:val="bottom"/>
            <w:gridSpan w:val="3"/>
          </w:tcPr>
          <w:p>
            <w:pPr>
              <w:jc w:val="center"/>
              <w:ind w:right="480"/>
              <w:spacing w:after="0"/>
              <w:rPr>
                <w:sz w:val="20"/>
                <w:szCs w:val="20"/>
                <w:color w:val="auto"/>
              </w:rPr>
            </w:pPr>
            <w:r>
              <w:rPr>
                <w:rFonts w:ascii="Arial" w:cs="Arial" w:eastAsia="Arial" w:hAnsi="Arial"/>
                <w:sz w:val="18"/>
                <w:szCs w:val="18"/>
                <w:color w:val="auto"/>
                <w:w w:val="97"/>
              </w:rPr>
              <w:t>R</w:t>
            </w:r>
            <w:r>
              <w:rPr>
                <w:rFonts w:ascii="Arial" w:cs="Arial" w:eastAsia="Arial" w:hAnsi="Arial"/>
                <w:sz w:val="12"/>
                <w:szCs w:val="12"/>
                <w:color w:val="auto"/>
                <w:w w:val="97"/>
              </w:rPr>
              <w:t>ENT</w:t>
            </w:r>
            <w:r>
              <w:rPr>
                <w:rFonts w:ascii="Arial" w:cs="Arial" w:eastAsia="Arial" w:hAnsi="Arial"/>
                <w:sz w:val="18"/>
                <w:szCs w:val="18"/>
                <w:color w:val="auto"/>
                <w:w w:val="97"/>
              </w:rPr>
              <w:t xml:space="preserve"> A</w:t>
            </w:r>
            <w:r>
              <w:rPr>
                <w:rFonts w:ascii="Arial" w:cs="Arial" w:eastAsia="Arial" w:hAnsi="Arial"/>
                <w:sz w:val="12"/>
                <w:szCs w:val="12"/>
                <w:color w:val="auto"/>
                <w:w w:val="97"/>
              </w:rPr>
              <w:t>SSIGNMENT</w:t>
            </w:r>
          </w:p>
        </w:tc>
        <w:tc>
          <w:tcPr>
            <w:tcW w:w="2060" w:type="dxa"/>
            <w:vAlign w:val="bottom"/>
            <w:gridSpan w:val="2"/>
          </w:tcPr>
          <w:p>
            <w:pPr>
              <w:jc w:val="center"/>
              <w:ind w:right="207"/>
              <w:spacing w:after="0"/>
              <w:rPr>
                <w:sz w:val="20"/>
                <w:szCs w:val="20"/>
                <w:color w:val="auto"/>
              </w:rPr>
            </w:pPr>
            <w:r>
              <w:rPr>
                <w:rFonts w:ascii="Arial" w:cs="Arial" w:eastAsia="Arial" w:hAnsi="Arial"/>
                <w:sz w:val="18"/>
                <w:szCs w:val="18"/>
                <w:color w:val="auto"/>
                <w:w w:val="94"/>
              </w:rPr>
              <w:t>P</w:t>
            </w:r>
            <w:r>
              <w:rPr>
                <w:rFonts w:ascii="Arial" w:cs="Arial" w:eastAsia="Arial" w:hAnsi="Arial"/>
                <w:sz w:val="12"/>
                <w:szCs w:val="12"/>
                <w:color w:val="auto"/>
                <w:w w:val="94"/>
              </w:rPr>
              <w:t>ERCENTAGE</w:t>
            </w:r>
          </w:p>
        </w:tc>
      </w:tr>
      <w:tr>
        <w:trPr>
          <w:trHeight w:val="216"/>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jc w:val="center"/>
              <w:ind w:right="5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p>
        </w:tc>
        <w:tc>
          <w:tcPr>
            <w:tcW w:w="2060" w:type="dxa"/>
            <w:vAlign w:val="bottom"/>
            <w:gridSpan w:val="3"/>
          </w:tcPr>
          <w:p>
            <w:pPr>
              <w:jc w:val="center"/>
              <w:ind w:right="480"/>
              <w:spacing w:after="0"/>
              <w:rPr>
                <w:sz w:val="20"/>
                <w:szCs w:val="20"/>
                <w:color w:val="auto"/>
              </w:rPr>
            </w:pPr>
            <w:r>
              <w:rPr>
                <w:rFonts w:ascii="Arial" w:cs="Arial" w:eastAsia="Arial" w:hAnsi="Arial"/>
                <w:sz w:val="18"/>
                <w:szCs w:val="18"/>
                <w:color w:val="auto"/>
                <w:w w:val="98"/>
              </w:rPr>
              <w:t>C</w:t>
            </w:r>
            <w:r>
              <w:rPr>
                <w:rFonts w:ascii="Arial" w:cs="Arial" w:eastAsia="Arial" w:hAnsi="Arial"/>
                <w:sz w:val="12"/>
                <w:szCs w:val="12"/>
                <w:color w:val="auto"/>
                <w:w w:val="98"/>
              </w:rPr>
              <w:t>ONTRIBUTION</w:t>
            </w:r>
          </w:p>
        </w:tc>
        <w:tc>
          <w:tcPr>
            <w:tcW w:w="2060" w:type="dxa"/>
            <w:vAlign w:val="bottom"/>
            <w:gridSpan w:val="2"/>
          </w:tcPr>
          <w:p>
            <w:pPr>
              <w:jc w:val="center"/>
              <w:ind w:right="207"/>
              <w:spacing w:after="0"/>
              <w:rPr>
                <w:sz w:val="20"/>
                <w:szCs w:val="20"/>
                <w:color w:val="auto"/>
              </w:rPr>
            </w:pPr>
            <w:r>
              <w:rPr>
                <w:rFonts w:ascii="Arial" w:cs="Arial" w:eastAsia="Arial" w:hAnsi="Arial"/>
                <w:sz w:val="18"/>
                <w:szCs w:val="18"/>
                <w:color w:val="auto"/>
                <w:w w:val="96"/>
              </w:rPr>
              <w:t>(</w:t>
            </w:r>
            <w:r>
              <w:rPr>
                <w:rFonts w:ascii="Arial" w:cs="Arial" w:eastAsia="Arial" w:hAnsi="Arial"/>
                <w:sz w:val="12"/>
                <w:szCs w:val="12"/>
                <w:color w:val="auto"/>
                <w:w w:val="96"/>
              </w:rPr>
              <w:t>OF THE</w:t>
            </w:r>
            <w:r>
              <w:rPr>
                <w:rFonts w:ascii="Arial" w:cs="Arial" w:eastAsia="Arial" w:hAnsi="Arial"/>
                <w:sz w:val="18"/>
                <w:szCs w:val="18"/>
                <w:color w:val="auto"/>
                <w:w w:val="96"/>
              </w:rPr>
              <w:t xml:space="preserve"> A</w:t>
            </w:r>
            <w:r>
              <w:rPr>
                <w:rFonts w:ascii="Arial" w:cs="Arial" w:eastAsia="Arial" w:hAnsi="Arial"/>
                <w:sz w:val="12"/>
                <w:szCs w:val="12"/>
                <w:color w:val="auto"/>
                <w:w w:val="96"/>
              </w:rPr>
              <w:t>GGREGATE</w:t>
            </w:r>
          </w:p>
        </w:tc>
      </w:tr>
      <w:tr>
        <w:trPr>
          <w:trHeight w:val="230"/>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ENT</w:t>
            </w:r>
            <w:r>
              <w:rPr>
                <w:rFonts w:ascii="Arial" w:cs="Arial" w:eastAsia="Arial" w:hAnsi="Arial"/>
                <w:sz w:val="18"/>
                <w:szCs w:val="18"/>
                <w:color w:val="auto"/>
              </w:rPr>
              <w:t xml:space="preserve"> A</w:t>
            </w:r>
            <w:r>
              <w:rPr>
                <w:rFonts w:ascii="Arial" w:cs="Arial" w:eastAsia="Arial" w:hAnsi="Arial"/>
                <w:sz w:val="12"/>
                <w:szCs w:val="12"/>
                <w:color w:val="auto"/>
              </w:rPr>
              <w:t>SSIGNEES</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 Leasing BSC, LLC</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23.61%</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JPMorgan Chase Bank, N.A.</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105,000,000</w:t>
            </w:r>
          </w:p>
        </w:tc>
        <w:tc>
          <w:tcPr>
            <w:tcW w:w="100" w:type="dxa"/>
            <w:vAlign w:val="bottom"/>
          </w:tcPr>
          <w:p>
            <w:pPr>
              <w:spacing w:after="0"/>
              <w:rPr>
                <w:sz w:val="18"/>
                <w:szCs w:val="18"/>
                <w:color w:val="auto"/>
              </w:rPr>
            </w:pP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14.58%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105,000,000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16.20%</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MUFG Bank, Ltd.</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95,000,000</w:t>
            </w:r>
          </w:p>
        </w:tc>
        <w:tc>
          <w:tcPr>
            <w:tcW w:w="100" w:type="dxa"/>
            <w:vAlign w:val="bottom"/>
          </w:tcPr>
          <w:p>
            <w:pPr>
              <w:spacing w:after="0"/>
              <w:rPr>
                <w:sz w:val="18"/>
                <w:szCs w:val="18"/>
                <w:color w:val="auto"/>
              </w:rPr>
            </w:pP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13.19%</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 National Association</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75,000,000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Citibank, N.A.</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40,000,000</w:t>
            </w:r>
          </w:p>
        </w:tc>
        <w:tc>
          <w:tcPr>
            <w:tcW w:w="100" w:type="dxa"/>
            <w:vAlign w:val="bottom"/>
          </w:tcPr>
          <w:p>
            <w:pPr>
              <w:spacing w:after="0"/>
              <w:rPr>
                <w:sz w:val="18"/>
                <w:szCs w:val="18"/>
                <w:color w:val="auto"/>
              </w:rPr>
            </w:pP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The Northern Trust Company</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PNC Equipment Finance, LLC</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8"/>
                <w:szCs w:val="18"/>
                <w:color w:val="auto"/>
              </w:rPr>
            </w:pP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3.47%</w:t>
            </w:r>
          </w:p>
        </w:tc>
      </w:tr>
      <w:tr>
        <w:trPr>
          <w:trHeight w:val="22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Citizens Asset Finance, a division of Citizens Bank, N.A.</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0"/>
        </w:trPr>
        <w:tc>
          <w:tcPr>
            <w:tcW w:w="4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648,000,000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Second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XECUTION</w:t>
      </w:r>
      <w:r>
        <w:rPr>
          <w:rFonts w:ascii="Arial" w:cs="Arial" w:eastAsia="Arial" w:hAnsi="Arial"/>
          <w:sz w:val="18"/>
          <w:szCs w:val="18"/>
          <w:color w:val="auto"/>
        </w:rPr>
        <w:t xml:space="preserve"> V</w:t>
      </w:r>
      <w:r>
        <w:rPr>
          <w:rFonts w:ascii="Arial" w:cs="Arial" w:eastAsia="Arial" w:hAnsi="Arial"/>
          <w:sz w:val="12"/>
          <w:szCs w:val="12"/>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Prepared by and Upon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Recording Return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Chapman and Cutler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320 S. Canal Street, 27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Phillip Edison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ECOND</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L</w:t>
      </w:r>
      <w:r>
        <w:rPr>
          <w:rFonts w:ascii="Arial" w:cs="Arial" w:eastAsia="Arial" w:hAnsi="Arial"/>
          <w:sz w:val="12"/>
          <w:szCs w:val="12"/>
          <w:color w:val="auto"/>
        </w:rPr>
        <w:t>EASE AND</w:t>
      </w:r>
      <w:r>
        <w:rPr>
          <w:rFonts w:ascii="Arial" w:cs="Arial" w:eastAsia="Arial" w:hAnsi="Arial"/>
          <w:sz w:val="18"/>
          <w:szCs w:val="18"/>
          <w:color w:val="auto"/>
        </w:rPr>
        <w:t xml:space="preserve"> R</w:t>
      </w:r>
      <w:r>
        <w:rPr>
          <w:rFonts w:ascii="Arial" w:cs="Arial" w:eastAsia="Arial" w:hAnsi="Arial"/>
          <w:sz w:val="12"/>
          <w:szCs w:val="12"/>
          <w:color w:val="auto"/>
        </w:rPr>
        <w:t>EMEDIES</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2, 2022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effective as of the Restatement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Lessee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2022 Lease Financing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Rents accruing under this Second Amended and Restated Lease and Remedies Agreement have been absolutely assigned to Bank of America, N.A., as Administrative Agent for the Participants. This Second Amended and Restated Lease and Remedies Agreement has been executed in several counterparts. To the extent, if any, that this Second Amended and Restated Lease and Remedies Agreement constitutes chattel paper (as such term is defined in the Uniform Commercial Code as in effect in any applicable jurisdiction), no lien on this Second Amended and Restated Lease and Remedies Agreement may be created through the transfer or possession of any counterpart other than the original counterpart containing the receipt therefor executed by the Administrative Agent on or following the signature page hereof or as otherwise provided in the Previously Existing Lease (as defined herein).</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 NAMES OF</w:t>
      </w:r>
      <w:r>
        <w:rPr>
          <w:rFonts w:ascii="Arial" w:cs="Arial" w:eastAsia="Arial" w:hAnsi="Arial"/>
          <w:sz w:val="18"/>
          <w:szCs w:val="18"/>
          <w:color w:val="auto"/>
        </w:rPr>
        <w:t xml:space="preserve"> L</w:t>
      </w:r>
      <w:r>
        <w:rPr>
          <w:rFonts w:ascii="Arial" w:cs="Arial" w:eastAsia="Arial" w:hAnsi="Arial"/>
          <w:sz w:val="12"/>
          <w:szCs w:val="12"/>
          <w:color w:val="auto"/>
        </w:rPr>
        <w:t>ESSEE</w:t>
      </w:r>
      <w:r>
        <w:rPr>
          <w:rFonts w:ascii="Arial" w:cs="Arial" w:eastAsia="Arial" w:hAnsi="Arial"/>
          <w:sz w:val="18"/>
          <w:szCs w:val="18"/>
          <w:color w:val="auto"/>
        </w:rPr>
        <w:t xml:space="preserve">, </w:t>
      </w:r>
      <w:r>
        <w:rPr>
          <w:rFonts w:ascii="Arial" w:cs="Arial" w:eastAsia="Arial" w:hAnsi="Arial"/>
          <w:sz w:val="12"/>
          <w:szCs w:val="12"/>
          <w:color w:val="auto"/>
        </w:rPr>
        <w:t>AS THE</w:t>
      </w:r>
      <w:r>
        <w:rPr>
          <w:rFonts w:ascii="Arial" w:cs="Arial" w:eastAsia="Arial" w:hAnsi="Arial"/>
          <w:sz w:val="18"/>
          <w:szCs w:val="18"/>
          <w:color w:val="auto"/>
        </w:rPr>
        <w:t xml:space="preserve"> D</w:t>
      </w:r>
      <w:r>
        <w:rPr>
          <w:rFonts w:ascii="Arial" w:cs="Arial" w:eastAsia="Arial" w:hAnsi="Arial"/>
          <w:sz w:val="12"/>
          <w:szCs w:val="12"/>
          <w:color w:val="auto"/>
        </w:rPr>
        <w:t>EBTOR</w:t>
      </w:r>
      <w:r>
        <w:rPr>
          <w:rFonts w:ascii="Arial" w:cs="Arial" w:eastAsia="Arial" w:hAnsi="Arial"/>
          <w:sz w:val="18"/>
          <w:szCs w:val="18"/>
          <w:color w:val="auto"/>
        </w:rPr>
        <w:t xml:space="preserve">, </w:t>
      </w:r>
      <w:r>
        <w:rPr>
          <w:rFonts w:ascii="Arial" w:cs="Arial" w:eastAsia="Arial" w:hAnsi="Arial"/>
          <w:sz w:val="12"/>
          <w:szCs w:val="12"/>
          <w:color w:val="auto"/>
        </w:rPr>
        <w:t>AND</w:t>
      </w:r>
      <w:r>
        <w:rPr>
          <w:rFonts w:ascii="Arial" w:cs="Arial" w:eastAsia="Arial" w:hAnsi="Arial"/>
          <w:sz w:val="18"/>
          <w:szCs w:val="18"/>
          <w:color w:val="auto"/>
        </w:rPr>
        <w:t xml:space="preserve"> L</w:t>
      </w:r>
      <w:r>
        <w:rPr>
          <w:rFonts w:ascii="Arial" w:cs="Arial" w:eastAsia="Arial" w:hAnsi="Arial"/>
          <w:sz w:val="12"/>
          <w:szCs w:val="12"/>
          <w:color w:val="auto"/>
        </w:rPr>
        <w:t>ESSOR</w:t>
      </w:r>
      <w:r>
        <w:rPr>
          <w:rFonts w:ascii="Arial" w:cs="Arial" w:eastAsia="Arial" w:hAnsi="Arial"/>
          <w:sz w:val="18"/>
          <w:szCs w:val="18"/>
          <w:color w:val="auto"/>
        </w:rPr>
        <w:t xml:space="preserve">, </w:t>
      </w:r>
      <w:r>
        <w:rPr>
          <w:rFonts w:ascii="Arial" w:cs="Arial" w:eastAsia="Arial" w:hAnsi="Arial"/>
          <w:sz w:val="12"/>
          <w:szCs w:val="12"/>
          <w:color w:val="auto"/>
        </w:rPr>
        <w:t>AS THE SECURED PARTY</w:t>
      </w:r>
      <w:r>
        <w:rPr>
          <w:rFonts w:ascii="Arial" w:cs="Arial" w:eastAsia="Arial" w:hAnsi="Arial"/>
          <w:sz w:val="18"/>
          <w:szCs w:val="18"/>
          <w:color w:val="auto"/>
        </w:rPr>
        <w:t xml:space="preserve">, </w:t>
      </w:r>
      <w:r>
        <w:rPr>
          <w:rFonts w:ascii="Arial" w:cs="Arial" w:eastAsia="Arial" w:hAnsi="Arial"/>
          <w:sz w:val="12"/>
          <w:szCs w:val="12"/>
          <w:color w:val="auto"/>
        </w:rPr>
        <w:t>THE MAILING ADDRESS OF THE SECURED PARTY FROM WHICH INFORMATION CONCERNING THE</w:t>
      </w:r>
      <w:r>
        <w:rPr>
          <w:rFonts w:ascii="Arial" w:cs="Arial" w:eastAsia="Arial" w:hAnsi="Arial"/>
          <w:sz w:val="18"/>
          <w:szCs w:val="18"/>
          <w:color w:val="auto"/>
        </w:rPr>
        <w:t xml:space="preserve"> </w:t>
      </w:r>
      <w:r>
        <w:rPr>
          <w:rFonts w:ascii="Arial" w:cs="Arial" w:eastAsia="Arial" w:hAnsi="Arial"/>
          <w:sz w:val="12"/>
          <w:szCs w:val="12"/>
          <w:color w:val="auto"/>
        </w:rPr>
        <w:t>SECURITY INTEREST MAY BE OBTAINED</w:t>
      </w:r>
      <w:r>
        <w:rPr>
          <w:rFonts w:ascii="Arial" w:cs="Arial" w:eastAsia="Arial" w:hAnsi="Arial"/>
          <w:sz w:val="17"/>
          <w:szCs w:val="17"/>
          <w:color w:val="auto"/>
        </w:rPr>
        <w:t>,</w:t>
      </w:r>
      <w:r>
        <w:rPr>
          <w:rFonts w:ascii="Arial" w:cs="Arial" w:eastAsia="Arial" w:hAnsi="Arial"/>
          <w:sz w:val="12"/>
          <w:szCs w:val="12"/>
          <w:color w:val="auto"/>
        </w:rPr>
        <w:t xml:space="preserve"> THE MAILING ADDRESS OF THE DEBTOR AND A STATEMENT INDICATING THE TYPES</w:t>
      </w:r>
      <w:r>
        <w:rPr>
          <w:rFonts w:ascii="Arial" w:cs="Arial" w:eastAsia="Arial" w:hAnsi="Arial"/>
          <w:sz w:val="17"/>
          <w:szCs w:val="17"/>
          <w:color w:val="auto"/>
        </w:rPr>
        <w:t>,</w:t>
      </w:r>
      <w:r>
        <w:rPr>
          <w:rFonts w:ascii="Arial" w:cs="Arial" w:eastAsia="Arial" w:hAnsi="Arial"/>
          <w:sz w:val="12"/>
          <w:szCs w:val="12"/>
          <w:color w:val="auto"/>
        </w:rPr>
        <w:t xml:space="preserve"> OR DESCRIBING THE ITEMS OF COLLATERAL ARE AS DESCRIBED HEREIN</w:t>
      </w:r>
      <w:r>
        <w:rPr>
          <w:rFonts w:ascii="Arial" w:cs="Arial" w:eastAsia="Arial" w:hAnsi="Arial"/>
          <w:sz w:val="17"/>
          <w:szCs w:val="17"/>
          <w:color w:val="auto"/>
        </w:rPr>
        <w:t>,</w:t>
      </w:r>
      <w:r>
        <w:rPr>
          <w:rFonts w:ascii="Arial" w:cs="Arial" w:eastAsia="Arial" w:hAnsi="Arial"/>
          <w:sz w:val="12"/>
          <w:szCs w:val="12"/>
          <w:color w:val="auto"/>
        </w:rPr>
        <w:t xml:space="preserve"> IN COMPLIANCE WITH THE REQUIREMENTS OF </w:t>
      </w:r>
      <w:r>
        <w:rPr>
          <w:rFonts w:ascii="Arial" w:cs="Arial" w:eastAsia="Arial" w:hAnsi="Arial"/>
          <w:sz w:val="17"/>
          <w:szCs w:val="17"/>
          <w:color w:val="auto"/>
        </w:rPr>
        <w:t>A</w:t>
      </w:r>
      <w:r>
        <w:rPr>
          <w:rFonts w:ascii="Arial" w:cs="Arial" w:eastAsia="Arial" w:hAnsi="Arial"/>
          <w:sz w:val="12"/>
          <w:szCs w:val="12"/>
          <w:color w:val="auto"/>
        </w:rPr>
        <w:t xml:space="preserve">RTICLE </w:t>
      </w:r>
      <w:r>
        <w:rPr>
          <w:rFonts w:ascii="Arial" w:cs="Arial" w:eastAsia="Arial" w:hAnsi="Arial"/>
          <w:sz w:val="17"/>
          <w:szCs w:val="17"/>
          <w:color w:val="auto"/>
        </w:rPr>
        <w:t>9, S</w:t>
      </w:r>
      <w:r>
        <w:rPr>
          <w:rFonts w:ascii="Arial" w:cs="Arial" w:eastAsia="Arial" w:hAnsi="Arial"/>
          <w:sz w:val="12"/>
          <w:szCs w:val="12"/>
          <w:color w:val="auto"/>
        </w:rPr>
        <w:t xml:space="preserve">ECTION </w:t>
      </w:r>
      <w:r>
        <w:rPr>
          <w:rFonts w:ascii="Arial" w:cs="Arial" w:eastAsia="Arial" w:hAnsi="Arial"/>
          <w:sz w:val="17"/>
          <w:szCs w:val="17"/>
          <w:color w:val="auto"/>
        </w:rPr>
        <w:t>9-502</w:t>
      </w:r>
      <w:r>
        <w:rPr>
          <w:rFonts w:ascii="Arial" w:cs="Arial" w:eastAsia="Arial" w:hAnsi="Arial"/>
          <w:sz w:val="12"/>
          <w:szCs w:val="12"/>
          <w:color w:val="auto"/>
        </w:rPr>
        <w:t xml:space="preserve"> OF THE </w:t>
      </w:r>
      <w:r>
        <w:rPr>
          <w:rFonts w:ascii="Arial" w:cs="Arial" w:eastAsia="Arial" w:hAnsi="Arial"/>
          <w:sz w:val="17"/>
          <w:szCs w:val="17"/>
          <w:color w:val="auto"/>
        </w:rPr>
        <w:t>U</w:t>
      </w:r>
      <w:r>
        <w:rPr>
          <w:rFonts w:ascii="Arial" w:cs="Arial" w:eastAsia="Arial" w:hAnsi="Arial"/>
          <w:sz w:val="12"/>
          <w:szCs w:val="12"/>
          <w:color w:val="auto"/>
        </w:rPr>
        <w:t xml:space="preserve">NIFORM </w:t>
      </w:r>
      <w:r>
        <w:rPr>
          <w:rFonts w:ascii="Arial" w:cs="Arial" w:eastAsia="Arial" w:hAnsi="Arial"/>
          <w:sz w:val="17"/>
          <w:szCs w:val="17"/>
          <w:color w:val="auto"/>
        </w:rPr>
        <w:t>C</w:t>
      </w:r>
      <w:r>
        <w:rPr>
          <w:rFonts w:ascii="Arial" w:cs="Arial" w:eastAsia="Arial" w:hAnsi="Arial"/>
          <w:sz w:val="12"/>
          <w:szCs w:val="12"/>
          <w:color w:val="auto"/>
        </w:rPr>
        <w:t xml:space="preserve">OMMERCIAL </w:t>
      </w:r>
      <w:r>
        <w:rPr>
          <w:rFonts w:ascii="Arial" w:cs="Arial" w:eastAsia="Arial" w:hAnsi="Arial"/>
          <w:sz w:val="17"/>
          <w:szCs w:val="17"/>
          <w:color w:val="auto"/>
        </w:rPr>
        <w:t>C</w:t>
      </w:r>
      <w:r>
        <w:rPr>
          <w:rFonts w:ascii="Arial" w:cs="Arial" w:eastAsia="Arial" w:hAnsi="Arial"/>
          <w:sz w:val="12"/>
          <w:szCs w:val="12"/>
          <w:color w:val="auto"/>
        </w:rPr>
        <w:t xml:space="preserve">ODE OF THE </w:t>
      </w:r>
      <w:r>
        <w:rPr>
          <w:rFonts w:ascii="Arial" w:cs="Arial" w:eastAsia="Arial" w:hAnsi="Arial"/>
          <w:sz w:val="17"/>
          <w:szCs w:val="17"/>
          <w:color w:val="auto"/>
        </w:rPr>
        <w:t>S</w:t>
      </w:r>
      <w:r>
        <w:rPr>
          <w:rFonts w:ascii="Arial" w:cs="Arial" w:eastAsia="Arial" w:hAnsi="Arial"/>
          <w:sz w:val="12"/>
          <w:szCs w:val="12"/>
          <w:color w:val="auto"/>
        </w:rPr>
        <w:t xml:space="preserve">TATE OF </w:t>
      </w:r>
      <w:r>
        <w:rPr>
          <w:rFonts w:ascii="Arial" w:cs="Arial" w:eastAsia="Arial" w:hAnsi="Arial"/>
          <w:sz w:val="17"/>
          <w:szCs w:val="17"/>
          <w:color w:val="auto"/>
        </w:rPr>
        <w:t>N</w:t>
      </w:r>
      <w:r>
        <w:rPr>
          <w:rFonts w:ascii="Arial" w:cs="Arial" w:eastAsia="Arial" w:hAnsi="Arial"/>
          <w:sz w:val="12"/>
          <w:szCs w:val="12"/>
          <w:color w:val="auto"/>
        </w:rPr>
        <w:t xml:space="preserve">EW </w:t>
      </w:r>
      <w:r>
        <w:rPr>
          <w:rFonts w:ascii="Arial" w:cs="Arial" w:eastAsia="Arial" w:hAnsi="Arial"/>
          <w:sz w:val="17"/>
          <w:szCs w:val="17"/>
          <w:color w:val="auto"/>
        </w:rPr>
        <w:t>Y</w:t>
      </w:r>
      <w:r>
        <w:rPr>
          <w:rFonts w:ascii="Arial" w:cs="Arial" w:eastAsia="Arial" w:hAnsi="Arial"/>
          <w:sz w:val="12"/>
          <w:szCs w:val="12"/>
          <w:color w:val="auto"/>
        </w:rPr>
        <w:t>ORK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6"/>
          <w:szCs w:val="16"/>
          <w:b w:val="1"/>
          <w:bCs w:val="1"/>
          <w:color w:val="auto"/>
        </w:rPr>
        <w:t>This counterpart is not the original counterpart.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306070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7380" w:type="dxa"/>
            <w:vAlign w:val="bottom"/>
          </w:tcPr>
          <w:p>
            <w:pPr>
              <w:ind w:left="33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2300" w:type="dxa"/>
            <w:vAlign w:val="bottom"/>
          </w:tcPr>
          <w:p>
            <w:pPr>
              <w:spacing w:after="0"/>
              <w:rPr>
                <w:sz w:val="20"/>
                <w:szCs w:val="20"/>
                <w:color w:val="auto"/>
              </w:rPr>
            </w:pP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7380" w:type="dxa"/>
            <w:vAlign w:val="bottom"/>
          </w:tcPr>
          <w:p>
            <w:pPr>
              <w:ind w:left="372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w:t>
            </w:r>
          </w:p>
        </w:tc>
        <w:tc>
          <w:tcPr>
            <w:tcW w:w="7380" w:type="dxa"/>
            <w:vAlign w:val="bottom"/>
          </w:tcPr>
          <w:p>
            <w:pPr>
              <w:ind w:left="14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r>
              <w:rPr>
                <w:rFonts w:ascii="Arial" w:cs="Arial" w:eastAsia="Arial" w:hAnsi="Arial"/>
                <w:sz w:val="18"/>
                <w:szCs w:val="18"/>
                <w:color w:val="auto"/>
              </w:rPr>
              <w:t>; E</w:t>
            </w:r>
            <w:r>
              <w:rPr>
                <w:rFonts w:ascii="Arial" w:cs="Arial" w:eastAsia="Arial" w:hAnsi="Arial"/>
                <w:sz w:val="12"/>
                <w:szCs w:val="12"/>
                <w:color w:val="auto"/>
              </w:rPr>
              <w:t>FFECTIVENESS</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560" w:type="dxa"/>
            <w:vAlign w:val="bottom"/>
          </w:tcPr>
          <w:p>
            <w:pPr>
              <w:ind w:left="580"/>
              <w:spacing w:after="0"/>
              <w:rPr>
                <w:sz w:val="20"/>
                <w:szCs w:val="20"/>
                <w:color w:val="auto"/>
              </w:rPr>
            </w:pPr>
            <w:r>
              <w:rPr>
                <w:rFonts w:ascii="Arial" w:cs="Arial" w:eastAsia="Arial" w:hAnsi="Arial"/>
                <w:sz w:val="18"/>
                <w:szCs w:val="18"/>
                <w:color w:val="auto"/>
              </w:rPr>
              <w:t>Section 1.1.</w:t>
            </w:r>
          </w:p>
        </w:tc>
        <w:tc>
          <w:tcPr>
            <w:tcW w:w="7380" w:type="dxa"/>
            <w:vAlign w:val="bottom"/>
          </w:tcPr>
          <w:p>
            <w:pPr>
              <w:ind w:left="600"/>
              <w:spacing w:after="0"/>
              <w:rPr>
                <w:sz w:val="20"/>
                <w:szCs w:val="20"/>
                <w:color w:val="auto"/>
              </w:rPr>
            </w:pPr>
            <w:r>
              <w:rPr>
                <w:rFonts w:ascii="Arial" w:cs="Arial" w:eastAsia="Arial" w:hAnsi="Arial"/>
                <w:sz w:val="18"/>
                <w:szCs w:val="18"/>
                <w:color w:val="auto"/>
              </w:rPr>
              <w:t>Definitions; Interpretation</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II</w:t>
            </w:r>
          </w:p>
        </w:tc>
        <w:tc>
          <w:tcPr>
            <w:tcW w:w="7380" w:type="dxa"/>
            <w:vAlign w:val="bottom"/>
          </w:tcPr>
          <w:p>
            <w:pPr>
              <w:ind w:left="14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EASE OF</w:t>
            </w:r>
            <w:r>
              <w:rPr>
                <w:rFonts w:ascii="Arial" w:cs="Arial" w:eastAsia="Arial" w:hAnsi="Arial"/>
                <w:sz w:val="18"/>
                <w:szCs w:val="18"/>
                <w:color w:val="auto"/>
              </w:rPr>
              <w:t xml:space="preserve"> L</w:t>
            </w:r>
            <w:r>
              <w:rPr>
                <w:rFonts w:ascii="Arial" w:cs="Arial" w:eastAsia="Arial" w:hAnsi="Arial"/>
                <w:sz w:val="12"/>
                <w:szCs w:val="12"/>
                <w:color w:val="auto"/>
              </w:rPr>
              <w:t>EASED</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T</w:t>
            </w:r>
            <w:r>
              <w:rPr>
                <w:rFonts w:ascii="Arial" w:cs="Arial" w:eastAsia="Arial" w:hAnsi="Arial"/>
                <w:sz w:val="12"/>
                <w:szCs w:val="12"/>
                <w:color w:val="auto"/>
              </w:rPr>
              <w:t>ERM</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560" w:type="dxa"/>
            <w:vAlign w:val="bottom"/>
          </w:tcPr>
          <w:p>
            <w:pPr>
              <w:ind w:left="580"/>
              <w:spacing w:after="0"/>
              <w:rPr>
                <w:sz w:val="20"/>
                <w:szCs w:val="20"/>
                <w:color w:val="auto"/>
              </w:rPr>
            </w:pPr>
            <w:r>
              <w:rPr>
                <w:rFonts w:ascii="Arial" w:cs="Arial" w:eastAsia="Arial" w:hAnsi="Arial"/>
                <w:sz w:val="18"/>
                <w:szCs w:val="18"/>
                <w:color w:val="auto"/>
              </w:rPr>
              <w:t>Section 2.1.</w:t>
            </w:r>
          </w:p>
        </w:tc>
        <w:tc>
          <w:tcPr>
            <w:tcW w:w="7380" w:type="dxa"/>
            <w:vAlign w:val="bottom"/>
          </w:tcPr>
          <w:p>
            <w:pPr>
              <w:ind w:left="600"/>
              <w:spacing w:after="0"/>
              <w:rPr>
                <w:sz w:val="20"/>
                <w:szCs w:val="20"/>
                <w:color w:val="auto"/>
              </w:rPr>
            </w:pPr>
            <w:r>
              <w:rPr>
                <w:rFonts w:ascii="Arial" w:cs="Arial" w:eastAsia="Arial" w:hAnsi="Arial"/>
                <w:sz w:val="18"/>
                <w:szCs w:val="18"/>
                <w:color w:val="auto"/>
              </w:rPr>
              <w:t>Acceptance and Lease of the Leased Property</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60" w:type="dxa"/>
            <w:vAlign w:val="bottom"/>
          </w:tcPr>
          <w:p>
            <w:pPr>
              <w:ind w:left="580"/>
              <w:spacing w:after="0"/>
              <w:rPr>
                <w:sz w:val="20"/>
                <w:szCs w:val="20"/>
                <w:color w:val="auto"/>
              </w:rPr>
            </w:pPr>
            <w:r>
              <w:rPr>
                <w:rFonts w:ascii="Arial" w:cs="Arial" w:eastAsia="Arial" w:hAnsi="Arial"/>
                <w:sz w:val="18"/>
                <w:szCs w:val="18"/>
                <w:color w:val="auto"/>
              </w:rPr>
              <w:t>Section 2.2.</w:t>
            </w:r>
          </w:p>
        </w:tc>
        <w:tc>
          <w:tcPr>
            <w:tcW w:w="7380" w:type="dxa"/>
            <w:vAlign w:val="bottom"/>
          </w:tcPr>
          <w:p>
            <w:pPr>
              <w:ind w:left="600"/>
              <w:spacing w:after="0"/>
              <w:rPr>
                <w:sz w:val="20"/>
                <w:szCs w:val="20"/>
                <w:color w:val="auto"/>
              </w:rPr>
            </w:pPr>
            <w:r>
              <w:rPr>
                <w:rFonts w:ascii="Arial" w:cs="Arial" w:eastAsia="Arial" w:hAnsi="Arial"/>
                <w:sz w:val="18"/>
                <w:szCs w:val="18"/>
                <w:color w:val="auto"/>
              </w:rPr>
              <w:t>Acceptance Procedure</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60" w:type="dxa"/>
            <w:vAlign w:val="bottom"/>
          </w:tcPr>
          <w:p>
            <w:pPr>
              <w:ind w:left="580"/>
              <w:spacing w:after="0"/>
              <w:rPr>
                <w:sz w:val="20"/>
                <w:szCs w:val="20"/>
                <w:color w:val="auto"/>
              </w:rPr>
            </w:pPr>
            <w:r>
              <w:rPr>
                <w:rFonts w:ascii="Arial" w:cs="Arial" w:eastAsia="Arial" w:hAnsi="Arial"/>
                <w:sz w:val="18"/>
                <w:szCs w:val="18"/>
                <w:color w:val="auto"/>
              </w:rPr>
              <w:t>Section 2.3.</w:t>
            </w:r>
          </w:p>
        </w:tc>
        <w:tc>
          <w:tcPr>
            <w:tcW w:w="7380" w:type="dxa"/>
            <w:vAlign w:val="bottom"/>
          </w:tcPr>
          <w:p>
            <w:pPr>
              <w:ind w:left="600"/>
              <w:spacing w:after="0"/>
              <w:rPr>
                <w:sz w:val="20"/>
                <w:szCs w:val="20"/>
                <w:color w:val="auto"/>
              </w:rPr>
            </w:pPr>
            <w:r>
              <w:rPr>
                <w:rFonts w:ascii="Arial" w:cs="Arial" w:eastAsia="Arial" w:hAnsi="Arial"/>
                <w:sz w:val="18"/>
                <w:szCs w:val="18"/>
                <w:color w:val="auto"/>
              </w:rPr>
              <w:t>Term</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60" w:type="dxa"/>
            <w:vAlign w:val="bottom"/>
          </w:tcPr>
          <w:p>
            <w:pPr>
              <w:ind w:left="580"/>
              <w:spacing w:after="0"/>
              <w:rPr>
                <w:sz w:val="20"/>
                <w:szCs w:val="20"/>
                <w:color w:val="auto"/>
              </w:rPr>
            </w:pPr>
            <w:r>
              <w:rPr>
                <w:rFonts w:ascii="Arial" w:cs="Arial" w:eastAsia="Arial" w:hAnsi="Arial"/>
                <w:sz w:val="18"/>
                <w:szCs w:val="18"/>
                <w:color w:val="auto"/>
              </w:rPr>
              <w:t>Section 2.4.</w:t>
            </w:r>
          </w:p>
        </w:tc>
        <w:tc>
          <w:tcPr>
            <w:tcW w:w="7380" w:type="dxa"/>
            <w:vAlign w:val="bottom"/>
          </w:tcPr>
          <w:p>
            <w:pPr>
              <w:ind w:left="600"/>
              <w:spacing w:after="0"/>
              <w:rPr>
                <w:sz w:val="20"/>
                <w:szCs w:val="20"/>
                <w:color w:val="auto"/>
              </w:rPr>
            </w:pPr>
            <w:r>
              <w:rPr>
                <w:rFonts w:ascii="Arial" w:cs="Arial" w:eastAsia="Arial" w:hAnsi="Arial"/>
                <w:sz w:val="18"/>
                <w:szCs w:val="18"/>
                <w:color w:val="auto"/>
              </w:rPr>
              <w:t>Title</w:t>
            </w: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III</w:t>
            </w:r>
          </w:p>
        </w:tc>
        <w:tc>
          <w:tcPr>
            <w:tcW w:w="7380" w:type="dxa"/>
            <w:vAlign w:val="bottom"/>
          </w:tcPr>
          <w:p>
            <w:pPr>
              <w:ind w:left="14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 OF</w:t>
            </w:r>
            <w:r>
              <w:rPr>
                <w:rFonts w:ascii="Arial" w:cs="Arial" w:eastAsia="Arial" w:hAnsi="Arial"/>
                <w:sz w:val="18"/>
                <w:szCs w:val="18"/>
                <w:color w:val="auto"/>
              </w:rPr>
              <w:t xml:space="preserve"> R</w:t>
            </w:r>
            <w:r>
              <w:rPr>
                <w:rFonts w:ascii="Arial" w:cs="Arial" w:eastAsia="Arial" w:hAnsi="Arial"/>
                <w:sz w:val="12"/>
                <w:szCs w:val="12"/>
                <w:color w:val="auto"/>
              </w:rPr>
              <w:t>ENT</w:t>
            </w: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560" w:type="dxa"/>
            <w:vAlign w:val="bottom"/>
          </w:tcPr>
          <w:p>
            <w:pPr>
              <w:ind w:left="580"/>
              <w:spacing w:after="0"/>
              <w:rPr>
                <w:sz w:val="20"/>
                <w:szCs w:val="20"/>
                <w:color w:val="auto"/>
              </w:rPr>
            </w:pPr>
            <w:r>
              <w:rPr>
                <w:rFonts w:ascii="Arial" w:cs="Arial" w:eastAsia="Arial" w:hAnsi="Arial"/>
                <w:sz w:val="18"/>
                <w:szCs w:val="18"/>
                <w:color w:val="auto"/>
              </w:rPr>
              <w:t>Section 3.1.</w:t>
            </w:r>
          </w:p>
        </w:tc>
        <w:tc>
          <w:tcPr>
            <w:tcW w:w="7380" w:type="dxa"/>
            <w:vAlign w:val="bottom"/>
          </w:tcPr>
          <w:p>
            <w:pPr>
              <w:ind w:left="600"/>
              <w:spacing w:after="0"/>
              <w:rPr>
                <w:sz w:val="20"/>
                <w:szCs w:val="20"/>
                <w:color w:val="auto"/>
              </w:rPr>
            </w:pPr>
            <w:r>
              <w:rPr>
                <w:rFonts w:ascii="Arial" w:cs="Arial" w:eastAsia="Arial" w:hAnsi="Arial"/>
                <w:sz w:val="18"/>
                <w:szCs w:val="18"/>
                <w:color w:val="auto"/>
              </w:rPr>
              <w:t>Rent</w:t>
            </w: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60" w:type="dxa"/>
            <w:vAlign w:val="bottom"/>
          </w:tcPr>
          <w:p>
            <w:pPr>
              <w:ind w:left="580"/>
              <w:spacing w:after="0"/>
              <w:rPr>
                <w:sz w:val="20"/>
                <w:szCs w:val="20"/>
                <w:color w:val="auto"/>
              </w:rPr>
            </w:pPr>
            <w:r>
              <w:rPr>
                <w:rFonts w:ascii="Arial" w:cs="Arial" w:eastAsia="Arial" w:hAnsi="Arial"/>
                <w:sz w:val="18"/>
                <w:szCs w:val="18"/>
                <w:color w:val="auto"/>
              </w:rPr>
              <w:t>Section 3.2.</w:t>
            </w:r>
          </w:p>
        </w:tc>
        <w:tc>
          <w:tcPr>
            <w:tcW w:w="7380" w:type="dxa"/>
            <w:vAlign w:val="bottom"/>
          </w:tcPr>
          <w:p>
            <w:pPr>
              <w:ind w:left="600"/>
              <w:spacing w:after="0"/>
              <w:rPr>
                <w:sz w:val="20"/>
                <w:szCs w:val="20"/>
                <w:color w:val="auto"/>
              </w:rPr>
            </w:pPr>
            <w:r>
              <w:rPr>
                <w:rFonts w:ascii="Arial" w:cs="Arial" w:eastAsia="Arial" w:hAnsi="Arial"/>
                <w:sz w:val="18"/>
                <w:szCs w:val="18"/>
                <w:color w:val="auto"/>
              </w:rPr>
              <w:t>Payment of Basic Rent</w:t>
            </w: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60" w:type="dxa"/>
            <w:vAlign w:val="bottom"/>
          </w:tcPr>
          <w:p>
            <w:pPr>
              <w:ind w:left="580"/>
              <w:spacing w:after="0"/>
              <w:rPr>
                <w:sz w:val="20"/>
                <w:szCs w:val="20"/>
                <w:color w:val="auto"/>
              </w:rPr>
            </w:pPr>
            <w:r>
              <w:rPr>
                <w:rFonts w:ascii="Arial" w:cs="Arial" w:eastAsia="Arial" w:hAnsi="Arial"/>
                <w:sz w:val="18"/>
                <w:szCs w:val="18"/>
                <w:color w:val="auto"/>
              </w:rPr>
              <w:t>Section 3.3.</w:t>
            </w:r>
          </w:p>
        </w:tc>
        <w:tc>
          <w:tcPr>
            <w:tcW w:w="7380" w:type="dxa"/>
            <w:vAlign w:val="bottom"/>
          </w:tcPr>
          <w:p>
            <w:pPr>
              <w:ind w:left="600"/>
              <w:spacing w:after="0"/>
              <w:rPr>
                <w:sz w:val="20"/>
                <w:szCs w:val="20"/>
                <w:color w:val="auto"/>
              </w:rPr>
            </w:pPr>
            <w:r>
              <w:rPr>
                <w:rFonts w:ascii="Arial" w:cs="Arial" w:eastAsia="Arial" w:hAnsi="Arial"/>
                <w:sz w:val="18"/>
                <w:szCs w:val="18"/>
                <w:color w:val="auto"/>
              </w:rPr>
              <w:t>Supplemental Rent</w:t>
            </w: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560" w:type="dxa"/>
            <w:vAlign w:val="bottom"/>
          </w:tcPr>
          <w:p>
            <w:pPr>
              <w:ind w:left="580"/>
              <w:spacing w:after="0"/>
              <w:rPr>
                <w:sz w:val="20"/>
                <w:szCs w:val="20"/>
                <w:color w:val="auto"/>
              </w:rPr>
            </w:pPr>
            <w:r>
              <w:rPr>
                <w:rFonts w:ascii="Arial" w:cs="Arial" w:eastAsia="Arial" w:hAnsi="Arial"/>
                <w:sz w:val="18"/>
                <w:szCs w:val="18"/>
                <w:color w:val="auto"/>
              </w:rPr>
              <w:t>Section 3.4.</w:t>
            </w:r>
          </w:p>
        </w:tc>
        <w:tc>
          <w:tcPr>
            <w:tcW w:w="7380" w:type="dxa"/>
            <w:vAlign w:val="bottom"/>
          </w:tcPr>
          <w:p>
            <w:pPr>
              <w:ind w:left="600"/>
              <w:spacing w:after="0"/>
              <w:rPr>
                <w:sz w:val="20"/>
                <w:szCs w:val="20"/>
                <w:color w:val="auto"/>
              </w:rPr>
            </w:pPr>
            <w:r>
              <w:rPr>
                <w:rFonts w:ascii="Arial" w:cs="Arial" w:eastAsia="Arial" w:hAnsi="Arial"/>
                <w:sz w:val="18"/>
                <w:szCs w:val="18"/>
                <w:color w:val="auto"/>
              </w:rPr>
              <w:t>Method of Payment</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IV</w:t>
            </w:r>
          </w:p>
        </w:tc>
        <w:tc>
          <w:tcPr>
            <w:tcW w:w="7380" w:type="dxa"/>
            <w:vAlign w:val="bottom"/>
          </w:tcPr>
          <w:p>
            <w:pPr>
              <w:ind w:left="14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ON</w:t>
            </w:r>
            <w:r>
              <w:rPr>
                <w:rFonts w:ascii="Arial" w:cs="Arial" w:eastAsia="Arial" w:hAnsi="Arial"/>
                <w:sz w:val="18"/>
                <w:szCs w:val="18"/>
                <w:color w:val="auto"/>
              </w:rPr>
              <w:t>-I</w:t>
            </w:r>
            <w:r>
              <w:rPr>
                <w:rFonts w:ascii="Arial" w:cs="Arial" w:eastAsia="Arial" w:hAnsi="Arial"/>
                <w:sz w:val="12"/>
                <w:szCs w:val="12"/>
                <w:color w:val="auto"/>
              </w:rPr>
              <w:t>NTERFERENCE</w:t>
            </w:r>
            <w:r>
              <w:rPr>
                <w:rFonts w:ascii="Arial" w:cs="Arial" w:eastAsia="Arial" w:hAnsi="Arial"/>
                <w:sz w:val="18"/>
                <w:szCs w:val="18"/>
                <w:color w:val="auto"/>
              </w:rPr>
              <w:t>; R</w:t>
            </w:r>
            <w:r>
              <w:rPr>
                <w:rFonts w:ascii="Arial" w:cs="Arial" w:eastAsia="Arial" w:hAnsi="Arial"/>
                <w:sz w:val="12"/>
                <w:szCs w:val="12"/>
                <w:color w:val="auto"/>
              </w:rPr>
              <w:t>IGHT</w:t>
            </w:r>
            <w:r>
              <w:rPr>
                <w:rFonts w:ascii="Arial" w:cs="Arial" w:eastAsia="Arial" w:hAnsi="Arial"/>
                <w:sz w:val="18"/>
                <w:szCs w:val="18"/>
                <w:color w:val="auto"/>
              </w:rPr>
              <w:t xml:space="preserve"> T</w:t>
            </w:r>
            <w:r>
              <w:rPr>
                <w:rFonts w:ascii="Arial" w:cs="Arial" w:eastAsia="Arial" w:hAnsi="Arial"/>
                <w:sz w:val="12"/>
                <w:szCs w:val="12"/>
                <w:color w:val="auto"/>
              </w:rPr>
              <w:t>O</w:t>
            </w:r>
            <w:r>
              <w:rPr>
                <w:rFonts w:ascii="Arial" w:cs="Arial" w:eastAsia="Arial" w:hAnsi="Arial"/>
                <w:sz w:val="18"/>
                <w:szCs w:val="18"/>
                <w:color w:val="auto"/>
              </w:rPr>
              <w:t xml:space="preserve"> I</w:t>
            </w:r>
            <w:r>
              <w:rPr>
                <w:rFonts w:ascii="Arial" w:cs="Arial" w:eastAsia="Arial" w:hAnsi="Arial"/>
                <w:sz w:val="12"/>
                <w:szCs w:val="12"/>
                <w:color w:val="auto"/>
              </w:rPr>
              <w:t>NSPECT</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1560" w:type="dxa"/>
            <w:vAlign w:val="bottom"/>
          </w:tcPr>
          <w:p>
            <w:pPr>
              <w:ind w:left="580"/>
              <w:spacing w:after="0"/>
              <w:rPr>
                <w:sz w:val="20"/>
                <w:szCs w:val="20"/>
                <w:color w:val="auto"/>
              </w:rPr>
            </w:pPr>
            <w:r>
              <w:rPr>
                <w:rFonts w:ascii="Arial" w:cs="Arial" w:eastAsia="Arial" w:hAnsi="Arial"/>
                <w:sz w:val="18"/>
                <w:szCs w:val="18"/>
                <w:color w:val="auto"/>
              </w:rPr>
              <w:t>Section 4.1.</w:t>
            </w:r>
          </w:p>
        </w:tc>
        <w:tc>
          <w:tcPr>
            <w:tcW w:w="7380" w:type="dxa"/>
            <w:vAlign w:val="bottom"/>
          </w:tcPr>
          <w:p>
            <w:pPr>
              <w:ind w:left="600"/>
              <w:spacing w:after="0"/>
              <w:rPr>
                <w:sz w:val="20"/>
                <w:szCs w:val="20"/>
                <w:color w:val="auto"/>
              </w:rPr>
            </w:pPr>
            <w:r>
              <w:rPr>
                <w:rFonts w:ascii="Arial" w:cs="Arial" w:eastAsia="Arial" w:hAnsi="Arial"/>
                <w:sz w:val="18"/>
                <w:szCs w:val="18"/>
                <w:color w:val="auto"/>
              </w:rPr>
              <w:t>Non-Interference</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560" w:type="dxa"/>
            <w:vAlign w:val="bottom"/>
          </w:tcPr>
          <w:p>
            <w:pPr>
              <w:ind w:left="580"/>
              <w:spacing w:after="0"/>
              <w:rPr>
                <w:sz w:val="20"/>
                <w:szCs w:val="20"/>
                <w:color w:val="auto"/>
              </w:rPr>
            </w:pPr>
            <w:r>
              <w:rPr>
                <w:rFonts w:ascii="Arial" w:cs="Arial" w:eastAsia="Arial" w:hAnsi="Arial"/>
                <w:sz w:val="18"/>
                <w:szCs w:val="18"/>
                <w:color w:val="auto"/>
              </w:rPr>
              <w:t>Section 4.2.</w:t>
            </w:r>
          </w:p>
        </w:tc>
        <w:tc>
          <w:tcPr>
            <w:tcW w:w="7380" w:type="dxa"/>
            <w:vAlign w:val="bottom"/>
          </w:tcPr>
          <w:p>
            <w:pPr>
              <w:ind w:left="600"/>
              <w:spacing w:after="0"/>
              <w:rPr>
                <w:sz w:val="20"/>
                <w:szCs w:val="20"/>
                <w:color w:val="auto"/>
              </w:rPr>
            </w:pPr>
            <w:r>
              <w:rPr>
                <w:rFonts w:ascii="Arial" w:cs="Arial" w:eastAsia="Arial" w:hAnsi="Arial"/>
                <w:sz w:val="18"/>
                <w:szCs w:val="18"/>
                <w:color w:val="auto"/>
              </w:rPr>
              <w:t>Inspection and Reports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w:t>
            </w:r>
          </w:p>
        </w:tc>
        <w:tc>
          <w:tcPr>
            <w:tcW w:w="7380" w:type="dxa"/>
            <w:vAlign w:val="bottom"/>
          </w:tcPr>
          <w:p>
            <w:pPr>
              <w:ind w:left="14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ET</w:t>
            </w:r>
            <w:r>
              <w:rPr>
                <w:rFonts w:ascii="Arial" w:cs="Arial" w:eastAsia="Arial" w:hAnsi="Arial"/>
                <w:sz w:val="18"/>
                <w:szCs w:val="18"/>
                <w:color w:val="auto"/>
              </w:rPr>
              <w:t xml:space="preserve"> L</w:t>
            </w:r>
            <w:r>
              <w:rPr>
                <w:rFonts w:ascii="Arial" w:cs="Arial" w:eastAsia="Arial" w:hAnsi="Arial"/>
                <w:sz w:val="12"/>
                <w:szCs w:val="12"/>
                <w:color w:val="auto"/>
              </w:rPr>
              <w:t>EASE</w:t>
            </w:r>
            <w:r>
              <w:rPr>
                <w:rFonts w:ascii="Arial" w:cs="Arial" w:eastAsia="Arial" w:hAnsi="Arial"/>
                <w:sz w:val="18"/>
                <w:szCs w:val="18"/>
                <w:color w:val="auto"/>
              </w:rPr>
              <w:t>, E</w:t>
            </w:r>
            <w:r>
              <w:rPr>
                <w:rFonts w:ascii="Arial" w:cs="Arial" w:eastAsia="Arial" w:hAnsi="Arial"/>
                <w:sz w:val="12"/>
                <w:szCs w:val="12"/>
                <w:color w:val="auto"/>
              </w:rPr>
              <w:t>TC</w:t>
            </w: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560" w:type="dxa"/>
            <w:vAlign w:val="bottom"/>
          </w:tcPr>
          <w:p>
            <w:pPr>
              <w:ind w:left="580"/>
              <w:spacing w:after="0"/>
              <w:rPr>
                <w:sz w:val="20"/>
                <w:szCs w:val="20"/>
                <w:color w:val="auto"/>
              </w:rPr>
            </w:pPr>
            <w:r>
              <w:rPr>
                <w:rFonts w:ascii="Arial" w:cs="Arial" w:eastAsia="Arial" w:hAnsi="Arial"/>
                <w:sz w:val="18"/>
                <w:szCs w:val="18"/>
                <w:color w:val="auto"/>
              </w:rPr>
              <w:t>Section 5.1.</w:t>
            </w:r>
          </w:p>
        </w:tc>
        <w:tc>
          <w:tcPr>
            <w:tcW w:w="7380" w:type="dxa"/>
            <w:vAlign w:val="bottom"/>
          </w:tcPr>
          <w:p>
            <w:pPr>
              <w:ind w:left="600"/>
              <w:spacing w:after="0"/>
              <w:rPr>
                <w:sz w:val="20"/>
                <w:szCs w:val="20"/>
                <w:color w:val="auto"/>
              </w:rPr>
            </w:pPr>
            <w:r>
              <w:rPr>
                <w:rFonts w:ascii="Arial" w:cs="Arial" w:eastAsia="Arial" w:hAnsi="Arial"/>
                <w:sz w:val="18"/>
                <w:szCs w:val="18"/>
                <w:color w:val="auto"/>
              </w:rPr>
              <w:t>Net Lease</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560" w:type="dxa"/>
            <w:vAlign w:val="bottom"/>
          </w:tcPr>
          <w:p>
            <w:pPr>
              <w:ind w:left="580"/>
              <w:spacing w:after="0"/>
              <w:rPr>
                <w:sz w:val="20"/>
                <w:szCs w:val="20"/>
                <w:color w:val="auto"/>
              </w:rPr>
            </w:pPr>
            <w:r>
              <w:rPr>
                <w:rFonts w:ascii="Arial" w:cs="Arial" w:eastAsia="Arial" w:hAnsi="Arial"/>
                <w:sz w:val="18"/>
                <w:szCs w:val="18"/>
                <w:color w:val="auto"/>
              </w:rPr>
              <w:t>Section 5.2.</w:t>
            </w:r>
          </w:p>
        </w:tc>
        <w:tc>
          <w:tcPr>
            <w:tcW w:w="7380" w:type="dxa"/>
            <w:vAlign w:val="bottom"/>
          </w:tcPr>
          <w:p>
            <w:pPr>
              <w:ind w:left="600"/>
              <w:spacing w:after="0"/>
              <w:rPr>
                <w:sz w:val="20"/>
                <w:szCs w:val="20"/>
                <w:color w:val="auto"/>
              </w:rPr>
            </w:pPr>
            <w:r>
              <w:rPr>
                <w:rFonts w:ascii="Arial" w:cs="Arial" w:eastAsia="Arial" w:hAnsi="Arial"/>
                <w:sz w:val="18"/>
                <w:szCs w:val="18"/>
                <w:color w:val="auto"/>
              </w:rPr>
              <w:t>No Termination or Abatement</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w:t>
            </w:r>
          </w:p>
        </w:tc>
        <w:tc>
          <w:tcPr>
            <w:tcW w:w="7380" w:type="dxa"/>
            <w:vAlign w:val="bottom"/>
          </w:tcPr>
          <w:p>
            <w:pPr>
              <w:ind w:left="14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SSIGNMENTS</w:t>
            </w:r>
            <w:r>
              <w:rPr>
                <w:rFonts w:ascii="Arial" w:cs="Arial" w:eastAsia="Arial" w:hAnsi="Arial"/>
                <w:sz w:val="18"/>
                <w:szCs w:val="18"/>
                <w:color w:val="auto"/>
              </w:rPr>
              <w:t>; S</w:t>
            </w:r>
            <w:r>
              <w:rPr>
                <w:rFonts w:ascii="Arial" w:cs="Arial" w:eastAsia="Arial" w:hAnsi="Arial"/>
                <w:sz w:val="12"/>
                <w:szCs w:val="12"/>
                <w:color w:val="auto"/>
              </w:rPr>
              <w:t>UBLEASES AND</w:t>
            </w:r>
            <w:r>
              <w:rPr>
                <w:rFonts w:ascii="Arial" w:cs="Arial" w:eastAsia="Arial" w:hAnsi="Arial"/>
                <w:sz w:val="18"/>
                <w:szCs w:val="18"/>
                <w:color w:val="auto"/>
              </w:rPr>
              <w:t xml:space="preserve"> D</w:t>
            </w:r>
            <w:r>
              <w:rPr>
                <w:rFonts w:ascii="Arial" w:cs="Arial" w:eastAsia="Arial" w:hAnsi="Arial"/>
                <w:sz w:val="12"/>
                <w:szCs w:val="12"/>
                <w:color w:val="auto"/>
              </w:rPr>
              <w:t>ELEGATIONS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VII</w:t>
            </w:r>
          </w:p>
        </w:tc>
        <w:tc>
          <w:tcPr>
            <w:tcW w:w="7380" w:type="dxa"/>
            <w:vAlign w:val="bottom"/>
          </w:tcPr>
          <w:p>
            <w:pPr>
              <w:ind w:left="14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ESSEE</w:t>
            </w:r>
            <w:r>
              <w:rPr>
                <w:rFonts w:ascii="Arial" w:cs="Arial" w:eastAsia="Arial" w:hAnsi="Arial"/>
                <w:sz w:val="18"/>
                <w:szCs w:val="18"/>
                <w:color w:val="auto"/>
              </w:rPr>
              <w:t xml:space="preserve"> A</w:t>
            </w:r>
            <w:r>
              <w:rPr>
                <w:rFonts w:ascii="Arial" w:cs="Arial" w:eastAsia="Arial" w:hAnsi="Arial"/>
                <w:sz w:val="12"/>
                <w:szCs w:val="12"/>
                <w:color w:val="auto"/>
              </w:rPr>
              <w:t>CKNOWLEDGMENTS</w:t>
            </w:r>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560" w:type="dxa"/>
            <w:vAlign w:val="bottom"/>
          </w:tcPr>
          <w:p>
            <w:pPr>
              <w:ind w:left="580"/>
              <w:spacing w:after="0"/>
              <w:rPr>
                <w:sz w:val="20"/>
                <w:szCs w:val="20"/>
                <w:color w:val="auto"/>
              </w:rPr>
            </w:pPr>
            <w:r>
              <w:rPr>
                <w:rFonts w:ascii="Arial" w:cs="Arial" w:eastAsia="Arial" w:hAnsi="Arial"/>
                <w:sz w:val="18"/>
                <w:szCs w:val="18"/>
                <w:color w:val="auto"/>
              </w:rPr>
              <w:t>Section 7.1.</w:t>
            </w:r>
          </w:p>
        </w:tc>
        <w:tc>
          <w:tcPr>
            <w:tcW w:w="7380" w:type="dxa"/>
            <w:vAlign w:val="bottom"/>
          </w:tcPr>
          <w:p>
            <w:pPr>
              <w:ind w:left="600"/>
              <w:spacing w:after="0"/>
              <w:rPr>
                <w:sz w:val="20"/>
                <w:szCs w:val="20"/>
                <w:color w:val="auto"/>
              </w:rPr>
            </w:pPr>
            <w:r>
              <w:rPr>
                <w:rFonts w:ascii="Arial" w:cs="Arial" w:eastAsia="Arial" w:hAnsi="Arial"/>
                <w:sz w:val="18"/>
                <w:szCs w:val="18"/>
                <w:color w:val="auto"/>
              </w:rPr>
              <w:t>Condition of the Leased Property</w:t>
            </w:r>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60" w:type="dxa"/>
            <w:vAlign w:val="bottom"/>
          </w:tcPr>
          <w:p>
            <w:pPr>
              <w:ind w:left="580"/>
              <w:spacing w:after="0"/>
              <w:rPr>
                <w:sz w:val="20"/>
                <w:szCs w:val="20"/>
                <w:color w:val="auto"/>
              </w:rPr>
            </w:pPr>
            <w:r>
              <w:rPr>
                <w:rFonts w:ascii="Arial" w:cs="Arial" w:eastAsia="Arial" w:hAnsi="Arial"/>
                <w:sz w:val="18"/>
                <w:szCs w:val="18"/>
                <w:color w:val="auto"/>
              </w:rPr>
              <w:t>Section 7.2.</w:t>
            </w:r>
          </w:p>
        </w:tc>
        <w:tc>
          <w:tcPr>
            <w:tcW w:w="7380" w:type="dxa"/>
            <w:vAlign w:val="bottom"/>
          </w:tcPr>
          <w:p>
            <w:pPr>
              <w:ind w:left="600"/>
              <w:spacing w:after="0"/>
              <w:rPr>
                <w:sz w:val="20"/>
                <w:szCs w:val="20"/>
                <w:color w:val="auto"/>
              </w:rPr>
            </w:pPr>
            <w:r>
              <w:rPr>
                <w:rFonts w:ascii="Arial" w:cs="Arial" w:eastAsia="Arial" w:hAnsi="Arial"/>
                <w:sz w:val="18"/>
                <w:szCs w:val="18"/>
                <w:color w:val="auto"/>
              </w:rPr>
              <w:t>Risk of Loss</w:t>
            </w:r>
          </w:p>
        </w:tc>
        <w:tc>
          <w:tcPr>
            <w:tcW w:w="2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560" w:type="dxa"/>
            <w:vAlign w:val="bottom"/>
          </w:tcPr>
          <w:p>
            <w:pPr>
              <w:ind w:left="580"/>
              <w:spacing w:after="0"/>
              <w:rPr>
                <w:sz w:val="20"/>
                <w:szCs w:val="20"/>
                <w:color w:val="auto"/>
              </w:rPr>
            </w:pPr>
            <w:r>
              <w:rPr>
                <w:rFonts w:ascii="Arial" w:cs="Arial" w:eastAsia="Arial" w:hAnsi="Arial"/>
                <w:sz w:val="18"/>
                <w:szCs w:val="18"/>
                <w:color w:val="auto"/>
              </w:rPr>
              <w:t>Section 7.3.</w:t>
            </w:r>
          </w:p>
        </w:tc>
        <w:tc>
          <w:tcPr>
            <w:tcW w:w="7380" w:type="dxa"/>
            <w:vAlign w:val="bottom"/>
          </w:tcPr>
          <w:p>
            <w:pPr>
              <w:ind w:left="600"/>
              <w:spacing w:after="0"/>
              <w:rPr>
                <w:sz w:val="20"/>
                <w:szCs w:val="20"/>
                <w:color w:val="auto"/>
              </w:rPr>
            </w:pPr>
            <w:r>
              <w:rPr>
                <w:rFonts w:ascii="Arial" w:cs="Arial" w:eastAsia="Arial" w:hAnsi="Arial"/>
                <w:sz w:val="18"/>
                <w:szCs w:val="18"/>
                <w:color w:val="auto"/>
              </w:rPr>
              <w:t>Certain Duties and Responsibilities of Lessor</w:t>
            </w:r>
          </w:p>
        </w:tc>
        <w:tc>
          <w:tcPr>
            <w:tcW w:w="2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VIII</w:t>
            </w:r>
          </w:p>
        </w:tc>
        <w:tc>
          <w:tcPr>
            <w:tcW w:w="7380" w:type="dxa"/>
            <w:vAlign w:val="bottom"/>
          </w:tcPr>
          <w:p>
            <w:pPr>
              <w:ind w:left="14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OSSESSION AND</w:t>
            </w:r>
            <w:r>
              <w:rPr>
                <w:rFonts w:ascii="Arial" w:cs="Arial" w:eastAsia="Arial" w:hAnsi="Arial"/>
                <w:sz w:val="18"/>
                <w:szCs w:val="18"/>
                <w:color w:val="auto"/>
              </w:rPr>
              <w:t xml:space="preserve"> U</w:t>
            </w:r>
            <w:r>
              <w:rPr>
                <w:rFonts w:ascii="Arial" w:cs="Arial" w:eastAsia="Arial" w:hAnsi="Arial"/>
                <w:sz w:val="12"/>
                <w:szCs w:val="12"/>
                <w:color w:val="auto"/>
              </w:rPr>
              <w:t>SE OF</w:t>
            </w:r>
            <w:r>
              <w:rPr>
                <w:rFonts w:ascii="Arial" w:cs="Arial" w:eastAsia="Arial" w:hAnsi="Arial"/>
                <w:sz w:val="18"/>
                <w:szCs w:val="18"/>
                <w:color w:val="auto"/>
              </w:rPr>
              <w:t xml:space="preserve"> T</w:t>
            </w:r>
            <w:r>
              <w:rPr>
                <w:rFonts w:ascii="Arial" w:cs="Arial" w:eastAsia="Arial" w:hAnsi="Arial"/>
                <w:sz w:val="12"/>
                <w:szCs w:val="12"/>
                <w:color w:val="auto"/>
              </w:rPr>
              <w:t>HE</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E</w:t>
            </w:r>
            <w:r>
              <w:rPr>
                <w:rFonts w:ascii="Arial" w:cs="Arial" w:eastAsia="Arial" w:hAnsi="Arial"/>
                <w:sz w:val="12"/>
                <w:szCs w:val="12"/>
                <w:color w:val="auto"/>
              </w:rPr>
              <w:t>TC</w:t>
            </w: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1560" w:type="dxa"/>
            <w:vAlign w:val="bottom"/>
          </w:tcPr>
          <w:p>
            <w:pPr>
              <w:ind w:left="580"/>
              <w:spacing w:after="0"/>
              <w:rPr>
                <w:sz w:val="20"/>
                <w:szCs w:val="20"/>
                <w:color w:val="auto"/>
              </w:rPr>
            </w:pPr>
            <w:r>
              <w:rPr>
                <w:rFonts w:ascii="Arial" w:cs="Arial" w:eastAsia="Arial" w:hAnsi="Arial"/>
                <w:sz w:val="18"/>
                <w:szCs w:val="18"/>
                <w:color w:val="auto"/>
              </w:rPr>
              <w:t>Section 8.1.</w:t>
            </w:r>
          </w:p>
        </w:tc>
        <w:tc>
          <w:tcPr>
            <w:tcW w:w="7380" w:type="dxa"/>
            <w:vAlign w:val="bottom"/>
          </w:tcPr>
          <w:p>
            <w:pPr>
              <w:ind w:left="600"/>
              <w:spacing w:after="0"/>
              <w:rPr>
                <w:sz w:val="20"/>
                <w:szCs w:val="20"/>
                <w:color w:val="auto"/>
              </w:rPr>
            </w:pPr>
            <w:r>
              <w:rPr>
                <w:rFonts w:ascii="Arial" w:cs="Arial" w:eastAsia="Arial" w:hAnsi="Arial"/>
                <w:sz w:val="18"/>
                <w:szCs w:val="18"/>
                <w:color w:val="auto"/>
              </w:rPr>
              <w:t>Possession and Use of the Leased Property</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60" w:type="dxa"/>
            <w:vAlign w:val="bottom"/>
          </w:tcPr>
          <w:p>
            <w:pPr>
              <w:ind w:left="580"/>
              <w:spacing w:after="0"/>
              <w:rPr>
                <w:sz w:val="20"/>
                <w:szCs w:val="20"/>
                <w:color w:val="auto"/>
              </w:rPr>
            </w:pPr>
            <w:r>
              <w:rPr>
                <w:rFonts w:ascii="Arial" w:cs="Arial" w:eastAsia="Arial" w:hAnsi="Arial"/>
                <w:sz w:val="18"/>
                <w:szCs w:val="18"/>
                <w:color w:val="auto"/>
              </w:rPr>
              <w:t>Section 8.2.</w:t>
            </w:r>
          </w:p>
        </w:tc>
        <w:tc>
          <w:tcPr>
            <w:tcW w:w="7380" w:type="dxa"/>
            <w:vAlign w:val="bottom"/>
          </w:tcPr>
          <w:p>
            <w:pPr>
              <w:ind w:left="600"/>
              <w:spacing w:after="0"/>
              <w:rPr>
                <w:sz w:val="20"/>
                <w:szCs w:val="20"/>
                <w:color w:val="auto"/>
              </w:rPr>
            </w:pPr>
            <w:r>
              <w:rPr>
                <w:rFonts w:ascii="Arial" w:cs="Arial" w:eastAsia="Arial" w:hAnsi="Arial"/>
                <w:sz w:val="18"/>
                <w:szCs w:val="18"/>
                <w:color w:val="auto"/>
              </w:rPr>
              <w:t>Compliance with Requirements of Law and Insurance Requirements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60" w:type="dxa"/>
            <w:vAlign w:val="bottom"/>
          </w:tcPr>
          <w:p>
            <w:pPr>
              <w:ind w:left="580"/>
              <w:spacing w:after="0"/>
              <w:rPr>
                <w:sz w:val="20"/>
                <w:szCs w:val="20"/>
                <w:color w:val="auto"/>
              </w:rPr>
            </w:pPr>
            <w:r>
              <w:rPr>
                <w:rFonts w:ascii="Arial" w:cs="Arial" w:eastAsia="Arial" w:hAnsi="Arial"/>
                <w:sz w:val="18"/>
                <w:szCs w:val="18"/>
                <w:color w:val="auto"/>
              </w:rPr>
              <w:t>Section 8.3.</w:t>
            </w:r>
          </w:p>
        </w:tc>
        <w:tc>
          <w:tcPr>
            <w:tcW w:w="7380" w:type="dxa"/>
            <w:vAlign w:val="bottom"/>
          </w:tcPr>
          <w:p>
            <w:pPr>
              <w:ind w:left="600"/>
              <w:spacing w:after="0"/>
              <w:rPr>
                <w:sz w:val="20"/>
                <w:szCs w:val="20"/>
                <w:color w:val="auto"/>
              </w:rPr>
            </w:pPr>
            <w:r>
              <w:rPr>
                <w:rFonts w:ascii="Arial" w:cs="Arial" w:eastAsia="Arial" w:hAnsi="Arial"/>
                <w:sz w:val="18"/>
                <w:szCs w:val="18"/>
                <w:color w:val="auto"/>
              </w:rPr>
              <w:t>Tax Abatement Documents</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60" w:type="dxa"/>
            <w:vAlign w:val="bottom"/>
          </w:tcPr>
          <w:p>
            <w:pPr>
              <w:ind w:left="580"/>
              <w:spacing w:after="0"/>
              <w:rPr>
                <w:sz w:val="20"/>
                <w:szCs w:val="20"/>
                <w:color w:val="auto"/>
              </w:rPr>
            </w:pPr>
            <w:r>
              <w:rPr>
                <w:rFonts w:ascii="Arial" w:cs="Arial" w:eastAsia="Arial" w:hAnsi="Arial"/>
                <w:sz w:val="18"/>
                <w:szCs w:val="18"/>
                <w:color w:val="auto"/>
              </w:rPr>
              <w:t>Section 8.3.</w:t>
            </w:r>
          </w:p>
        </w:tc>
        <w:tc>
          <w:tcPr>
            <w:tcW w:w="7380" w:type="dxa"/>
            <w:vAlign w:val="bottom"/>
          </w:tcPr>
          <w:p>
            <w:pPr>
              <w:ind w:left="600"/>
              <w:spacing w:after="0"/>
              <w:rPr>
                <w:sz w:val="20"/>
                <w:szCs w:val="20"/>
                <w:color w:val="auto"/>
              </w:rPr>
            </w:pPr>
            <w:r>
              <w:rPr>
                <w:rFonts w:ascii="Arial" w:cs="Arial" w:eastAsia="Arial" w:hAnsi="Arial"/>
                <w:sz w:val="18"/>
                <w:szCs w:val="18"/>
                <w:color w:val="auto"/>
              </w:rPr>
              <w:t>Power of Attorney</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IX</w:t>
            </w:r>
          </w:p>
        </w:tc>
        <w:tc>
          <w:tcPr>
            <w:tcW w:w="7380" w:type="dxa"/>
            <w:vAlign w:val="bottom"/>
          </w:tcPr>
          <w:p>
            <w:pPr>
              <w:ind w:left="14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AINTENANCE AND</w:t>
            </w:r>
            <w:r>
              <w:rPr>
                <w:rFonts w:ascii="Arial" w:cs="Arial" w:eastAsia="Arial" w:hAnsi="Arial"/>
                <w:sz w:val="18"/>
                <w:szCs w:val="18"/>
                <w:color w:val="auto"/>
              </w:rPr>
              <w:t xml:space="preserve"> R</w:t>
            </w:r>
            <w:r>
              <w:rPr>
                <w:rFonts w:ascii="Arial" w:cs="Arial" w:eastAsia="Arial" w:hAnsi="Arial"/>
                <w:sz w:val="12"/>
                <w:szCs w:val="12"/>
                <w:color w:val="auto"/>
              </w:rPr>
              <w:t>EPAIR</w:t>
            </w:r>
            <w:r>
              <w:rPr>
                <w:rFonts w:ascii="Arial" w:cs="Arial" w:eastAsia="Arial" w:hAnsi="Arial"/>
                <w:sz w:val="18"/>
                <w:szCs w:val="18"/>
                <w:color w:val="auto"/>
              </w:rPr>
              <w:t>; R</w:t>
            </w:r>
            <w:r>
              <w:rPr>
                <w:rFonts w:ascii="Arial" w:cs="Arial" w:eastAsia="Arial" w:hAnsi="Arial"/>
                <w:sz w:val="12"/>
                <w:szCs w:val="12"/>
                <w:color w:val="auto"/>
              </w:rPr>
              <w:t>EPORTS</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560" w:type="dxa"/>
            <w:vAlign w:val="bottom"/>
          </w:tcPr>
          <w:p>
            <w:pPr>
              <w:ind w:left="580"/>
              <w:spacing w:after="0"/>
              <w:rPr>
                <w:sz w:val="20"/>
                <w:szCs w:val="20"/>
                <w:color w:val="auto"/>
              </w:rPr>
            </w:pPr>
            <w:r>
              <w:rPr>
                <w:rFonts w:ascii="Arial" w:cs="Arial" w:eastAsia="Arial" w:hAnsi="Arial"/>
                <w:sz w:val="18"/>
                <w:szCs w:val="18"/>
                <w:color w:val="auto"/>
              </w:rPr>
              <w:t>Section 9.1.</w:t>
            </w:r>
          </w:p>
        </w:tc>
        <w:tc>
          <w:tcPr>
            <w:tcW w:w="7380" w:type="dxa"/>
            <w:vAlign w:val="bottom"/>
          </w:tcPr>
          <w:p>
            <w:pPr>
              <w:ind w:left="600"/>
              <w:spacing w:after="0"/>
              <w:rPr>
                <w:sz w:val="20"/>
                <w:szCs w:val="20"/>
                <w:color w:val="auto"/>
              </w:rPr>
            </w:pPr>
            <w:r>
              <w:rPr>
                <w:rFonts w:ascii="Arial" w:cs="Arial" w:eastAsia="Arial" w:hAnsi="Arial"/>
                <w:sz w:val="18"/>
                <w:szCs w:val="18"/>
                <w:color w:val="auto"/>
              </w:rPr>
              <w:t>Maintenance and Repair</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rPr>
              <w:t>Section 9.2.</w:t>
            </w:r>
          </w:p>
        </w:tc>
        <w:tc>
          <w:tcPr>
            <w:tcW w:w="7220" w:type="dxa"/>
            <w:vAlign w:val="bottom"/>
          </w:tcPr>
          <w:p>
            <w:pPr>
              <w:ind w:left="540"/>
              <w:spacing w:after="0"/>
              <w:rPr>
                <w:sz w:val="20"/>
                <w:szCs w:val="20"/>
                <w:color w:val="auto"/>
              </w:rPr>
            </w:pPr>
            <w:r>
              <w:rPr>
                <w:rFonts w:ascii="Arial" w:cs="Arial" w:eastAsia="Arial" w:hAnsi="Arial"/>
                <w:sz w:val="18"/>
                <w:szCs w:val="18"/>
                <w:color w:val="auto"/>
              </w:rPr>
              <w:t>Maintenance and Repair Records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620" w:type="dxa"/>
            <w:vAlign w:val="bottom"/>
          </w:tcPr>
          <w:p>
            <w:pPr>
              <w:ind w:left="580"/>
              <w:spacing w:after="0"/>
              <w:rPr>
                <w:sz w:val="20"/>
                <w:szCs w:val="20"/>
                <w:color w:val="auto"/>
              </w:rPr>
            </w:pPr>
            <w:r>
              <w:rPr>
                <w:rFonts w:ascii="Arial" w:cs="Arial" w:eastAsia="Arial" w:hAnsi="Arial"/>
                <w:sz w:val="18"/>
                <w:szCs w:val="18"/>
                <w:color w:val="auto"/>
              </w:rPr>
              <w:t>Section 9.3.</w:t>
            </w:r>
          </w:p>
        </w:tc>
        <w:tc>
          <w:tcPr>
            <w:tcW w:w="7220" w:type="dxa"/>
            <w:vAlign w:val="bottom"/>
          </w:tcPr>
          <w:p>
            <w:pPr>
              <w:ind w:left="540"/>
              <w:spacing w:after="0"/>
              <w:rPr>
                <w:sz w:val="20"/>
                <w:szCs w:val="20"/>
                <w:color w:val="auto"/>
              </w:rPr>
            </w:pPr>
            <w:r>
              <w:rPr>
                <w:rFonts w:ascii="Arial" w:cs="Arial" w:eastAsia="Arial" w:hAnsi="Arial"/>
                <w:sz w:val="18"/>
                <w:szCs w:val="18"/>
                <w:color w:val="auto"/>
              </w:rPr>
              <w:t>Lessor Not Obligated to Maintain or Repair</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w:t>
            </w:r>
          </w:p>
        </w:tc>
        <w:tc>
          <w:tcPr>
            <w:tcW w:w="7220" w:type="dxa"/>
            <w:vAlign w:val="bottom"/>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ODIFICATIONS</w:t>
            </w:r>
            <w:r>
              <w:rPr>
                <w:rFonts w:ascii="Arial" w:cs="Arial" w:eastAsia="Arial" w:hAnsi="Arial"/>
                <w:sz w:val="18"/>
                <w:szCs w:val="18"/>
                <w:color w:val="auto"/>
              </w:rPr>
              <w:t>, E</w:t>
            </w:r>
            <w:r>
              <w:rPr>
                <w:rFonts w:ascii="Arial" w:cs="Arial" w:eastAsia="Arial" w:hAnsi="Arial"/>
                <w:sz w:val="12"/>
                <w:szCs w:val="12"/>
                <w:color w:val="auto"/>
              </w:rPr>
              <w:t>TC</w:t>
            </w:r>
            <w:r>
              <w:rPr>
                <w:rFonts w:ascii="Arial" w:cs="Arial" w:eastAsia="Arial" w:hAnsi="Arial"/>
                <w:sz w:val="18"/>
                <w:szCs w:val="18"/>
                <w:color w:val="auto"/>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10.1.</w:t>
            </w:r>
          </w:p>
        </w:tc>
        <w:tc>
          <w:tcPr>
            <w:tcW w:w="7220" w:type="dxa"/>
            <w:vAlign w:val="bottom"/>
          </w:tcPr>
          <w:p>
            <w:pPr>
              <w:ind w:left="540"/>
              <w:spacing w:after="0"/>
              <w:rPr>
                <w:sz w:val="20"/>
                <w:szCs w:val="20"/>
                <w:color w:val="auto"/>
              </w:rPr>
            </w:pPr>
            <w:r>
              <w:rPr>
                <w:rFonts w:ascii="Arial" w:cs="Arial" w:eastAsia="Arial" w:hAnsi="Arial"/>
                <w:sz w:val="18"/>
                <w:szCs w:val="18"/>
                <w:color w:val="auto"/>
              </w:rPr>
              <w:t>Improvements and Modifications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10.2.</w:t>
            </w:r>
          </w:p>
        </w:tc>
        <w:tc>
          <w:tcPr>
            <w:tcW w:w="7220" w:type="dxa"/>
            <w:vAlign w:val="bottom"/>
          </w:tcPr>
          <w:p>
            <w:pPr>
              <w:ind w:left="540"/>
              <w:spacing w:after="0"/>
              <w:rPr>
                <w:sz w:val="20"/>
                <w:szCs w:val="20"/>
                <w:color w:val="auto"/>
              </w:rPr>
            </w:pPr>
            <w:r>
              <w:rPr>
                <w:rFonts w:ascii="Arial" w:cs="Arial" w:eastAsia="Arial" w:hAnsi="Arial"/>
                <w:sz w:val="18"/>
                <w:szCs w:val="18"/>
                <w:color w:val="auto"/>
              </w:rPr>
              <w:t>Title to Modifications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10.3.</w:t>
            </w:r>
          </w:p>
        </w:tc>
        <w:tc>
          <w:tcPr>
            <w:tcW w:w="7220" w:type="dxa"/>
            <w:vAlign w:val="bottom"/>
          </w:tcPr>
          <w:p>
            <w:pPr>
              <w:ind w:left="540"/>
              <w:spacing w:after="0"/>
              <w:rPr>
                <w:sz w:val="20"/>
                <w:szCs w:val="20"/>
                <w:color w:val="auto"/>
              </w:rPr>
            </w:pPr>
            <w:r>
              <w:rPr>
                <w:rFonts w:ascii="Arial" w:cs="Arial" w:eastAsia="Arial" w:hAnsi="Arial"/>
                <w:sz w:val="18"/>
                <w:szCs w:val="18"/>
                <w:color w:val="auto"/>
              </w:rPr>
              <w:t>Permitted Developments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w:t>
            </w:r>
          </w:p>
        </w:tc>
        <w:tc>
          <w:tcPr>
            <w:tcW w:w="7220" w:type="dxa"/>
            <w:vAlign w:val="bottom"/>
          </w:tcPr>
          <w:p>
            <w:pPr>
              <w:ind w:left="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 WITH</w:t>
            </w:r>
            <w:r>
              <w:rPr>
                <w:rFonts w:ascii="Arial" w:cs="Arial" w:eastAsia="Arial" w:hAnsi="Arial"/>
                <w:sz w:val="18"/>
                <w:szCs w:val="18"/>
                <w:color w:val="auto"/>
              </w:rPr>
              <w:t xml:space="preserve"> R</w:t>
            </w:r>
            <w:r>
              <w:rPr>
                <w:rFonts w:ascii="Arial" w:cs="Arial" w:eastAsia="Arial" w:hAnsi="Arial"/>
                <w:sz w:val="12"/>
                <w:szCs w:val="12"/>
                <w:color w:val="auto"/>
              </w:rPr>
              <w:t>ESPECT TO</w:t>
            </w:r>
            <w:r>
              <w:rPr>
                <w:rFonts w:ascii="Arial" w:cs="Arial" w:eastAsia="Arial" w:hAnsi="Arial"/>
                <w:sz w:val="18"/>
                <w:szCs w:val="18"/>
                <w:color w:val="auto"/>
              </w:rPr>
              <w:t xml:space="preserve"> L</w:t>
            </w:r>
            <w:r>
              <w:rPr>
                <w:rFonts w:ascii="Arial" w:cs="Arial" w:eastAsia="Arial" w:hAnsi="Arial"/>
                <w:sz w:val="12"/>
                <w:szCs w:val="12"/>
                <w:color w:val="auto"/>
              </w:rPr>
              <w:t>IENS AND</w:t>
            </w:r>
            <w:r>
              <w:rPr>
                <w:rFonts w:ascii="Arial" w:cs="Arial" w:eastAsia="Arial" w:hAnsi="Arial"/>
                <w:sz w:val="18"/>
                <w:szCs w:val="18"/>
                <w:color w:val="auto"/>
              </w:rPr>
              <w:t xml:space="preserve"> E</w:t>
            </w:r>
            <w:r>
              <w:rPr>
                <w:rFonts w:ascii="Arial" w:cs="Arial" w:eastAsia="Arial" w:hAnsi="Arial"/>
                <w:sz w:val="12"/>
                <w:szCs w:val="12"/>
                <w:color w:val="auto"/>
              </w:rPr>
              <w:t>ASEMENTS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11.1.</w:t>
            </w:r>
          </w:p>
        </w:tc>
        <w:tc>
          <w:tcPr>
            <w:tcW w:w="7220" w:type="dxa"/>
            <w:vAlign w:val="bottom"/>
          </w:tcPr>
          <w:p>
            <w:pPr>
              <w:ind w:left="540"/>
              <w:spacing w:after="0"/>
              <w:rPr>
                <w:sz w:val="20"/>
                <w:szCs w:val="20"/>
                <w:color w:val="auto"/>
              </w:rPr>
            </w:pPr>
            <w:r>
              <w:rPr>
                <w:rFonts w:ascii="Arial" w:cs="Arial" w:eastAsia="Arial" w:hAnsi="Arial"/>
                <w:sz w:val="18"/>
                <w:szCs w:val="18"/>
                <w:color w:val="auto"/>
              </w:rPr>
              <w:t>Covenants with Respect to Liens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11.2.</w:t>
            </w:r>
          </w:p>
        </w:tc>
        <w:tc>
          <w:tcPr>
            <w:tcW w:w="7220" w:type="dxa"/>
            <w:vAlign w:val="bottom"/>
          </w:tcPr>
          <w:p>
            <w:pPr>
              <w:ind w:left="540"/>
              <w:spacing w:after="0"/>
              <w:rPr>
                <w:sz w:val="20"/>
                <w:szCs w:val="20"/>
                <w:color w:val="auto"/>
              </w:rPr>
            </w:pPr>
            <w:r>
              <w:rPr>
                <w:rFonts w:ascii="Arial" w:cs="Arial" w:eastAsia="Arial" w:hAnsi="Arial"/>
                <w:sz w:val="18"/>
                <w:szCs w:val="18"/>
                <w:color w:val="auto"/>
              </w:rPr>
              <w:t>Lessee’s Grants and Releases of Easements; Lessor’s Waivers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XII</w:t>
            </w:r>
          </w:p>
        </w:tc>
        <w:tc>
          <w:tcPr>
            <w:tcW w:w="7220" w:type="dxa"/>
            <w:vAlign w:val="bottom"/>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ERMITTED</w:t>
            </w:r>
            <w:r>
              <w:rPr>
                <w:rFonts w:ascii="Arial" w:cs="Arial" w:eastAsia="Arial" w:hAnsi="Arial"/>
                <w:sz w:val="18"/>
                <w:szCs w:val="18"/>
                <w:color w:val="auto"/>
              </w:rPr>
              <w:t xml:space="preserve"> C</w:t>
            </w:r>
            <w:r>
              <w:rPr>
                <w:rFonts w:ascii="Arial" w:cs="Arial" w:eastAsia="Arial" w:hAnsi="Arial"/>
                <w:sz w:val="12"/>
                <w:szCs w:val="12"/>
                <w:color w:val="auto"/>
              </w:rPr>
              <w:t>ONTESTS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12.1.</w:t>
            </w:r>
          </w:p>
        </w:tc>
        <w:tc>
          <w:tcPr>
            <w:tcW w:w="7220" w:type="dxa"/>
            <w:vAlign w:val="bottom"/>
          </w:tcPr>
          <w:p>
            <w:pPr>
              <w:ind w:left="540"/>
              <w:spacing w:after="0"/>
              <w:rPr>
                <w:sz w:val="20"/>
                <w:szCs w:val="20"/>
                <w:color w:val="auto"/>
              </w:rPr>
            </w:pPr>
            <w:r>
              <w:rPr>
                <w:rFonts w:ascii="Arial" w:cs="Arial" w:eastAsia="Arial" w:hAnsi="Arial"/>
                <w:sz w:val="18"/>
                <w:szCs w:val="18"/>
                <w:color w:val="auto"/>
              </w:rPr>
              <w:t>Permitted Contests in Respect of Applicable Laws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XIII</w:t>
            </w:r>
          </w:p>
        </w:tc>
        <w:tc>
          <w:tcPr>
            <w:tcW w:w="7220" w:type="dxa"/>
            <w:vAlign w:val="bottom"/>
          </w:tcPr>
          <w:p>
            <w:pPr>
              <w:ind w:left="8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13.1.</w:t>
            </w:r>
          </w:p>
        </w:tc>
        <w:tc>
          <w:tcPr>
            <w:tcW w:w="7220" w:type="dxa"/>
            <w:vAlign w:val="bottom"/>
          </w:tcPr>
          <w:p>
            <w:pPr>
              <w:ind w:left="540"/>
              <w:spacing w:after="0"/>
              <w:rPr>
                <w:sz w:val="20"/>
                <w:szCs w:val="20"/>
                <w:color w:val="auto"/>
              </w:rPr>
            </w:pPr>
            <w:r>
              <w:rPr>
                <w:rFonts w:ascii="Arial" w:cs="Arial" w:eastAsia="Arial" w:hAnsi="Arial"/>
                <w:sz w:val="18"/>
                <w:szCs w:val="18"/>
                <w:color w:val="auto"/>
              </w:rPr>
              <w:t>Required Coverages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13.2.</w:t>
            </w:r>
          </w:p>
        </w:tc>
        <w:tc>
          <w:tcPr>
            <w:tcW w:w="7220" w:type="dxa"/>
            <w:vAlign w:val="bottom"/>
          </w:tcPr>
          <w:p>
            <w:pPr>
              <w:ind w:left="540"/>
              <w:spacing w:after="0"/>
              <w:rPr>
                <w:sz w:val="20"/>
                <w:szCs w:val="20"/>
                <w:color w:val="auto"/>
              </w:rPr>
            </w:pPr>
            <w:r>
              <w:rPr>
                <w:rFonts w:ascii="Arial" w:cs="Arial" w:eastAsia="Arial" w:hAnsi="Arial"/>
                <w:sz w:val="18"/>
                <w:szCs w:val="18"/>
                <w:color w:val="auto"/>
              </w:rPr>
              <w:t>Insurance Coverage</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13.3.</w:t>
            </w:r>
          </w:p>
        </w:tc>
        <w:tc>
          <w:tcPr>
            <w:tcW w:w="7220" w:type="dxa"/>
            <w:vAlign w:val="bottom"/>
          </w:tcPr>
          <w:p>
            <w:pPr>
              <w:ind w:left="540"/>
              <w:spacing w:after="0"/>
              <w:rPr>
                <w:sz w:val="20"/>
                <w:szCs w:val="20"/>
                <w:color w:val="auto"/>
              </w:rPr>
            </w:pPr>
            <w:r>
              <w:rPr>
                <w:rFonts w:ascii="Arial" w:cs="Arial" w:eastAsia="Arial" w:hAnsi="Arial"/>
                <w:sz w:val="18"/>
                <w:szCs w:val="18"/>
                <w:color w:val="auto"/>
              </w:rPr>
              <w:t>Delivery of Insurance Certificates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13.4.</w:t>
            </w:r>
          </w:p>
        </w:tc>
        <w:tc>
          <w:tcPr>
            <w:tcW w:w="7220" w:type="dxa"/>
            <w:vAlign w:val="bottom"/>
          </w:tcPr>
          <w:p>
            <w:pPr>
              <w:ind w:left="540"/>
              <w:spacing w:after="0"/>
              <w:rPr>
                <w:sz w:val="20"/>
                <w:szCs w:val="20"/>
                <w:color w:val="auto"/>
              </w:rPr>
            </w:pPr>
            <w:r>
              <w:rPr>
                <w:rFonts w:ascii="Arial" w:cs="Arial" w:eastAsia="Arial" w:hAnsi="Arial"/>
                <w:sz w:val="18"/>
                <w:szCs w:val="18"/>
                <w:color w:val="auto"/>
              </w:rPr>
              <w:t>Insurance by Lessor, Administrative Agent or any Participant</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13.5.</w:t>
            </w:r>
          </w:p>
        </w:tc>
        <w:tc>
          <w:tcPr>
            <w:tcW w:w="7220" w:type="dxa"/>
            <w:vAlign w:val="bottom"/>
          </w:tcPr>
          <w:p>
            <w:pPr>
              <w:ind w:left="540"/>
              <w:spacing w:after="0"/>
              <w:rPr>
                <w:sz w:val="20"/>
                <w:szCs w:val="20"/>
                <w:color w:val="auto"/>
              </w:rPr>
            </w:pPr>
            <w:r>
              <w:rPr>
                <w:rFonts w:ascii="Arial" w:cs="Arial" w:eastAsia="Arial" w:hAnsi="Arial"/>
                <w:sz w:val="18"/>
                <w:szCs w:val="18"/>
                <w:color w:val="auto"/>
              </w:rPr>
              <w:t>Self-Insurance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XIV</w:t>
            </w:r>
          </w:p>
        </w:tc>
        <w:tc>
          <w:tcPr>
            <w:tcW w:w="7220" w:type="dxa"/>
            <w:vAlign w:val="bottom"/>
          </w:tcPr>
          <w:p>
            <w:pPr>
              <w:ind w:left="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ASUALTY AND</w:t>
            </w:r>
            <w:r>
              <w:rPr>
                <w:rFonts w:ascii="Arial" w:cs="Arial" w:eastAsia="Arial" w:hAnsi="Arial"/>
                <w:sz w:val="18"/>
                <w:szCs w:val="18"/>
                <w:color w:val="auto"/>
              </w:rPr>
              <w:t xml:space="preserve"> C</w:t>
            </w:r>
            <w:r>
              <w:rPr>
                <w:rFonts w:ascii="Arial" w:cs="Arial" w:eastAsia="Arial" w:hAnsi="Arial"/>
                <w:sz w:val="12"/>
                <w:szCs w:val="12"/>
                <w:color w:val="auto"/>
              </w:rPr>
              <w:t>ONDEMNATION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14.1.</w:t>
            </w:r>
          </w:p>
        </w:tc>
        <w:tc>
          <w:tcPr>
            <w:tcW w:w="7220" w:type="dxa"/>
            <w:vAlign w:val="bottom"/>
          </w:tcPr>
          <w:p>
            <w:pPr>
              <w:ind w:left="540"/>
              <w:spacing w:after="0"/>
              <w:rPr>
                <w:sz w:val="20"/>
                <w:szCs w:val="20"/>
                <w:color w:val="auto"/>
              </w:rPr>
            </w:pPr>
            <w:r>
              <w:rPr>
                <w:rFonts w:ascii="Arial" w:cs="Arial" w:eastAsia="Arial" w:hAnsi="Arial"/>
                <w:sz w:val="18"/>
                <w:szCs w:val="18"/>
                <w:color w:val="auto"/>
              </w:rPr>
              <w:t>Casualty and Condemnation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14.2.</w:t>
            </w:r>
          </w:p>
        </w:tc>
        <w:tc>
          <w:tcPr>
            <w:tcW w:w="7220" w:type="dxa"/>
            <w:vAlign w:val="bottom"/>
          </w:tcPr>
          <w:p>
            <w:pPr>
              <w:ind w:left="540"/>
              <w:spacing w:after="0"/>
              <w:rPr>
                <w:sz w:val="20"/>
                <w:szCs w:val="20"/>
                <w:color w:val="auto"/>
              </w:rPr>
            </w:pPr>
            <w:r>
              <w:rPr>
                <w:rFonts w:ascii="Arial" w:cs="Arial" w:eastAsia="Arial" w:hAnsi="Arial"/>
                <w:sz w:val="18"/>
                <w:szCs w:val="18"/>
                <w:color w:val="auto"/>
              </w:rPr>
              <w:t>Environmental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14.3.</w:t>
            </w:r>
          </w:p>
        </w:tc>
        <w:tc>
          <w:tcPr>
            <w:tcW w:w="7220" w:type="dxa"/>
            <w:vAlign w:val="bottom"/>
          </w:tcPr>
          <w:p>
            <w:pPr>
              <w:ind w:left="540"/>
              <w:spacing w:after="0"/>
              <w:rPr>
                <w:sz w:val="20"/>
                <w:szCs w:val="20"/>
                <w:color w:val="auto"/>
              </w:rPr>
            </w:pPr>
            <w:r>
              <w:rPr>
                <w:rFonts w:ascii="Arial" w:cs="Arial" w:eastAsia="Arial" w:hAnsi="Arial"/>
                <w:sz w:val="18"/>
                <w:szCs w:val="18"/>
                <w:color w:val="auto"/>
              </w:rPr>
              <w:t>Notice of Environmental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w:t>
            </w:r>
          </w:p>
        </w:tc>
        <w:tc>
          <w:tcPr>
            <w:tcW w:w="7220" w:type="dxa"/>
            <w:vAlign w:val="bottom"/>
          </w:tcPr>
          <w:p>
            <w:pPr>
              <w:ind w:left="8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ERMINATION OF</w:t>
            </w:r>
            <w:r>
              <w:rPr>
                <w:rFonts w:ascii="Arial" w:cs="Arial" w:eastAsia="Arial" w:hAnsi="Arial"/>
                <w:sz w:val="18"/>
                <w:szCs w:val="18"/>
                <w:color w:val="auto"/>
              </w:rPr>
              <w:t xml:space="preserve"> L</w:t>
            </w:r>
            <w:r>
              <w:rPr>
                <w:rFonts w:ascii="Arial" w:cs="Arial" w:eastAsia="Arial" w:hAnsi="Arial"/>
                <w:sz w:val="12"/>
                <w:szCs w:val="12"/>
                <w:color w:val="auto"/>
              </w:rPr>
              <w:t>EASE</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15.1.</w:t>
            </w:r>
          </w:p>
        </w:tc>
        <w:tc>
          <w:tcPr>
            <w:tcW w:w="7220" w:type="dxa"/>
            <w:vAlign w:val="bottom"/>
          </w:tcPr>
          <w:p>
            <w:pPr>
              <w:ind w:left="540"/>
              <w:spacing w:after="0"/>
              <w:rPr>
                <w:sz w:val="20"/>
                <w:szCs w:val="20"/>
                <w:color w:val="auto"/>
              </w:rPr>
            </w:pPr>
            <w:r>
              <w:rPr>
                <w:rFonts w:ascii="Arial" w:cs="Arial" w:eastAsia="Arial" w:hAnsi="Arial"/>
                <w:sz w:val="18"/>
                <w:szCs w:val="18"/>
                <w:color w:val="auto"/>
              </w:rPr>
              <w:t>Termination upon Certain Events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15.2.</w:t>
            </w:r>
          </w:p>
        </w:tc>
        <w:tc>
          <w:tcPr>
            <w:tcW w:w="7220" w:type="dxa"/>
            <w:vAlign w:val="bottom"/>
          </w:tcPr>
          <w:p>
            <w:pPr>
              <w:ind w:left="540"/>
              <w:spacing w:after="0"/>
              <w:rPr>
                <w:sz w:val="20"/>
                <w:szCs w:val="20"/>
                <w:color w:val="auto"/>
              </w:rPr>
            </w:pPr>
            <w:r>
              <w:rPr>
                <w:rFonts w:ascii="Arial" w:cs="Arial" w:eastAsia="Arial" w:hAnsi="Arial"/>
                <w:sz w:val="18"/>
                <w:szCs w:val="18"/>
                <w:color w:val="auto"/>
              </w:rPr>
              <w:t>Termination Procedures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XVI</w:t>
            </w:r>
          </w:p>
        </w:tc>
        <w:tc>
          <w:tcPr>
            <w:tcW w:w="7220" w:type="dxa"/>
            <w:vAlign w:val="bottom"/>
          </w:tcPr>
          <w:p>
            <w:pPr>
              <w:ind w:left="8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VENTS OF</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16.1.</w:t>
            </w:r>
          </w:p>
        </w:tc>
        <w:tc>
          <w:tcPr>
            <w:tcW w:w="7220" w:type="dxa"/>
            <w:vAlign w:val="bottom"/>
          </w:tcPr>
          <w:p>
            <w:pPr>
              <w:ind w:left="540"/>
              <w:spacing w:after="0"/>
              <w:rPr>
                <w:sz w:val="20"/>
                <w:szCs w:val="20"/>
                <w:color w:val="auto"/>
              </w:rPr>
            </w:pPr>
            <w:r>
              <w:rPr>
                <w:rFonts w:ascii="Arial" w:cs="Arial" w:eastAsia="Arial" w:hAnsi="Arial"/>
                <w:sz w:val="18"/>
                <w:szCs w:val="18"/>
                <w:color w:val="auto"/>
              </w:rPr>
              <w:t>Events of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16.2.</w:t>
            </w:r>
          </w:p>
        </w:tc>
        <w:tc>
          <w:tcPr>
            <w:tcW w:w="7220" w:type="dxa"/>
            <w:vAlign w:val="bottom"/>
          </w:tcPr>
          <w:p>
            <w:pPr>
              <w:ind w:left="540"/>
              <w:spacing w:after="0"/>
              <w:rPr>
                <w:sz w:val="20"/>
                <w:szCs w:val="20"/>
                <w:color w:val="auto"/>
              </w:rPr>
            </w:pPr>
            <w:r>
              <w:rPr>
                <w:rFonts w:ascii="Arial" w:cs="Arial" w:eastAsia="Arial" w:hAnsi="Arial"/>
                <w:sz w:val="18"/>
                <w:szCs w:val="18"/>
                <w:color w:val="auto"/>
              </w:rPr>
              <w:t>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16.3.</w:t>
            </w:r>
          </w:p>
        </w:tc>
        <w:tc>
          <w:tcPr>
            <w:tcW w:w="7220" w:type="dxa"/>
            <w:vAlign w:val="bottom"/>
          </w:tcPr>
          <w:p>
            <w:pPr>
              <w:ind w:left="540"/>
              <w:spacing w:after="0"/>
              <w:rPr>
                <w:sz w:val="20"/>
                <w:szCs w:val="20"/>
                <w:color w:val="auto"/>
              </w:rPr>
            </w:pPr>
            <w:r>
              <w:rPr>
                <w:rFonts w:ascii="Arial" w:cs="Arial" w:eastAsia="Arial" w:hAnsi="Arial"/>
                <w:sz w:val="18"/>
                <w:szCs w:val="18"/>
                <w:color w:val="auto"/>
              </w:rPr>
              <w:t>Waiver of Certain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XVII</w:t>
            </w:r>
          </w:p>
        </w:tc>
        <w:tc>
          <w:tcPr>
            <w:tcW w:w="7220" w:type="dxa"/>
            <w:vAlign w:val="bottom"/>
          </w:tcPr>
          <w:p>
            <w:pPr>
              <w:ind w:left="8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ESSOR</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R</w:t>
            </w:r>
            <w:r>
              <w:rPr>
                <w:rFonts w:ascii="Arial" w:cs="Arial" w:eastAsia="Arial" w:hAnsi="Arial"/>
                <w:sz w:val="12"/>
                <w:szCs w:val="12"/>
                <w:color w:val="auto"/>
              </w:rPr>
              <w:t>IGHT TO</w:t>
            </w:r>
            <w:r>
              <w:rPr>
                <w:rFonts w:ascii="Arial" w:cs="Arial" w:eastAsia="Arial" w:hAnsi="Arial"/>
                <w:sz w:val="18"/>
                <w:szCs w:val="18"/>
                <w:color w:val="auto"/>
              </w:rPr>
              <w:t xml:space="preserve"> C</w:t>
            </w:r>
            <w:r>
              <w:rPr>
                <w:rFonts w:ascii="Arial" w:cs="Arial" w:eastAsia="Arial" w:hAnsi="Arial"/>
                <w:sz w:val="12"/>
                <w:szCs w:val="12"/>
                <w:color w:val="auto"/>
              </w:rPr>
              <w:t>URE</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17.1.</w:t>
            </w:r>
          </w:p>
        </w:tc>
        <w:tc>
          <w:tcPr>
            <w:tcW w:w="7220" w:type="dxa"/>
            <w:vAlign w:val="bottom"/>
          </w:tcPr>
          <w:p>
            <w:pPr>
              <w:ind w:left="540"/>
              <w:spacing w:after="0"/>
              <w:rPr>
                <w:sz w:val="20"/>
                <w:szCs w:val="20"/>
                <w:color w:val="auto"/>
              </w:rPr>
            </w:pPr>
            <w:r>
              <w:rPr>
                <w:rFonts w:ascii="Arial" w:cs="Arial" w:eastAsia="Arial" w:hAnsi="Arial"/>
                <w:sz w:val="18"/>
                <w:szCs w:val="18"/>
                <w:color w:val="auto"/>
              </w:rPr>
              <w:t>The Lessor’s Right to Cure the Lessee’s Defaults</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XVIII</w:t>
            </w:r>
          </w:p>
        </w:tc>
        <w:tc>
          <w:tcPr>
            <w:tcW w:w="7220" w:type="dxa"/>
            <w:vAlign w:val="bottom"/>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620" w:type="dxa"/>
            <w:vAlign w:val="bottom"/>
          </w:tcPr>
          <w:p>
            <w:pPr>
              <w:ind w:left="580"/>
              <w:spacing w:after="0"/>
              <w:rPr>
                <w:sz w:val="20"/>
                <w:szCs w:val="20"/>
                <w:color w:val="auto"/>
              </w:rPr>
            </w:pPr>
            <w:r>
              <w:rPr>
                <w:rFonts w:ascii="Arial" w:cs="Arial" w:eastAsia="Arial" w:hAnsi="Arial"/>
                <w:sz w:val="18"/>
                <w:szCs w:val="18"/>
                <w:color w:val="auto"/>
                <w:w w:val="97"/>
              </w:rPr>
              <w:t>Section 18.1.</w:t>
            </w:r>
          </w:p>
        </w:tc>
        <w:tc>
          <w:tcPr>
            <w:tcW w:w="7220" w:type="dxa"/>
            <w:vAlign w:val="bottom"/>
          </w:tcPr>
          <w:p>
            <w:pPr>
              <w:ind w:left="540"/>
              <w:spacing w:after="0"/>
              <w:rPr>
                <w:sz w:val="20"/>
                <w:szCs w:val="20"/>
                <w:color w:val="auto"/>
              </w:rPr>
            </w:pPr>
            <w:r>
              <w:rPr>
                <w:rFonts w:ascii="Arial" w:cs="Arial" w:eastAsia="Arial" w:hAnsi="Arial"/>
                <w:sz w:val="18"/>
                <w:szCs w:val="18"/>
                <w:color w:val="auto"/>
              </w:rPr>
              <w:t>Early and End of Term Purchase Options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XIX</w:t>
            </w:r>
          </w:p>
        </w:tc>
        <w:tc>
          <w:tcPr>
            <w:tcW w:w="9240" w:type="dxa"/>
            <w:vAlign w:val="bottom"/>
          </w:tcPr>
          <w:p>
            <w:pPr>
              <w:ind w:left="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ND OF</w:t>
            </w:r>
            <w:r>
              <w:rPr>
                <w:rFonts w:ascii="Arial" w:cs="Arial" w:eastAsia="Arial" w:hAnsi="Arial"/>
                <w:sz w:val="18"/>
                <w:szCs w:val="18"/>
                <w:color w:val="auto"/>
              </w:rPr>
              <w:t xml:space="preserve"> T</w:t>
            </w:r>
            <w:r>
              <w:rPr>
                <w:rFonts w:ascii="Arial" w:cs="Arial" w:eastAsia="Arial" w:hAnsi="Arial"/>
                <w:sz w:val="12"/>
                <w:szCs w:val="12"/>
                <w:color w:val="auto"/>
              </w:rPr>
              <w:t>ERM</w:t>
            </w:r>
            <w:r>
              <w:rPr>
                <w:rFonts w:ascii="Arial" w:cs="Arial" w:eastAsia="Arial" w:hAnsi="Arial"/>
                <w:sz w:val="18"/>
                <w:szCs w:val="18"/>
                <w:color w:val="auto"/>
              </w:rPr>
              <w:t xml:space="preserve"> O</w:t>
            </w:r>
            <w:r>
              <w:rPr>
                <w:rFonts w:ascii="Arial" w:cs="Arial" w:eastAsia="Arial" w:hAnsi="Arial"/>
                <w:sz w:val="12"/>
                <w:szCs w:val="12"/>
                <w:color w:val="auto"/>
              </w:rPr>
              <w:t>PTIONS</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1660" w:type="dxa"/>
            <w:vAlign w:val="bottom"/>
          </w:tcPr>
          <w:p>
            <w:pPr>
              <w:ind w:left="580"/>
              <w:spacing w:after="0"/>
              <w:rPr>
                <w:sz w:val="20"/>
                <w:szCs w:val="20"/>
                <w:color w:val="auto"/>
              </w:rPr>
            </w:pPr>
            <w:r>
              <w:rPr>
                <w:rFonts w:ascii="Arial" w:cs="Arial" w:eastAsia="Arial" w:hAnsi="Arial"/>
                <w:sz w:val="18"/>
                <w:szCs w:val="18"/>
                <w:color w:val="auto"/>
              </w:rPr>
              <w:t>Section 19.1.</w:t>
            </w:r>
          </w:p>
        </w:tc>
        <w:tc>
          <w:tcPr>
            <w:tcW w:w="9240" w:type="dxa"/>
            <w:vAlign w:val="bottom"/>
          </w:tcPr>
          <w:p>
            <w:pPr>
              <w:ind w:left="500"/>
              <w:spacing w:after="0"/>
              <w:rPr>
                <w:sz w:val="20"/>
                <w:szCs w:val="20"/>
                <w:color w:val="auto"/>
              </w:rPr>
            </w:pPr>
            <w:r>
              <w:rPr>
                <w:rFonts w:ascii="Arial" w:cs="Arial" w:eastAsia="Arial" w:hAnsi="Arial"/>
                <w:sz w:val="18"/>
                <w:szCs w:val="18"/>
                <w:color w:val="auto"/>
              </w:rPr>
              <w:t>End of Term Options</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19.2.</w:t>
            </w:r>
          </w:p>
        </w:tc>
        <w:tc>
          <w:tcPr>
            <w:tcW w:w="9240" w:type="dxa"/>
            <w:vAlign w:val="bottom"/>
          </w:tcPr>
          <w:p>
            <w:pPr>
              <w:ind w:left="500"/>
              <w:spacing w:after="0"/>
              <w:rPr>
                <w:sz w:val="20"/>
                <w:szCs w:val="20"/>
                <w:color w:val="auto"/>
              </w:rPr>
            </w:pPr>
            <w:r>
              <w:rPr>
                <w:rFonts w:ascii="Arial" w:cs="Arial" w:eastAsia="Arial" w:hAnsi="Arial"/>
                <w:sz w:val="18"/>
                <w:szCs w:val="18"/>
                <w:color w:val="auto"/>
              </w:rPr>
              <w:t>Election of Options</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660" w:type="dxa"/>
            <w:vAlign w:val="bottom"/>
          </w:tcPr>
          <w:p>
            <w:pPr>
              <w:ind w:left="580"/>
              <w:spacing w:after="0"/>
              <w:rPr>
                <w:sz w:val="20"/>
                <w:szCs w:val="20"/>
                <w:color w:val="auto"/>
              </w:rPr>
            </w:pPr>
            <w:r>
              <w:rPr>
                <w:rFonts w:ascii="Arial" w:cs="Arial" w:eastAsia="Arial" w:hAnsi="Arial"/>
                <w:sz w:val="18"/>
                <w:szCs w:val="18"/>
                <w:color w:val="auto"/>
              </w:rPr>
              <w:t>Section 19.3.</w:t>
            </w:r>
          </w:p>
        </w:tc>
        <w:tc>
          <w:tcPr>
            <w:tcW w:w="9240" w:type="dxa"/>
            <w:vAlign w:val="bottom"/>
          </w:tcPr>
          <w:p>
            <w:pPr>
              <w:ind w:left="500"/>
              <w:spacing w:after="0"/>
              <w:rPr>
                <w:sz w:val="20"/>
                <w:szCs w:val="20"/>
                <w:color w:val="auto"/>
              </w:rPr>
            </w:pPr>
            <w:r>
              <w:rPr>
                <w:rFonts w:ascii="Arial" w:cs="Arial" w:eastAsia="Arial" w:hAnsi="Arial"/>
                <w:sz w:val="18"/>
                <w:szCs w:val="18"/>
                <w:color w:val="auto"/>
              </w:rPr>
              <w:t>Renewal Options</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w:t>
            </w:r>
          </w:p>
        </w:tc>
        <w:tc>
          <w:tcPr>
            <w:tcW w:w="9240" w:type="dxa"/>
            <w:vAlign w:val="bottom"/>
          </w:tcPr>
          <w:p>
            <w:pPr>
              <w:ind w:left="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ALE</w:t>
            </w:r>
            <w:r>
              <w:rPr>
                <w:rFonts w:ascii="Arial" w:cs="Arial" w:eastAsia="Arial" w:hAnsi="Arial"/>
                <w:sz w:val="18"/>
                <w:szCs w:val="18"/>
                <w:color w:val="auto"/>
              </w:rPr>
              <w:t xml:space="preserve"> O</w:t>
            </w:r>
            <w:r>
              <w:rPr>
                <w:rFonts w:ascii="Arial" w:cs="Arial" w:eastAsia="Arial" w:hAnsi="Arial"/>
                <w:sz w:val="12"/>
                <w:szCs w:val="12"/>
                <w:color w:val="auto"/>
              </w:rPr>
              <w:t>PTION</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1660" w:type="dxa"/>
            <w:vAlign w:val="bottom"/>
          </w:tcPr>
          <w:p>
            <w:pPr>
              <w:ind w:left="580"/>
              <w:spacing w:after="0"/>
              <w:rPr>
                <w:sz w:val="20"/>
                <w:szCs w:val="20"/>
                <w:color w:val="auto"/>
              </w:rPr>
            </w:pPr>
            <w:r>
              <w:rPr>
                <w:rFonts w:ascii="Arial" w:cs="Arial" w:eastAsia="Arial" w:hAnsi="Arial"/>
                <w:sz w:val="18"/>
                <w:szCs w:val="18"/>
                <w:color w:val="auto"/>
              </w:rPr>
              <w:t>Section 20.1.</w:t>
            </w:r>
          </w:p>
        </w:tc>
        <w:tc>
          <w:tcPr>
            <w:tcW w:w="9240" w:type="dxa"/>
            <w:vAlign w:val="bottom"/>
          </w:tcPr>
          <w:p>
            <w:pPr>
              <w:ind w:left="500"/>
              <w:spacing w:after="0"/>
              <w:rPr>
                <w:sz w:val="20"/>
                <w:szCs w:val="20"/>
                <w:color w:val="auto"/>
              </w:rPr>
            </w:pPr>
            <w:r>
              <w:rPr>
                <w:rFonts w:ascii="Arial" w:cs="Arial" w:eastAsia="Arial" w:hAnsi="Arial"/>
                <w:sz w:val="18"/>
                <w:szCs w:val="18"/>
                <w:color w:val="auto"/>
              </w:rPr>
              <w:t>Sale Option Procedures</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660" w:type="dxa"/>
            <w:vAlign w:val="bottom"/>
          </w:tcPr>
          <w:p>
            <w:pPr>
              <w:ind w:left="580"/>
              <w:spacing w:after="0"/>
              <w:rPr>
                <w:sz w:val="20"/>
                <w:szCs w:val="20"/>
                <w:color w:val="auto"/>
              </w:rPr>
            </w:pPr>
            <w:r>
              <w:rPr>
                <w:rFonts w:ascii="Arial" w:cs="Arial" w:eastAsia="Arial" w:hAnsi="Arial"/>
                <w:sz w:val="18"/>
                <w:szCs w:val="18"/>
                <w:color w:val="auto"/>
              </w:rPr>
              <w:t>Section 20.2.</w:t>
            </w:r>
          </w:p>
        </w:tc>
        <w:tc>
          <w:tcPr>
            <w:tcW w:w="9240" w:type="dxa"/>
            <w:vAlign w:val="bottom"/>
          </w:tcPr>
          <w:p>
            <w:pPr>
              <w:ind w:left="500"/>
              <w:spacing w:after="0"/>
              <w:rPr>
                <w:sz w:val="20"/>
                <w:szCs w:val="20"/>
                <w:color w:val="auto"/>
              </w:rPr>
            </w:pPr>
            <w:r>
              <w:rPr>
                <w:rFonts w:ascii="Arial" w:cs="Arial" w:eastAsia="Arial" w:hAnsi="Arial"/>
                <w:sz w:val="18"/>
                <w:szCs w:val="18"/>
                <w:color w:val="auto"/>
              </w:rPr>
              <w:t>Certain Obligations Continue</w:t>
            </w: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XXI</w:t>
            </w:r>
          </w:p>
        </w:tc>
        <w:tc>
          <w:tcPr>
            <w:tcW w:w="9240" w:type="dxa"/>
            <w:vAlign w:val="bottom"/>
          </w:tcPr>
          <w:p>
            <w:pPr>
              <w:ind w:left="4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ROCEDURES</w:t>
            </w:r>
            <w:r>
              <w:rPr>
                <w:rFonts w:ascii="Arial" w:cs="Arial" w:eastAsia="Arial" w:hAnsi="Arial"/>
                <w:sz w:val="18"/>
                <w:szCs w:val="18"/>
                <w:color w:val="auto"/>
              </w:rPr>
              <w:t xml:space="preserve"> R</w:t>
            </w:r>
            <w:r>
              <w:rPr>
                <w:rFonts w:ascii="Arial" w:cs="Arial" w:eastAsia="Arial" w:hAnsi="Arial"/>
                <w:sz w:val="12"/>
                <w:szCs w:val="12"/>
                <w:color w:val="auto"/>
              </w:rPr>
              <w:t>ELATING TO</w:t>
            </w:r>
            <w:r>
              <w:rPr>
                <w:rFonts w:ascii="Arial" w:cs="Arial" w:eastAsia="Arial" w:hAnsi="Arial"/>
                <w:sz w:val="18"/>
                <w:szCs w:val="18"/>
                <w:color w:val="auto"/>
              </w:rPr>
              <w:t xml:space="preserve"> P</w:t>
            </w:r>
            <w:r>
              <w:rPr>
                <w:rFonts w:ascii="Arial" w:cs="Arial" w:eastAsia="Arial" w:hAnsi="Arial"/>
                <w:sz w:val="12"/>
                <w:szCs w:val="12"/>
                <w:color w:val="auto"/>
              </w:rPr>
              <w:t>URCHASE OR</w:t>
            </w:r>
            <w:r>
              <w:rPr>
                <w:rFonts w:ascii="Arial" w:cs="Arial" w:eastAsia="Arial" w:hAnsi="Arial"/>
                <w:sz w:val="18"/>
                <w:szCs w:val="18"/>
                <w:color w:val="auto"/>
              </w:rPr>
              <w:t xml:space="preserve"> S</w:t>
            </w:r>
            <w:r>
              <w:rPr>
                <w:rFonts w:ascii="Arial" w:cs="Arial" w:eastAsia="Arial" w:hAnsi="Arial"/>
                <w:sz w:val="12"/>
                <w:szCs w:val="12"/>
                <w:color w:val="auto"/>
              </w:rPr>
              <w:t>ALE</w:t>
            </w:r>
            <w:r>
              <w:rPr>
                <w:rFonts w:ascii="Arial" w:cs="Arial" w:eastAsia="Arial" w:hAnsi="Arial"/>
                <w:sz w:val="18"/>
                <w:szCs w:val="18"/>
                <w:color w:val="auto"/>
              </w:rPr>
              <w:t xml:space="preserve"> O</w:t>
            </w:r>
            <w:r>
              <w:rPr>
                <w:rFonts w:ascii="Arial" w:cs="Arial" w:eastAsia="Arial" w:hAnsi="Arial"/>
                <w:sz w:val="12"/>
                <w:szCs w:val="12"/>
                <w:color w:val="auto"/>
              </w:rPr>
              <w:t>PTION</w:t>
            </w: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660" w:type="dxa"/>
            <w:vAlign w:val="bottom"/>
          </w:tcPr>
          <w:p>
            <w:pPr>
              <w:ind w:left="580"/>
              <w:spacing w:after="0"/>
              <w:rPr>
                <w:sz w:val="20"/>
                <w:szCs w:val="20"/>
                <w:color w:val="auto"/>
              </w:rPr>
            </w:pPr>
            <w:r>
              <w:rPr>
                <w:rFonts w:ascii="Arial" w:cs="Arial" w:eastAsia="Arial" w:hAnsi="Arial"/>
                <w:sz w:val="18"/>
                <w:szCs w:val="18"/>
                <w:color w:val="auto"/>
              </w:rPr>
              <w:t>Section 21.1.</w:t>
            </w:r>
          </w:p>
        </w:tc>
        <w:tc>
          <w:tcPr>
            <w:tcW w:w="9240" w:type="dxa"/>
            <w:vAlign w:val="bottom"/>
          </w:tcPr>
          <w:p>
            <w:pPr>
              <w:ind w:left="500"/>
              <w:spacing w:after="0"/>
              <w:rPr>
                <w:sz w:val="20"/>
                <w:szCs w:val="20"/>
                <w:color w:val="auto"/>
              </w:rPr>
            </w:pPr>
            <w:r>
              <w:rPr>
                <w:rFonts w:ascii="Arial" w:cs="Arial" w:eastAsia="Arial" w:hAnsi="Arial"/>
                <w:sz w:val="18"/>
                <w:szCs w:val="18"/>
                <w:color w:val="auto"/>
                <w:w w:val="90"/>
              </w:rPr>
              <w:t>Provisions Relating to Conveyance of the Leased Property Upon Purchase by the Lessee, Sales or Certain Other Events</w:t>
            </w: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XXII</w:t>
            </w:r>
          </w:p>
        </w:tc>
        <w:tc>
          <w:tcPr>
            <w:tcW w:w="9240" w:type="dxa"/>
            <w:vAlign w:val="bottom"/>
          </w:tcPr>
          <w:p>
            <w:pPr>
              <w:ind w:left="4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CCEPTANCE OF</w:t>
            </w:r>
            <w:r>
              <w:rPr>
                <w:rFonts w:ascii="Arial" w:cs="Arial" w:eastAsia="Arial" w:hAnsi="Arial"/>
                <w:sz w:val="18"/>
                <w:szCs w:val="18"/>
                <w:color w:val="auto"/>
              </w:rPr>
              <w:t xml:space="preserve"> S</w:t>
            </w:r>
            <w:r>
              <w:rPr>
                <w:rFonts w:ascii="Arial" w:cs="Arial" w:eastAsia="Arial" w:hAnsi="Arial"/>
                <w:sz w:val="12"/>
                <w:szCs w:val="12"/>
                <w:color w:val="auto"/>
              </w:rPr>
              <w:t>URRENDER</w:t>
            </w: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660" w:type="dxa"/>
            <w:vAlign w:val="bottom"/>
          </w:tcPr>
          <w:p>
            <w:pPr>
              <w:ind w:left="580"/>
              <w:spacing w:after="0"/>
              <w:rPr>
                <w:sz w:val="20"/>
                <w:szCs w:val="20"/>
                <w:color w:val="auto"/>
              </w:rPr>
            </w:pPr>
            <w:r>
              <w:rPr>
                <w:rFonts w:ascii="Arial" w:cs="Arial" w:eastAsia="Arial" w:hAnsi="Arial"/>
                <w:sz w:val="18"/>
                <w:szCs w:val="18"/>
                <w:color w:val="auto"/>
              </w:rPr>
              <w:t>Section 22.1.</w:t>
            </w:r>
          </w:p>
        </w:tc>
        <w:tc>
          <w:tcPr>
            <w:tcW w:w="9240" w:type="dxa"/>
            <w:vAlign w:val="bottom"/>
          </w:tcPr>
          <w:p>
            <w:pPr>
              <w:ind w:left="500"/>
              <w:spacing w:after="0"/>
              <w:rPr>
                <w:sz w:val="20"/>
                <w:szCs w:val="20"/>
                <w:color w:val="auto"/>
              </w:rPr>
            </w:pPr>
            <w:r>
              <w:rPr>
                <w:rFonts w:ascii="Arial" w:cs="Arial" w:eastAsia="Arial" w:hAnsi="Arial"/>
                <w:sz w:val="18"/>
                <w:szCs w:val="18"/>
                <w:color w:val="auto"/>
              </w:rPr>
              <w:t>Acceptance of Surrender</w:t>
            </w: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XXIII</w:t>
            </w:r>
          </w:p>
        </w:tc>
        <w:tc>
          <w:tcPr>
            <w:tcW w:w="9240" w:type="dxa"/>
            <w:vAlign w:val="bottom"/>
          </w:tcPr>
          <w:p>
            <w:pPr>
              <w:ind w:left="4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M</w:t>
            </w:r>
            <w:r>
              <w:rPr>
                <w:rFonts w:ascii="Arial" w:cs="Arial" w:eastAsia="Arial" w:hAnsi="Arial"/>
                <w:sz w:val="12"/>
                <w:szCs w:val="12"/>
                <w:color w:val="auto"/>
              </w:rPr>
              <w:t>ERGER OF</w:t>
            </w:r>
            <w:r>
              <w:rPr>
                <w:rFonts w:ascii="Arial" w:cs="Arial" w:eastAsia="Arial" w:hAnsi="Arial"/>
                <w:sz w:val="18"/>
                <w:szCs w:val="18"/>
                <w:color w:val="auto"/>
              </w:rPr>
              <w:t xml:space="preserve"> T</w:t>
            </w:r>
            <w:r>
              <w:rPr>
                <w:rFonts w:ascii="Arial" w:cs="Arial" w:eastAsia="Arial" w:hAnsi="Arial"/>
                <w:sz w:val="12"/>
                <w:szCs w:val="12"/>
                <w:color w:val="auto"/>
              </w:rPr>
              <w:t>ITLE</w:t>
            </w: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660" w:type="dxa"/>
            <w:vAlign w:val="bottom"/>
          </w:tcPr>
          <w:p>
            <w:pPr>
              <w:ind w:left="580"/>
              <w:spacing w:after="0"/>
              <w:rPr>
                <w:sz w:val="20"/>
                <w:szCs w:val="20"/>
                <w:color w:val="auto"/>
              </w:rPr>
            </w:pPr>
            <w:r>
              <w:rPr>
                <w:rFonts w:ascii="Arial" w:cs="Arial" w:eastAsia="Arial" w:hAnsi="Arial"/>
                <w:sz w:val="18"/>
                <w:szCs w:val="18"/>
                <w:color w:val="auto"/>
              </w:rPr>
              <w:t>Section 23.1.</w:t>
            </w:r>
          </w:p>
        </w:tc>
        <w:tc>
          <w:tcPr>
            <w:tcW w:w="9240" w:type="dxa"/>
            <w:vAlign w:val="bottom"/>
          </w:tcPr>
          <w:p>
            <w:pPr>
              <w:ind w:left="500"/>
              <w:spacing w:after="0"/>
              <w:rPr>
                <w:sz w:val="20"/>
                <w:szCs w:val="20"/>
                <w:color w:val="auto"/>
              </w:rPr>
            </w:pPr>
            <w:r>
              <w:rPr>
                <w:rFonts w:ascii="Arial" w:cs="Arial" w:eastAsia="Arial" w:hAnsi="Arial"/>
                <w:sz w:val="18"/>
                <w:szCs w:val="18"/>
                <w:color w:val="auto"/>
              </w:rPr>
              <w:t>No Merger of Title</w:t>
            </w: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XXIV</w:t>
            </w:r>
          </w:p>
        </w:tc>
        <w:tc>
          <w:tcPr>
            <w:tcW w:w="9240" w:type="dxa"/>
            <w:vAlign w:val="bottom"/>
          </w:tcPr>
          <w:p>
            <w:pPr>
              <w:ind w:left="4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NTENT OF</w:t>
            </w:r>
            <w:r>
              <w:rPr>
                <w:rFonts w:ascii="Arial" w:cs="Arial" w:eastAsia="Arial" w:hAnsi="Arial"/>
                <w:sz w:val="18"/>
                <w:szCs w:val="18"/>
                <w:color w:val="auto"/>
              </w:rPr>
              <w:t xml:space="preserve"> T</w:t>
            </w:r>
            <w:r>
              <w:rPr>
                <w:rFonts w:ascii="Arial" w:cs="Arial" w:eastAsia="Arial" w:hAnsi="Arial"/>
                <w:sz w:val="12"/>
                <w:szCs w:val="12"/>
                <w:color w:val="auto"/>
              </w:rPr>
              <w:t>HE</w:t>
            </w:r>
            <w:r>
              <w:rPr>
                <w:rFonts w:ascii="Arial" w:cs="Arial" w:eastAsia="Arial" w:hAnsi="Arial"/>
                <w:sz w:val="18"/>
                <w:szCs w:val="18"/>
                <w:color w:val="auto"/>
              </w:rPr>
              <w:t xml:space="preserve"> P</w:t>
            </w:r>
            <w:r>
              <w:rPr>
                <w:rFonts w:ascii="Arial" w:cs="Arial" w:eastAsia="Arial" w:hAnsi="Arial"/>
                <w:sz w:val="12"/>
                <w:szCs w:val="12"/>
                <w:color w:val="auto"/>
              </w:rPr>
              <w:t>ARTIES</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8"/>
        </w:trPr>
        <w:tc>
          <w:tcPr>
            <w:tcW w:w="1660" w:type="dxa"/>
            <w:vAlign w:val="bottom"/>
          </w:tcPr>
          <w:p>
            <w:pPr>
              <w:ind w:left="580"/>
              <w:spacing w:after="0"/>
              <w:rPr>
                <w:sz w:val="20"/>
                <w:szCs w:val="20"/>
                <w:color w:val="auto"/>
              </w:rPr>
            </w:pPr>
            <w:r>
              <w:rPr>
                <w:rFonts w:ascii="Arial" w:cs="Arial" w:eastAsia="Arial" w:hAnsi="Arial"/>
                <w:sz w:val="18"/>
                <w:szCs w:val="18"/>
                <w:color w:val="auto"/>
              </w:rPr>
              <w:t>Section 24.1.</w:t>
            </w:r>
          </w:p>
        </w:tc>
        <w:tc>
          <w:tcPr>
            <w:tcW w:w="9240" w:type="dxa"/>
            <w:vAlign w:val="bottom"/>
          </w:tcPr>
          <w:p>
            <w:pPr>
              <w:ind w:left="500"/>
              <w:spacing w:after="0"/>
              <w:rPr>
                <w:sz w:val="20"/>
                <w:szCs w:val="20"/>
                <w:color w:val="auto"/>
              </w:rPr>
            </w:pPr>
            <w:r>
              <w:rPr>
                <w:rFonts w:ascii="Arial" w:cs="Arial" w:eastAsia="Arial" w:hAnsi="Arial"/>
                <w:sz w:val="18"/>
                <w:szCs w:val="18"/>
                <w:color w:val="auto"/>
              </w:rPr>
              <w:t>Nature of Transaction</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24.2.</w:t>
            </w:r>
          </w:p>
        </w:tc>
        <w:tc>
          <w:tcPr>
            <w:tcW w:w="9240" w:type="dxa"/>
            <w:vAlign w:val="bottom"/>
          </w:tcPr>
          <w:p>
            <w:pPr>
              <w:ind w:left="500"/>
              <w:spacing w:after="0"/>
              <w:rPr>
                <w:sz w:val="20"/>
                <w:szCs w:val="20"/>
                <w:color w:val="auto"/>
              </w:rPr>
            </w:pPr>
            <w:r>
              <w:rPr>
                <w:rFonts w:ascii="Arial" w:cs="Arial" w:eastAsia="Arial" w:hAnsi="Arial"/>
                <w:sz w:val="18"/>
                <w:szCs w:val="18"/>
                <w:color w:val="auto"/>
              </w:rPr>
              <w:t>Lessee Grant of Liens and Security Interests</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24.3.</w:t>
            </w:r>
          </w:p>
        </w:tc>
        <w:tc>
          <w:tcPr>
            <w:tcW w:w="9240" w:type="dxa"/>
            <w:vAlign w:val="bottom"/>
          </w:tcPr>
          <w:p>
            <w:pPr>
              <w:ind w:left="500"/>
              <w:spacing w:after="0"/>
              <w:rPr>
                <w:sz w:val="20"/>
                <w:szCs w:val="20"/>
                <w:color w:val="auto"/>
              </w:rPr>
            </w:pPr>
            <w:r>
              <w:rPr>
                <w:rFonts w:ascii="Arial" w:cs="Arial" w:eastAsia="Arial" w:hAnsi="Arial"/>
                <w:sz w:val="18"/>
                <w:szCs w:val="18"/>
                <w:color w:val="auto"/>
              </w:rPr>
              <w:t>State Specific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24.4.</w:t>
            </w:r>
          </w:p>
        </w:tc>
        <w:tc>
          <w:tcPr>
            <w:tcW w:w="9240" w:type="dxa"/>
            <w:vAlign w:val="bottom"/>
          </w:tcPr>
          <w:p>
            <w:pPr>
              <w:ind w:left="500"/>
              <w:spacing w:after="0"/>
              <w:rPr>
                <w:sz w:val="20"/>
                <w:szCs w:val="20"/>
                <w:color w:val="auto"/>
              </w:rPr>
            </w:pPr>
            <w:r>
              <w:rPr>
                <w:rFonts w:ascii="Arial" w:cs="Arial" w:eastAsia="Arial" w:hAnsi="Arial"/>
                <w:sz w:val="18"/>
                <w:szCs w:val="18"/>
                <w:color w:val="auto"/>
              </w:rPr>
              <w:t>Security Agreement</w:t>
            </w: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24.5.</w:t>
            </w:r>
          </w:p>
        </w:tc>
        <w:tc>
          <w:tcPr>
            <w:tcW w:w="9240" w:type="dxa"/>
            <w:vAlign w:val="bottom"/>
          </w:tcPr>
          <w:p>
            <w:pPr>
              <w:ind w:left="500"/>
              <w:spacing w:after="0"/>
              <w:rPr>
                <w:sz w:val="20"/>
                <w:szCs w:val="20"/>
                <w:color w:val="auto"/>
              </w:rPr>
            </w:pPr>
            <w:r>
              <w:rPr>
                <w:rFonts w:ascii="Arial" w:cs="Arial" w:eastAsia="Arial" w:hAnsi="Arial"/>
                <w:sz w:val="18"/>
                <w:szCs w:val="18"/>
                <w:color w:val="auto"/>
              </w:rPr>
              <w:t>Mortgage Remedies</w:t>
            </w: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660" w:type="dxa"/>
            <w:vAlign w:val="bottom"/>
          </w:tcPr>
          <w:p>
            <w:pPr>
              <w:ind w:left="580"/>
              <w:spacing w:after="0"/>
              <w:rPr>
                <w:sz w:val="20"/>
                <w:szCs w:val="20"/>
                <w:color w:val="auto"/>
              </w:rPr>
            </w:pPr>
            <w:r>
              <w:rPr>
                <w:rFonts w:ascii="Arial" w:cs="Arial" w:eastAsia="Arial" w:hAnsi="Arial"/>
                <w:sz w:val="18"/>
                <w:szCs w:val="18"/>
                <w:color w:val="auto"/>
              </w:rPr>
              <w:t>Section 24.5.</w:t>
            </w:r>
          </w:p>
        </w:tc>
        <w:tc>
          <w:tcPr>
            <w:tcW w:w="9240" w:type="dxa"/>
            <w:vAlign w:val="bottom"/>
          </w:tcPr>
          <w:p>
            <w:pPr>
              <w:ind w:left="500"/>
              <w:spacing w:after="0"/>
              <w:rPr>
                <w:sz w:val="20"/>
                <w:szCs w:val="20"/>
                <w:color w:val="auto"/>
              </w:rPr>
            </w:pPr>
            <w:r>
              <w:rPr>
                <w:rFonts w:ascii="Arial" w:cs="Arial" w:eastAsia="Arial" w:hAnsi="Arial"/>
                <w:sz w:val="18"/>
                <w:szCs w:val="18"/>
                <w:color w:val="auto"/>
              </w:rPr>
              <w:t>Home Depot Parcel</w:t>
            </w: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XXV</w:t>
            </w:r>
          </w:p>
        </w:tc>
        <w:tc>
          <w:tcPr>
            <w:tcW w:w="9240" w:type="dxa"/>
            <w:vAlign w:val="bottom"/>
          </w:tcPr>
          <w:p>
            <w:pPr>
              <w:ind w:left="4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1660" w:type="dxa"/>
            <w:vAlign w:val="bottom"/>
          </w:tcPr>
          <w:p>
            <w:pPr>
              <w:ind w:left="580"/>
              <w:spacing w:after="0"/>
              <w:rPr>
                <w:sz w:val="20"/>
                <w:szCs w:val="20"/>
                <w:color w:val="auto"/>
              </w:rPr>
            </w:pPr>
            <w:r>
              <w:rPr>
                <w:rFonts w:ascii="Arial" w:cs="Arial" w:eastAsia="Arial" w:hAnsi="Arial"/>
                <w:sz w:val="18"/>
                <w:szCs w:val="18"/>
                <w:color w:val="auto"/>
              </w:rPr>
              <w:t>Section 25.1.</w:t>
            </w:r>
          </w:p>
        </w:tc>
        <w:tc>
          <w:tcPr>
            <w:tcW w:w="9240" w:type="dxa"/>
            <w:vAlign w:val="bottom"/>
          </w:tcPr>
          <w:p>
            <w:pPr>
              <w:ind w:left="500"/>
              <w:spacing w:after="0"/>
              <w:rPr>
                <w:sz w:val="20"/>
                <w:szCs w:val="20"/>
                <w:color w:val="auto"/>
              </w:rPr>
            </w:pPr>
            <w:r>
              <w:rPr>
                <w:rFonts w:ascii="Arial" w:cs="Arial" w:eastAsia="Arial" w:hAnsi="Arial"/>
                <w:sz w:val="18"/>
                <w:szCs w:val="18"/>
                <w:color w:val="auto"/>
              </w:rPr>
              <w:t>Survival; Severability; Etc.</w:t>
            </w: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25.2.</w:t>
            </w:r>
          </w:p>
        </w:tc>
        <w:tc>
          <w:tcPr>
            <w:tcW w:w="9240" w:type="dxa"/>
            <w:vAlign w:val="bottom"/>
          </w:tcPr>
          <w:p>
            <w:pPr>
              <w:ind w:left="500"/>
              <w:spacing w:after="0"/>
              <w:rPr>
                <w:sz w:val="20"/>
                <w:szCs w:val="20"/>
                <w:color w:val="auto"/>
              </w:rPr>
            </w:pPr>
            <w:r>
              <w:rPr>
                <w:rFonts w:ascii="Arial" w:cs="Arial" w:eastAsia="Arial" w:hAnsi="Arial"/>
                <w:sz w:val="18"/>
                <w:szCs w:val="18"/>
                <w:color w:val="auto"/>
              </w:rPr>
              <w:t>Amendments and Modifications</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25.3.</w:t>
            </w:r>
          </w:p>
        </w:tc>
        <w:tc>
          <w:tcPr>
            <w:tcW w:w="9240" w:type="dxa"/>
            <w:vAlign w:val="bottom"/>
          </w:tcPr>
          <w:p>
            <w:pPr>
              <w:ind w:left="500"/>
              <w:spacing w:after="0"/>
              <w:rPr>
                <w:sz w:val="20"/>
                <w:szCs w:val="20"/>
                <w:color w:val="auto"/>
              </w:rPr>
            </w:pPr>
            <w:r>
              <w:rPr>
                <w:rFonts w:ascii="Arial" w:cs="Arial" w:eastAsia="Arial" w:hAnsi="Arial"/>
                <w:sz w:val="18"/>
                <w:szCs w:val="18"/>
                <w:color w:val="auto"/>
              </w:rPr>
              <w:t>No Waiver</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25.4.</w:t>
            </w:r>
          </w:p>
        </w:tc>
        <w:tc>
          <w:tcPr>
            <w:tcW w:w="9240" w:type="dxa"/>
            <w:vAlign w:val="bottom"/>
          </w:tcPr>
          <w:p>
            <w:pPr>
              <w:ind w:left="500"/>
              <w:spacing w:after="0"/>
              <w:rPr>
                <w:sz w:val="20"/>
                <w:szCs w:val="20"/>
                <w:color w:val="auto"/>
              </w:rPr>
            </w:pPr>
            <w:r>
              <w:rPr>
                <w:rFonts w:ascii="Arial" w:cs="Arial" w:eastAsia="Arial" w:hAnsi="Arial"/>
                <w:sz w:val="18"/>
                <w:szCs w:val="18"/>
                <w:color w:val="auto"/>
              </w:rPr>
              <w:t>Notices</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25.5.</w:t>
            </w:r>
          </w:p>
        </w:tc>
        <w:tc>
          <w:tcPr>
            <w:tcW w:w="9240" w:type="dxa"/>
            <w:vAlign w:val="bottom"/>
          </w:tcPr>
          <w:p>
            <w:pPr>
              <w:ind w:left="500"/>
              <w:spacing w:after="0"/>
              <w:rPr>
                <w:sz w:val="20"/>
                <w:szCs w:val="20"/>
                <w:color w:val="auto"/>
              </w:rPr>
            </w:pPr>
            <w:r>
              <w:rPr>
                <w:rFonts w:ascii="Arial" w:cs="Arial" w:eastAsia="Arial" w:hAnsi="Arial"/>
                <w:sz w:val="18"/>
                <w:szCs w:val="18"/>
                <w:color w:val="auto"/>
              </w:rPr>
              <w:t>Successors and Assigns</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25.6.</w:t>
            </w:r>
          </w:p>
        </w:tc>
        <w:tc>
          <w:tcPr>
            <w:tcW w:w="9240" w:type="dxa"/>
            <w:vAlign w:val="bottom"/>
          </w:tcPr>
          <w:p>
            <w:pPr>
              <w:ind w:left="500"/>
              <w:spacing w:after="0"/>
              <w:rPr>
                <w:sz w:val="20"/>
                <w:szCs w:val="20"/>
                <w:color w:val="auto"/>
              </w:rPr>
            </w:pPr>
            <w:r>
              <w:rPr>
                <w:rFonts w:ascii="Arial" w:cs="Arial" w:eastAsia="Arial" w:hAnsi="Arial"/>
                <w:sz w:val="18"/>
                <w:szCs w:val="18"/>
                <w:color w:val="auto"/>
              </w:rPr>
              <w:t>Headings and Table of Contents</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25.7.</w:t>
            </w:r>
          </w:p>
        </w:tc>
        <w:tc>
          <w:tcPr>
            <w:tcW w:w="9240" w:type="dxa"/>
            <w:vAlign w:val="bottom"/>
          </w:tcPr>
          <w:p>
            <w:pPr>
              <w:ind w:left="500"/>
              <w:spacing w:after="0"/>
              <w:rPr>
                <w:sz w:val="20"/>
                <w:szCs w:val="20"/>
                <w:color w:val="auto"/>
              </w:rPr>
            </w:pPr>
            <w:r>
              <w:rPr>
                <w:rFonts w:ascii="Arial" w:cs="Arial" w:eastAsia="Arial" w:hAnsi="Arial"/>
                <w:sz w:val="18"/>
                <w:szCs w:val="18"/>
                <w:color w:val="auto"/>
              </w:rPr>
              <w:t>Counterparts</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25.8.</w:t>
            </w:r>
          </w:p>
        </w:tc>
        <w:tc>
          <w:tcPr>
            <w:tcW w:w="9240" w:type="dxa"/>
            <w:vAlign w:val="bottom"/>
          </w:tcPr>
          <w:p>
            <w:pPr>
              <w:ind w:left="500"/>
              <w:spacing w:after="0"/>
              <w:rPr>
                <w:sz w:val="20"/>
                <w:szCs w:val="20"/>
                <w:color w:val="auto"/>
              </w:rPr>
            </w:pPr>
            <w:r>
              <w:rPr>
                <w:rFonts w:ascii="Arial" w:cs="Arial" w:eastAsia="Arial" w:hAnsi="Arial"/>
                <w:sz w:val="18"/>
                <w:szCs w:val="18"/>
                <w:color w:val="auto"/>
              </w:rPr>
              <w:t>Governing Law</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25.9.</w:t>
            </w:r>
          </w:p>
        </w:tc>
        <w:tc>
          <w:tcPr>
            <w:tcW w:w="9240" w:type="dxa"/>
            <w:vAlign w:val="bottom"/>
          </w:tcPr>
          <w:p>
            <w:pPr>
              <w:ind w:left="500"/>
              <w:spacing w:after="0"/>
              <w:rPr>
                <w:sz w:val="20"/>
                <w:szCs w:val="20"/>
                <w:color w:val="auto"/>
              </w:rPr>
            </w:pPr>
            <w:r>
              <w:rPr>
                <w:rFonts w:ascii="Arial" w:cs="Arial" w:eastAsia="Arial" w:hAnsi="Arial"/>
                <w:sz w:val="18"/>
                <w:szCs w:val="18"/>
                <w:color w:val="auto"/>
              </w:rPr>
              <w:t>Original Executed Counterpart of this Lease</w:t>
            </w: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w w:val="92"/>
              </w:rPr>
              <w:t>Section 25.10.</w:t>
            </w:r>
          </w:p>
        </w:tc>
        <w:tc>
          <w:tcPr>
            <w:tcW w:w="9240" w:type="dxa"/>
            <w:vAlign w:val="bottom"/>
          </w:tcPr>
          <w:p>
            <w:pPr>
              <w:ind w:left="500"/>
              <w:spacing w:after="0"/>
              <w:rPr>
                <w:sz w:val="20"/>
                <w:szCs w:val="20"/>
                <w:color w:val="auto"/>
              </w:rPr>
            </w:pPr>
            <w:r>
              <w:rPr>
                <w:rFonts w:ascii="Arial" w:cs="Arial" w:eastAsia="Arial" w:hAnsi="Arial"/>
                <w:sz w:val="18"/>
                <w:szCs w:val="18"/>
                <w:color w:val="auto"/>
              </w:rPr>
              <w:t>Limitations on Recourse</w:t>
            </w: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w w:val="92"/>
              </w:rPr>
              <w:t>Section 25.11.</w:t>
            </w:r>
          </w:p>
        </w:tc>
        <w:tc>
          <w:tcPr>
            <w:tcW w:w="9240" w:type="dxa"/>
            <w:vAlign w:val="bottom"/>
          </w:tcPr>
          <w:p>
            <w:pPr>
              <w:ind w:left="500"/>
              <w:spacing w:after="0"/>
              <w:rPr>
                <w:sz w:val="20"/>
                <w:szCs w:val="20"/>
                <w:color w:val="auto"/>
              </w:rPr>
            </w:pPr>
            <w:r>
              <w:rPr>
                <w:rFonts w:ascii="Arial" w:cs="Arial" w:eastAsia="Arial" w:hAnsi="Arial"/>
                <w:sz w:val="18"/>
                <w:szCs w:val="18"/>
                <w:color w:val="auto"/>
              </w:rPr>
              <w:t>Transfer of Leased Property</w:t>
            </w: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w w:val="92"/>
              </w:rPr>
              <w:t>Section 25.12.</w:t>
            </w:r>
          </w:p>
        </w:tc>
        <w:tc>
          <w:tcPr>
            <w:tcW w:w="9240" w:type="dxa"/>
            <w:vAlign w:val="bottom"/>
          </w:tcPr>
          <w:p>
            <w:pPr>
              <w:ind w:left="500"/>
              <w:spacing w:after="0"/>
              <w:rPr>
                <w:sz w:val="20"/>
                <w:szCs w:val="20"/>
                <w:color w:val="auto"/>
              </w:rPr>
            </w:pPr>
            <w:r>
              <w:rPr>
                <w:rFonts w:ascii="Arial" w:cs="Arial" w:eastAsia="Arial" w:hAnsi="Arial"/>
                <w:sz w:val="18"/>
                <w:szCs w:val="18"/>
                <w:color w:val="auto"/>
              </w:rPr>
              <w:t>Memorandum of Lease</w:t>
            </w: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w w:val="92"/>
              </w:rPr>
              <w:t>Section 25.13.</w:t>
            </w:r>
          </w:p>
        </w:tc>
        <w:tc>
          <w:tcPr>
            <w:tcW w:w="9240" w:type="dxa"/>
            <w:vAlign w:val="bottom"/>
          </w:tcPr>
          <w:p>
            <w:pPr>
              <w:ind w:left="500"/>
              <w:spacing w:after="0"/>
              <w:rPr>
                <w:sz w:val="20"/>
                <w:szCs w:val="20"/>
                <w:color w:val="auto"/>
              </w:rPr>
            </w:pPr>
            <w:r>
              <w:rPr>
                <w:rFonts w:ascii="Arial" w:cs="Arial" w:eastAsia="Arial" w:hAnsi="Arial"/>
                <w:sz w:val="18"/>
                <w:szCs w:val="18"/>
                <w:color w:val="auto"/>
              </w:rPr>
              <w:t>Further Assurances</w:t>
            </w: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660" w:type="dxa"/>
            <w:vAlign w:val="bottom"/>
          </w:tcPr>
          <w:p>
            <w:pPr>
              <w:ind w:left="580"/>
              <w:spacing w:after="0"/>
              <w:rPr>
                <w:sz w:val="20"/>
                <w:szCs w:val="20"/>
                <w:color w:val="auto"/>
              </w:rPr>
            </w:pPr>
            <w:r>
              <w:rPr>
                <w:rFonts w:ascii="Arial" w:cs="Arial" w:eastAsia="Arial" w:hAnsi="Arial"/>
                <w:sz w:val="18"/>
                <w:szCs w:val="18"/>
                <w:color w:val="auto"/>
                <w:w w:val="92"/>
              </w:rPr>
              <w:t>Section 25.14.</w:t>
            </w:r>
          </w:p>
        </w:tc>
        <w:tc>
          <w:tcPr>
            <w:tcW w:w="9240" w:type="dxa"/>
            <w:vAlign w:val="bottom"/>
          </w:tcPr>
          <w:p>
            <w:pPr>
              <w:ind w:left="500"/>
              <w:spacing w:after="0"/>
              <w:rPr>
                <w:sz w:val="20"/>
                <w:szCs w:val="20"/>
                <w:color w:val="auto"/>
              </w:rPr>
            </w:pPr>
            <w:r>
              <w:rPr>
                <w:rFonts w:ascii="Arial" w:cs="Arial" w:eastAsia="Arial" w:hAnsi="Arial"/>
                <w:sz w:val="18"/>
                <w:szCs w:val="18"/>
                <w:color w:val="auto"/>
              </w:rPr>
              <w:t>Effect of Restatement</w:t>
            </w: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Exhibits and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   Description of Leased Property</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B</w:t>
            </w: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w w:val="95"/>
              </w:rPr>
              <w:t>—   Form of Memorandum of Lease Amendment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380" w:type="dxa"/>
            <w:vAlign w:val="bottom"/>
          </w:tcPr>
          <w:p>
            <w:pPr>
              <w:ind w:left="120"/>
              <w:spacing w:after="0"/>
              <w:rPr>
                <w:sz w:val="20"/>
                <w:szCs w:val="20"/>
                <w:color w:val="auto"/>
              </w:rPr>
            </w:pPr>
            <w:r>
              <w:rPr>
                <w:rFonts w:ascii="Arial" w:cs="Arial" w:eastAsia="Arial" w:hAnsi="Arial"/>
                <w:sz w:val="18"/>
                <w:szCs w:val="18"/>
                <w:color w:val="auto"/>
              </w:rPr>
              <w:t>Form of SNDA</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A</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380" w:type="dxa"/>
            <w:vAlign w:val="bottom"/>
          </w:tcPr>
          <w:p>
            <w:pPr>
              <w:ind w:left="120"/>
              <w:spacing w:after="0"/>
              <w:rPr>
                <w:sz w:val="20"/>
                <w:szCs w:val="20"/>
                <w:color w:val="auto"/>
              </w:rPr>
            </w:pPr>
            <w:r>
              <w:rPr>
                <w:rFonts w:ascii="Arial" w:cs="Arial" w:eastAsia="Arial" w:hAnsi="Arial"/>
                <w:sz w:val="18"/>
                <w:szCs w:val="18"/>
                <w:color w:val="auto"/>
              </w:rPr>
              <w:t>Permitted Development Plans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B</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380" w:type="dxa"/>
            <w:vAlign w:val="bottom"/>
          </w:tcPr>
          <w:p>
            <w:pPr>
              <w:ind w:left="120"/>
              <w:spacing w:after="0"/>
              <w:rPr>
                <w:sz w:val="20"/>
                <w:szCs w:val="20"/>
                <w:color w:val="auto"/>
              </w:rPr>
            </w:pPr>
            <w:r>
              <w:rPr>
                <w:rFonts w:ascii="Arial" w:cs="Arial" w:eastAsia="Arial" w:hAnsi="Arial"/>
                <w:sz w:val="18"/>
                <w:szCs w:val="18"/>
                <w:color w:val="auto"/>
              </w:rPr>
              <w:t>Permitted Development Areas</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C</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380" w:type="dxa"/>
            <w:vAlign w:val="bottom"/>
          </w:tcPr>
          <w:p>
            <w:pPr>
              <w:ind w:left="120"/>
              <w:spacing w:after="0"/>
              <w:rPr>
                <w:sz w:val="20"/>
                <w:szCs w:val="20"/>
                <w:color w:val="auto"/>
              </w:rPr>
            </w:pPr>
            <w:r>
              <w:rPr>
                <w:rFonts w:ascii="Arial" w:cs="Arial" w:eastAsia="Arial" w:hAnsi="Arial"/>
                <w:sz w:val="18"/>
                <w:szCs w:val="18"/>
                <w:color w:val="auto"/>
              </w:rPr>
              <w:t>Permitted 767 Improvements</w:t>
            </w:r>
          </w:p>
        </w:tc>
      </w:tr>
    </w:tbl>
    <w:p>
      <w:pPr>
        <w:spacing w:after="0" w:line="200" w:lineRule="exact"/>
        <w:rPr>
          <w:sz w:val="20"/>
          <w:szCs w:val="20"/>
          <w:color w:val="auto"/>
        </w:rPr>
      </w:pPr>
    </w:p>
    <w:p>
      <w:pPr>
        <w:spacing w:after="0" w:line="21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EMEDIES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This Second Amended and Restated Lease and Remedies Agreement dated as of March 2, 2022, and effective as of the Restatement Date (as hereinafter defined) (as amended, restated, supplemented, or otherwise modified from time to time, this </w:t>
      </w:r>
      <w:r>
        <w:rPr>
          <w:rFonts w:ascii="Arial" w:cs="Arial" w:eastAsia="Arial" w:hAnsi="Arial"/>
          <w:sz w:val="18"/>
          <w:szCs w:val="18"/>
          <w:i w:val="1"/>
          <w:iCs w:val="1"/>
          <w:color w:val="auto"/>
        </w:rPr>
        <w:t>“Lease”</w:t>
      </w:r>
      <w:r>
        <w:rPr>
          <w:rFonts w:ascii="Arial" w:cs="Arial" w:eastAsia="Arial" w:hAnsi="Arial"/>
          <w:sz w:val="18"/>
          <w:szCs w:val="18"/>
          <w:color w:val="auto"/>
        </w:rPr>
        <w:t xml:space="preserve"> or </w:t>
      </w:r>
      <w:r>
        <w:rPr>
          <w:rFonts w:ascii="Arial" w:cs="Arial" w:eastAsia="Arial" w:hAnsi="Arial"/>
          <w:sz w:val="18"/>
          <w:szCs w:val="18"/>
          <w:i w:val="1"/>
          <w:iCs w:val="1"/>
          <w:color w:val="auto"/>
        </w:rPr>
        <w:t>“Mortgage”</w:t>
      </w:r>
      <w:r>
        <w:rPr>
          <w:rFonts w:ascii="Arial" w:cs="Arial" w:eastAsia="Arial" w:hAnsi="Arial"/>
          <w:sz w:val="18"/>
          <w:szCs w:val="18"/>
          <w:color w:val="auto"/>
        </w:rPr>
        <w:t>), between BA L</w:t>
      </w:r>
      <w:r>
        <w:rPr>
          <w:rFonts w:ascii="Arial" w:cs="Arial" w:eastAsia="Arial" w:hAnsi="Arial"/>
          <w:sz w:val="12"/>
          <w:szCs w:val="12"/>
          <w:color w:val="auto"/>
        </w:rPr>
        <w:t>EASING</w:t>
      </w:r>
      <w:r>
        <w:rPr>
          <w:rFonts w:ascii="Arial" w:cs="Arial" w:eastAsia="Arial" w:hAnsi="Arial"/>
          <w:sz w:val="18"/>
          <w:szCs w:val="18"/>
          <w:color w:val="auto"/>
        </w:rPr>
        <w:t xml:space="preserve"> BSC, LLC, a Delaware limited liability company, having its principal office at 11333 McCormick Road, Mailcode: MD5-032-07-05, Hunt Valley, Maryland 21031, as Lessor (</w:t>
      </w:r>
      <w:r>
        <w:rPr>
          <w:rFonts w:ascii="Arial" w:cs="Arial" w:eastAsia="Arial" w:hAnsi="Arial"/>
          <w:sz w:val="18"/>
          <w:szCs w:val="18"/>
          <w:i w:val="1"/>
          <w:iCs w:val="1"/>
          <w:color w:val="auto"/>
        </w:rPr>
        <w:t>“Lessor”</w:t>
      </w:r>
      <w:r>
        <w:rPr>
          <w:rFonts w:ascii="Arial" w:cs="Arial" w:eastAsia="Arial" w:hAnsi="Arial"/>
          <w:sz w:val="18"/>
          <w:szCs w:val="18"/>
          <w:color w:val="auto"/>
        </w:rPr>
        <w:t>), and 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 a New York limited liability company, having its principal office at 777 Old Saw Mill River Road, Tarrytown, New York 10591, as Lessee (</w:t>
      </w:r>
      <w:r>
        <w:rPr>
          <w:rFonts w:ascii="Arial" w:cs="Arial" w:eastAsia="Arial" w:hAnsi="Arial"/>
          <w:sz w:val="18"/>
          <w:szCs w:val="18"/>
          <w:i w:val="1"/>
          <w:iCs w:val="1"/>
          <w:color w:val="auto"/>
        </w:rPr>
        <w:t>“Lessee”</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W </w:t>
      </w:r>
      <w:r>
        <w:rPr>
          <w:rFonts w:ascii="Arial" w:cs="Arial" w:eastAsia="Arial" w:hAnsi="Arial"/>
          <w:sz w:val="12"/>
          <w:szCs w:val="12"/>
          <w:b w:val="1"/>
          <w:bCs w:val="1"/>
          <w:color w:val="auto"/>
        </w:rPr>
        <w:t>I T N E S S E T H</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9" w:lineRule="auto"/>
        <w:tabs>
          <w:tab w:leader="none" w:pos="1093" w:val="left"/>
        </w:tabs>
        <w:numPr>
          <w:ilvl w:val="1"/>
          <w:numId w:val="120"/>
        </w:numPr>
        <w:rPr>
          <w:rFonts w:ascii="Arial" w:cs="Arial" w:eastAsia="Arial" w:hAnsi="Arial"/>
          <w:sz w:val="17"/>
          <w:szCs w:val="17"/>
          <w:color w:val="auto"/>
        </w:rPr>
      </w:pPr>
      <w:r>
        <w:rPr>
          <w:rFonts w:ascii="Arial" w:cs="Arial" w:eastAsia="Arial" w:hAnsi="Arial"/>
          <w:sz w:val="17"/>
          <w:szCs w:val="17"/>
          <w:color w:val="auto"/>
        </w:rPr>
        <w:t xml:space="preserve">On March 3, 2017 (the </w:t>
      </w:r>
      <w:r>
        <w:rPr>
          <w:rFonts w:ascii="Arial" w:cs="Arial" w:eastAsia="Arial" w:hAnsi="Arial"/>
          <w:sz w:val="17"/>
          <w:szCs w:val="17"/>
          <w:i w:val="1"/>
          <w:iCs w:val="1"/>
          <w:color w:val="auto"/>
        </w:rPr>
        <w:t>“Original Closing Date”</w:t>
      </w:r>
      <w:r>
        <w:rPr>
          <w:rFonts w:ascii="Arial" w:cs="Arial" w:eastAsia="Arial" w:hAnsi="Arial"/>
          <w:sz w:val="17"/>
          <w:szCs w:val="17"/>
          <w:color w:val="auto"/>
        </w:rPr>
        <w:t xml:space="preserve">), the Lessor and Lessee entered into the Lease and Remedies Agreement, dated as of the Original Closing Date (as amended and restated by that certain Amended and Restated Lease and Remedies Agreement, dated as of May 2, 2019, and as amended, supplemented or otherwise modified prior to the Restatement Date, the </w:t>
      </w:r>
      <w:r>
        <w:rPr>
          <w:rFonts w:ascii="Arial" w:cs="Arial" w:eastAsia="Arial" w:hAnsi="Arial"/>
          <w:sz w:val="17"/>
          <w:szCs w:val="17"/>
          <w:i w:val="1"/>
          <w:iCs w:val="1"/>
          <w:color w:val="auto"/>
        </w:rPr>
        <w:t>“Previously Existing Lease”</w:t>
      </w:r>
      <w:r>
        <w:rPr>
          <w:rFonts w:ascii="Arial" w:cs="Arial" w:eastAsia="Arial" w:hAnsi="Arial"/>
          <w:sz w:val="17"/>
          <w:szCs w:val="17"/>
          <w:color w:val="auto"/>
        </w:rPr>
        <w:t>) and the other Operative Documents (as defined in the Previously Existing Lease) pursuant to which the Participants agreed to provide financing for the Leased Property.</w:t>
      </w:r>
    </w:p>
    <w:p>
      <w:pPr>
        <w:spacing w:after="0" w:line="171" w:lineRule="exact"/>
        <w:rPr>
          <w:rFonts w:ascii="Arial" w:cs="Arial" w:eastAsia="Arial" w:hAnsi="Arial"/>
          <w:sz w:val="17"/>
          <w:szCs w:val="17"/>
          <w:color w:val="auto"/>
        </w:rPr>
      </w:pPr>
    </w:p>
    <w:p>
      <w:pPr>
        <w:jc w:val="both"/>
        <w:ind w:firstLine="656"/>
        <w:spacing w:after="0" w:line="263" w:lineRule="auto"/>
        <w:tabs>
          <w:tab w:leader="none" w:pos="108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On the Original Closing Date, the Lessor, through the proceeds of the Advance, purchased the Site and the Facility from Seller free and clear of all Liens other than Permitted Liens and Lessor leased the Leased Property, inclusive of Lessor’s leasehold interest in the Site, to Lessee pursuant to the Previously Existing Lease.</w:t>
      </w:r>
    </w:p>
    <w:p>
      <w:pPr>
        <w:spacing w:after="0" w:line="183" w:lineRule="exact"/>
        <w:rPr>
          <w:rFonts w:ascii="Arial" w:cs="Arial" w:eastAsia="Arial" w:hAnsi="Arial"/>
          <w:sz w:val="18"/>
          <w:szCs w:val="18"/>
          <w:color w:val="auto"/>
        </w:rPr>
      </w:pPr>
    </w:p>
    <w:p>
      <w:pPr>
        <w:ind w:right="20" w:firstLine="656"/>
        <w:spacing w:after="0" w:line="277" w:lineRule="auto"/>
        <w:tabs>
          <w:tab w:leader="none" w:pos="110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Lessor and Lessee desire and intend to amend, restate and supersede the Previously Existing Lease in its entirety and to renew the Term (as hereinafter defined) pursuant to this Lease effective as of the Restatement Date.</w:t>
      </w:r>
    </w:p>
    <w:p>
      <w:pPr>
        <w:spacing w:after="0" w:line="170" w:lineRule="exact"/>
        <w:rPr>
          <w:rFonts w:ascii="Arial" w:cs="Arial" w:eastAsia="Arial" w:hAnsi="Arial"/>
          <w:sz w:val="18"/>
          <w:szCs w:val="18"/>
          <w:color w:val="auto"/>
        </w:rPr>
      </w:pPr>
    </w:p>
    <w:p>
      <w:pPr>
        <w:ind w:right="20" w:firstLine="656"/>
        <w:spacing w:after="0" w:line="277" w:lineRule="auto"/>
        <w:tabs>
          <w:tab w:leader="none" w:pos="109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This Mortgage is given to Lessor to secure obligations from Lessee under the Operative Documents in the amount of Seven Hundred Twenty Million Dollars ($720,000,000) plus interest and all other amounts owing under the Operative Documents.</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It is the intent of the parties hereto that this Lease (i) shall amend, restate and supersede in its entirety the Previously Existing Lease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shall not constitute a novation of the obligations and liabilities of the parties under the Previously Existing Lease or any other Operative Document).</w:t>
      </w:r>
    </w:p>
    <w:p>
      <w:pPr>
        <w:spacing w:after="0" w:line="2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w:t>
      </w:r>
      <w:r>
        <w:rPr>
          <w:rFonts w:ascii="Arial" w:cs="Arial" w:eastAsia="Arial" w:hAnsi="Arial"/>
          <w:sz w:val="18"/>
          <w:szCs w:val="18"/>
          <w:color w:val="auto"/>
        </w:rPr>
        <w:t>, T</w:t>
      </w:r>
      <w:r>
        <w:rPr>
          <w:rFonts w:ascii="Arial" w:cs="Arial" w:eastAsia="Arial" w:hAnsi="Arial"/>
          <w:sz w:val="12"/>
          <w:szCs w:val="12"/>
          <w:color w:val="auto"/>
        </w:rPr>
        <w:t>HEREFORE</w:t>
      </w:r>
      <w:r>
        <w:rPr>
          <w:rFonts w:ascii="Arial" w:cs="Arial" w:eastAsia="Arial" w:hAnsi="Arial"/>
          <w:sz w:val="18"/>
          <w:szCs w:val="18"/>
          <w:color w:val="auto"/>
        </w:rPr>
        <w:t>, in consideration of the foregoing, and of other good and valuable consideration, the receipt and sufficiency of which are hereby acknowledged, the parties hereto agree that the Previously Existing Lease is hereby amended and restated in its entirety as follows effective as of the Restatement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 E</w:t>
      </w:r>
      <w:r>
        <w:rPr>
          <w:rFonts w:ascii="Arial" w:cs="Arial" w:eastAsia="Arial" w:hAnsi="Arial"/>
          <w:sz w:val="12"/>
          <w:szCs w:val="12"/>
          <w:b w:val="1"/>
          <w:bCs w:val="1"/>
          <w:color w:val="auto"/>
        </w:rPr>
        <w:t>FFECTIVENESS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Section 1.1. Definitions; Interpretation</w:t>
      </w:r>
      <w:r>
        <w:rPr>
          <w:rFonts w:ascii="Arial" w:cs="Arial" w:eastAsia="Arial" w:hAnsi="Arial"/>
          <w:sz w:val="16"/>
          <w:szCs w:val="16"/>
          <w:color w:val="auto"/>
        </w:rPr>
        <w:t>. As used herein, “</w:t>
      </w:r>
      <w:r>
        <w:rPr>
          <w:rFonts w:ascii="Arial" w:cs="Arial" w:eastAsia="Arial" w:hAnsi="Arial"/>
          <w:sz w:val="16"/>
          <w:szCs w:val="16"/>
          <w:i w:val="1"/>
          <w:iCs w:val="1"/>
          <w:color w:val="auto"/>
        </w:rPr>
        <w:t>Restatement Date</w:t>
      </w:r>
      <w:r>
        <w:rPr>
          <w:rFonts w:ascii="Arial" w:cs="Arial" w:eastAsia="Arial" w:hAnsi="Arial"/>
          <w:sz w:val="16"/>
          <w:szCs w:val="16"/>
          <w:color w:val="auto"/>
        </w:rPr>
        <w:t>” means March 3, 2022. For all purposes hereof, the capitalized terms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used herein and not otherwise defined shall have the meanings assigned thereto in Appendix 1 to that certain Second Amended and Restated Participation Agreement, dated as of the date hereof and effective as of the Restatement Date (as amended, restated, supplemented or otherwise modified from time to time, the </w:t>
      </w:r>
      <w:r>
        <w:rPr>
          <w:rFonts w:ascii="Arial" w:cs="Arial" w:eastAsia="Arial" w:hAnsi="Arial"/>
          <w:sz w:val="16"/>
          <w:szCs w:val="16"/>
          <w:i w:val="1"/>
          <w:iCs w:val="1"/>
          <w:color w:val="auto"/>
        </w:rPr>
        <w:t>“Participation Agreement”</w:t>
      </w:r>
      <w:r>
        <w:rPr>
          <w:rFonts w:ascii="Arial" w:cs="Arial" w:eastAsia="Arial" w:hAnsi="Arial"/>
          <w:sz w:val="16"/>
          <w:szCs w:val="16"/>
          <w:color w:val="auto"/>
        </w:rPr>
        <w:t>), among Lessee, Lessor, B</w:t>
      </w:r>
      <w:r>
        <w:rPr>
          <w:rFonts w:ascii="Arial" w:cs="Arial" w:eastAsia="Arial" w:hAnsi="Arial"/>
          <w:sz w:val="11"/>
          <w:szCs w:val="11"/>
          <w:color w:val="auto"/>
        </w:rPr>
        <w:t>ANK OF</w:t>
      </w:r>
      <w:r>
        <w:rPr>
          <w:rFonts w:ascii="Arial" w:cs="Arial" w:eastAsia="Arial" w:hAnsi="Arial"/>
          <w:sz w:val="16"/>
          <w:szCs w:val="16"/>
          <w:color w:val="auto"/>
        </w:rPr>
        <w:t xml:space="preserve"> A</w:t>
      </w:r>
      <w:r>
        <w:rPr>
          <w:rFonts w:ascii="Arial" w:cs="Arial" w:eastAsia="Arial" w:hAnsi="Arial"/>
          <w:sz w:val="11"/>
          <w:szCs w:val="11"/>
          <w:color w:val="auto"/>
        </w:rPr>
        <w:t>MERICA</w:t>
      </w:r>
      <w:r>
        <w:rPr>
          <w:rFonts w:ascii="Arial" w:cs="Arial" w:eastAsia="Arial" w:hAnsi="Arial"/>
          <w:sz w:val="16"/>
          <w:szCs w:val="16"/>
          <w:color w:val="auto"/>
        </w:rPr>
        <w:t>, N.A., not in its individual capacity except and as expressly stated therein, but solely as Administrative Agent, and the Participants from time to time party thereto; and the rules of interpretation set forth in Appendix 1 to the Participation Agreement shall apply to this Lease. All obligations imposed on the “Lessee” in this Lease shall be full recourse liabilities of Lessee.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EASE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w:t>
      </w:r>
      <w:r>
        <w:rPr>
          <w:rFonts w:ascii="Arial" w:cs="Arial" w:eastAsia="Arial" w:hAnsi="Arial"/>
          <w:sz w:val="18"/>
          <w:szCs w:val="18"/>
          <w:b w:val="1"/>
          <w:bCs w:val="1"/>
          <w:color w:val="auto"/>
        </w:rPr>
        <w:t>; T</w:t>
      </w:r>
      <w:r>
        <w:rPr>
          <w:rFonts w:ascii="Arial" w:cs="Arial" w:eastAsia="Arial" w:hAnsi="Arial"/>
          <w:sz w:val="12"/>
          <w:szCs w:val="12"/>
          <w:b w:val="1"/>
          <w:bCs w:val="1"/>
          <w:color w:val="auto"/>
        </w:rPr>
        <w:t>ERM</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2.1. Acceptance and Lease of the Leased Property</w:t>
      </w:r>
      <w:r>
        <w:rPr>
          <w:rFonts w:ascii="Arial" w:cs="Arial" w:eastAsia="Arial" w:hAnsi="Arial"/>
          <w:sz w:val="18"/>
          <w:szCs w:val="18"/>
          <w:color w:val="auto"/>
        </w:rPr>
        <w:t>. (a) Lessor, pursuant to the terms of the Operative Documents as in effect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Closing Date, has purchased the Site and the Facility from Sellers.</w:t>
      </w:r>
    </w:p>
    <w:p>
      <w:pPr>
        <w:spacing w:after="0" w:line="170" w:lineRule="exact"/>
        <w:rPr>
          <w:sz w:val="20"/>
          <w:szCs w:val="20"/>
          <w:color w:val="auto"/>
        </w:rPr>
      </w:pPr>
    </w:p>
    <w:p>
      <w:pPr>
        <w:jc w:val="both"/>
        <w:ind w:firstLine="656"/>
        <w:spacing w:after="0" w:line="259" w:lineRule="auto"/>
        <w:tabs>
          <w:tab w:leader="none" w:pos="11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Pursuant to the Previously Existing Lease, Lessor leased all of Lessor’s interest in the Leased Property to Lessee, and Lessee leased, pursuant to the terms thereof, the Leased Property from Lessor for the Term (as defined in the Previously Existing Lease). Lessor hereby continues to lease all of Lessor’s interest in the Leased Property to Lessee hereunder, and Lessee hereby continues to lease, pursuant to the terms hereof, the Leased Property from Lessor for the Term.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2.2. Acceptance Procedure</w:t>
      </w:r>
      <w:r>
        <w:rPr>
          <w:rFonts w:ascii="Arial" w:cs="Arial" w:eastAsia="Arial" w:hAnsi="Arial"/>
          <w:sz w:val="18"/>
          <w:szCs w:val="18"/>
          <w:color w:val="auto"/>
        </w:rPr>
        <w:t>. Pursuant to the Previously Existing Lease, Lessor authorized Lessee, as the authorized representative of</w:t>
      </w:r>
      <w:r>
        <w:rPr>
          <w:rFonts w:ascii="Arial" w:cs="Arial" w:eastAsia="Arial" w:hAnsi="Arial"/>
          <w:sz w:val="18"/>
          <w:szCs w:val="18"/>
          <w:i w:val="1"/>
          <w:iCs w:val="1"/>
          <w:color w:val="auto"/>
        </w:rPr>
        <w:t xml:space="preserve"> </w:t>
      </w:r>
      <w:r>
        <w:rPr>
          <w:rFonts w:ascii="Arial" w:cs="Arial" w:eastAsia="Arial" w:hAnsi="Arial"/>
          <w:sz w:val="18"/>
          <w:szCs w:val="18"/>
          <w:color w:val="auto"/>
        </w:rPr>
        <w:t>Lessor, to accept delivery of the Leased Property upon the Base Term Commencement Date. Lessee agrees that Sellers’ delivery of the Site and the Facility and payment from the Advance of the Purchase Price constituted, and shall continue to constitute, (i) the irrevocable acceptance by Lessee of the Leased Property for all purposes of this Lease and the other Operative Documents on the terms set forth herein and therein and (ii) Lessee’s agreement to lease the Leased Property pursuant to the terms hereof during the Term.</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Section 2.3. Term</w:t>
      </w:r>
      <w:r>
        <w:rPr>
          <w:rFonts w:ascii="Arial" w:cs="Arial" w:eastAsia="Arial" w:hAnsi="Arial"/>
          <w:sz w:val="18"/>
          <w:szCs w:val="18"/>
          <w:color w:val="auto"/>
        </w:rPr>
        <w:t>. Lessor and Lessee acknowledge and agree that the Base Term as defined in and provided for in the Previously Existing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has been and is hereby renewed, effective as of the Restatement Date, for a renewal term (the </w:t>
      </w:r>
      <w:r>
        <w:rPr>
          <w:rFonts w:ascii="Arial" w:cs="Arial" w:eastAsia="Arial" w:hAnsi="Arial"/>
          <w:sz w:val="18"/>
          <w:szCs w:val="18"/>
          <w:i w:val="1"/>
          <w:iCs w:val="1"/>
          <w:color w:val="auto"/>
        </w:rPr>
        <w:t>“First Renewal Term”</w:t>
      </w:r>
      <w:r>
        <w:rPr>
          <w:rFonts w:ascii="Arial" w:cs="Arial" w:eastAsia="Arial" w:hAnsi="Arial"/>
          <w:sz w:val="18"/>
          <w:szCs w:val="18"/>
          <w:color w:val="auto"/>
        </w:rPr>
        <w:t xml:space="preserve">) commencing on and including the Restatement Date and ending on, but not including, the fifth (5th) anniversary of the Restatement Date unless sooner terminated pursuant to the terms of this Lease. Unless sooner terminated pursuant to the terms of this Lease, the term of this Lease shall include (i) the Base Term (under and as defined in the Previously Existing Lease) expiring on, but not including, the Restatement Date (the </w:t>
      </w:r>
      <w:r>
        <w:rPr>
          <w:rFonts w:ascii="Arial" w:cs="Arial" w:eastAsia="Arial" w:hAnsi="Arial"/>
          <w:sz w:val="18"/>
          <w:szCs w:val="18"/>
          <w:i w:val="1"/>
          <w:iCs w:val="1"/>
          <w:color w:val="auto"/>
        </w:rPr>
        <w:t>“Base Term”</w:t>
      </w:r>
      <w:r>
        <w:rPr>
          <w:rFonts w:ascii="Arial" w:cs="Arial" w:eastAsia="Arial" w:hAnsi="Arial"/>
          <w:sz w:val="18"/>
          <w:szCs w:val="18"/>
          <w:color w:val="auto"/>
        </w:rPr>
        <w:t xml:space="preserve">), (ii) the First Renewal Term, and, (ii) if exercised and approved pursuant to each of the terms and conditions of Section 4.7 of the Participation Agreement and the terms of this Lease (including Article XIX hereof), one or more additional Lease Renewal Terms (the Base Term, the First Renewal Term and any additional Lease Renewal Terms being collectively referred to as, the </w:t>
      </w:r>
      <w:r>
        <w:rPr>
          <w:rFonts w:ascii="Arial" w:cs="Arial" w:eastAsia="Arial" w:hAnsi="Arial"/>
          <w:sz w:val="18"/>
          <w:szCs w:val="18"/>
          <w:i w:val="1"/>
          <w:iCs w:val="1"/>
          <w:color w:val="auto"/>
        </w:rPr>
        <w:t>“Term”</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648"/>
        <w:spacing w:after="0" w:line="301" w:lineRule="auto"/>
        <w:rPr>
          <w:sz w:val="20"/>
          <w:szCs w:val="20"/>
          <w:color w:val="auto"/>
        </w:rPr>
      </w:pPr>
      <w:r>
        <w:rPr>
          <w:rFonts w:ascii="Arial" w:cs="Arial" w:eastAsia="Arial" w:hAnsi="Arial"/>
          <w:sz w:val="16"/>
          <w:szCs w:val="16"/>
          <w:i w:val="1"/>
          <w:iCs w:val="1"/>
          <w:color w:val="auto"/>
        </w:rPr>
        <w:t>Section 2.4. Title</w:t>
      </w:r>
      <w:r>
        <w:rPr>
          <w:rFonts w:ascii="Arial" w:cs="Arial" w:eastAsia="Arial" w:hAnsi="Arial"/>
          <w:sz w:val="16"/>
          <w:szCs w:val="16"/>
          <w:color w:val="auto"/>
        </w:rPr>
        <w:t>. The Leased Property is leased to the Lessee without any representation or warranty, express or implied, by Lessor and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rights of parties in possession, the existing state of title with respect thereto (including, without limitation, all Liens other than Lessor Liens) and all Applicable Laws and any violations thereof. The Lessee shall in no event have any recourse against Lessor for any defect in or exception to title to the Leased Property other than resulting from Lessor Liens attributable to Lessor or a breach by Lessor of its obligations under Article XXI hereto.</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AYMENT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3.1. Rent</w:t>
      </w:r>
      <w:r>
        <w:rPr>
          <w:rFonts w:ascii="Arial" w:cs="Arial" w:eastAsia="Arial" w:hAnsi="Arial"/>
          <w:sz w:val="18"/>
          <w:szCs w:val="18"/>
          <w:color w:val="auto"/>
        </w:rPr>
        <w:t>. (a) During the Term, the Lessee shall pay Basic Rent (i) on each Payment Date, (ii) on the date required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20.1(j) if the Lessee exercises the Sale Option and (iii) on any date on which this Lease shall terminate or expire with respect to the Leased Property.</w:t>
      </w:r>
    </w:p>
    <w:p>
      <w:pPr>
        <w:spacing w:after="0" w:line="184" w:lineRule="exact"/>
        <w:rPr>
          <w:sz w:val="20"/>
          <w:szCs w:val="20"/>
          <w:color w:val="auto"/>
        </w:rPr>
      </w:pPr>
    </w:p>
    <w:p>
      <w:pPr>
        <w:jc w:val="both"/>
        <w:ind w:firstLine="656"/>
        <w:spacing w:after="0" w:line="263" w:lineRule="auto"/>
        <w:tabs>
          <w:tab w:leader="none" w:pos="11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Lessee’s inability or failure to take possession of all or any portion of the Leased Property when accepted or deemed accepted hereunder, whether or not attributable to any act or omission of the Lessee or any act or omission of Lessor, shall not delay or otherwise affect the Lessee’s obligation to pay Rent in accordance with the terms of this Lease.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3.2. Payment of Basic Rent</w:t>
      </w:r>
      <w:r>
        <w:rPr>
          <w:rFonts w:ascii="Arial" w:cs="Arial" w:eastAsia="Arial" w:hAnsi="Arial"/>
          <w:sz w:val="18"/>
          <w:szCs w:val="18"/>
          <w:color w:val="auto"/>
        </w:rPr>
        <w:t>. Basic Rent shall be paid absolutely net to Lessor, so that this Lease shall yield to Lessor the full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without setoff, deduction or reduction.</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Section 3.3. Supplemental Rent</w:t>
      </w:r>
      <w:r>
        <w:rPr>
          <w:rFonts w:ascii="Arial" w:cs="Arial" w:eastAsia="Arial" w:hAnsi="Arial"/>
          <w:sz w:val="17"/>
          <w:szCs w:val="17"/>
          <w:color w:val="auto"/>
        </w:rPr>
        <w:t>. The Lessee shall pay to Lessor or the Person entitled thereto any and all Supplemental Rent promptly as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same shall become due and payable, and if the Lessee fails to pay any Supplemental Rent, Lessor shall have all rights, powers and remedies provided for herein or by law or equity or otherwise in the case of nonpayment of Basic 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Supplemental Rent (other than Supplemental Rent consisting of any of the Lease Balance, the Sale Option Recourse Amount, the Purchase Amount, Break Costs and any amounts payable at the Overdue Rate and any amounts payable under Article XIII of the Participation Agreement) shall not be deemed due and payable by Lessee to the Person entitled thereto unless such amount is not paid within thirty (30) days after Lessee has received written notice of such Supplemental Rent from the Person entitled thereto. Lessee shall pay to Lessor, as Supplemental Rent, among other things, on demand, to the extent permitted by Applicable Laws, interest at the applicable Overdue Rate (i) on any installment of Basic Rent not paid when due for the period for which the same shall be overdue and (ii) on any payment of Supplemental Rent payable to Lessor or any Indemnitee not paid when due and payable as provided above for the period from the due date until the same shall be paid. The expiration or other termination of the Lessee’s obligations to pay Basic Rent hereunder shall not limit or modify the obligations of the Lessee with respect to Supplemental Rent. Unless expressly provided otherwise in this Lease, in the event of any failure on the part of the Lessee to pay and discharge any Supplemental Rent as and when due, the Lessee shall also promptly pay and discharge any fine, penalty, interest or cost which may be assessed or added under any agreement with a third party for nonpayment or late payment of such Supplemental Rent, all of which shall also constitute Supplemental Rent.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firstLine="648"/>
        <w:spacing w:after="0" w:line="271" w:lineRule="auto"/>
        <w:rPr>
          <w:sz w:val="20"/>
          <w:szCs w:val="20"/>
          <w:color w:val="auto"/>
        </w:rPr>
      </w:pPr>
      <w:r>
        <w:rPr>
          <w:rFonts w:ascii="Arial" w:cs="Arial" w:eastAsia="Arial" w:hAnsi="Arial"/>
          <w:sz w:val="17"/>
          <w:szCs w:val="17"/>
          <w:i w:val="1"/>
          <w:iCs w:val="1"/>
          <w:color w:val="auto"/>
        </w:rPr>
        <w:t>Section 3.4. Method of Payment</w:t>
      </w:r>
      <w:r>
        <w:rPr>
          <w:rFonts w:ascii="Arial" w:cs="Arial" w:eastAsia="Arial" w:hAnsi="Arial"/>
          <w:sz w:val="17"/>
          <w:szCs w:val="17"/>
          <w:color w:val="auto"/>
        </w:rPr>
        <w:t>. Each payment of Rent shall be made by the Lessee to the Administrative Agent prior to 12:00 noon, New York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City time, to the account at the Administrative Agent designated on Schedule III to the Participation Agreement in funds consisting of lawful currency of the United States of America which shall be immediately available on the scheduled date when such payment shall be due, unless such scheduled date shall not be a Business Day, in which case such payment shall be made on the next succeeding Business Day unless the result of such extension would be to carry into another calendar month, in which case such payment shall be made on the immediately preceding Business Day. Payments received after 12:00 noon, New York City time, on the date due shall for the purpose of Section 16.1 hereof be deemed received on such day;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the purposes of the second sentence of Section 3.3 hereof, such payments shall be deemed received on the next succeeding Business Day and subject to interest at the Overdue Rate as provided in such Section 3.3.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w:t>
      </w:r>
      <w:r>
        <w:rPr>
          <w:rFonts w:ascii="Arial" w:cs="Arial" w:eastAsia="Arial" w:hAnsi="Arial"/>
          <w:sz w:val="18"/>
          <w:szCs w:val="18"/>
          <w:b w:val="1"/>
          <w:bCs w:val="1"/>
          <w:color w:val="auto"/>
        </w:rPr>
        <w:t>-I</w:t>
      </w:r>
      <w:r>
        <w:rPr>
          <w:rFonts w:ascii="Arial" w:cs="Arial" w:eastAsia="Arial" w:hAnsi="Arial"/>
          <w:sz w:val="12"/>
          <w:szCs w:val="12"/>
          <w:b w:val="1"/>
          <w:bCs w:val="1"/>
          <w:color w:val="auto"/>
        </w:rPr>
        <w:t>NTERFERENCE</w:t>
      </w:r>
      <w:r>
        <w:rPr>
          <w:rFonts w:ascii="Arial" w:cs="Arial" w:eastAsia="Arial" w:hAnsi="Arial"/>
          <w:sz w:val="18"/>
          <w:szCs w:val="18"/>
          <w:b w:val="1"/>
          <w:bCs w:val="1"/>
          <w:color w:val="auto"/>
        </w:rPr>
        <w:t>; R</w:t>
      </w:r>
      <w:r>
        <w:rPr>
          <w:rFonts w:ascii="Arial" w:cs="Arial" w:eastAsia="Arial" w:hAnsi="Arial"/>
          <w:sz w:val="12"/>
          <w:szCs w:val="12"/>
          <w:b w:val="1"/>
          <w:bCs w:val="1"/>
          <w:color w:val="auto"/>
        </w:rPr>
        <w:t>IGHT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NSPECT</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Section 4.1. Non-Interference</w:t>
      </w:r>
      <w:r>
        <w:rPr>
          <w:rFonts w:ascii="Arial" w:cs="Arial" w:eastAsia="Arial" w:hAnsi="Arial"/>
          <w:sz w:val="16"/>
          <w:szCs w:val="16"/>
          <w:color w:val="auto"/>
        </w:rPr>
        <w:t>. Subject to Section 2.4 and Section 4.2 herein and subject to Lessor’s cure rights, as provided for in Section 17.1,</w:t>
      </w:r>
      <w:r>
        <w:rPr>
          <w:rFonts w:ascii="Arial" w:cs="Arial" w:eastAsia="Arial" w:hAnsi="Arial"/>
          <w:sz w:val="16"/>
          <w:szCs w:val="16"/>
          <w:i w:val="1"/>
          <w:iCs w:val="1"/>
          <w:color w:val="auto"/>
        </w:rPr>
        <w:t xml:space="preserve"> </w:t>
      </w:r>
      <w:r>
        <w:rPr>
          <w:rFonts w:ascii="Arial" w:cs="Arial" w:eastAsia="Arial" w:hAnsi="Arial"/>
          <w:sz w:val="16"/>
          <w:szCs w:val="16"/>
          <w:color w:val="auto"/>
        </w:rPr>
        <w:t>Lessor covenants that it will not interfere in Lessee’s use or possession of the Leased Property during the Term, so long as no Event of Default has occurred and is continuing, it being agreed that Lessee shall not have a right of setoff against Rent payable hereunder and Lessee’s remedies for breach of the foregoing covenant shall be limited to a claim for damages or the commencement of proceedings to enjoin such breach or seek specific performance of the covenant, as applicable. Such right is independent of and shall not affect Lessee’s obligations hereunder and under the other Operative Documents or Lessor’s rights otherwise to initiate legal action to enforce the obligations of Lessee under this Lease. The foregoing covenant shall not require Lessor to take any action contrary to, or which would permit Lessee to use the Leased Property for a use not permitted under, the provisions of this Lease.</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Section 4.2. Inspection and Reports</w:t>
      </w:r>
      <w:r>
        <w:rPr>
          <w:rFonts w:ascii="Arial" w:cs="Arial" w:eastAsia="Arial" w:hAnsi="Arial"/>
          <w:sz w:val="16"/>
          <w:szCs w:val="16"/>
          <w:color w:val="auto"/>
        </w:rPr>
        <w:t>. (a) Upon three (3) Business Days prior notice (or one (1) Business Day prior notice during the existence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Event of Default) to Lessee and subject to the provisions of Section 15.14 of the Participation Agreement, Lessor, the Administrative Agent or their respective authorized representatives (collectively, the </w:t>
      </w:r>
      <w:r>
        <w:rPr>
          <w:rFonts w:ascii="Arial" w:cs="Arial" w:eastAsia="Arial" w:hAnsi="Arial"/>
          <w:sz w:val="16"/>
          <w:szCs w:val="16"/>
          <w:i w:val="1"/>
          <w:iCs w:val="1"/>
          <w:color w:val="auto"/>
        </w:rPr>
        <w:t>“Inspecting Parties”</w:t>
      </w:r>
      <w:r>
        <w:rPr>
          <w:rFonts w:ascii="Arial" w:cs="Arial" w:eastAsia="Arial" w:hAnsi="Arial"/>
          <w:sz w:val="16"/>
          <w:szCs w:val="16"/>
          <w:color w:val="auto"/>
        </w:rPr>
        <w:t>) at any time during the Term may inspect (i) the Leased Property and (ii) the Leased Property Records and make copies and abstracts therefrom and may discuss the affairs, finances and accounts with respect to the Leased Property with Lessee’s authorized representatives and Lessee’s independent public accountants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Lessee is afforded the opportunity to participate in such discussion). All such inspections shall (w) be subject to the rights of all tenants and other occupants at the Leased Property, (x) be performed during Lessee’s normal business hours, (y) be subject to Lessee’s customary safety and security provisions and any reasonable rules of inspection conduct Lessee may establish from time to time, and (z) be at the expense and risk of the Inspecting Parties, except that if an Event of Default has occurred and is continuing, Lessee shall reimburse on demand the Inspecting Parties for the reasonable and documented out-of-pocket costs of such inspections. Lessee shall have the right, at its option, to cause a representative or agent of Lessee to be present at any and all time during each such inspection. No inspection shall unreasonably interfere with Lessee’s or any tenant’s or occupant’s business or operations or otherwise unreasonably disturb the use or occupancy of the Leased Property by the Lessee or any tenants or other occupants of the Leased Property. None of the Inspecting Parties shall have any duty to make any such inspection or inquiry. None of the Inspecting Parties shall incur any liability or obligation by reason of making any such inspection or inquiry unless and to the extent such Inspecting Party causes damage to the Leased Property or any property of Lessee or any other Person during the course of such inspection. Notwithstanding anything to the contrary in this Section 4.2, Lessee will not be required to disclose, permit the inspection, examination or making of extracts, or discussion of, any documents, information or other matter that (1) constitutes non-financial trade secrets or non-financial proprietary information, (2) in respect of which disclosure to the applicable Inspecting Party (or any designated representative) is then prohibited by law, rule or regulation or any agreement binding on the Parent Guarantor, Lessee or any of their respective Subsidiaries or (3) is subject to attorney client or similar privilege or constitutes attorney work product.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jc w:val="both"/>
        <w:ind w:firstLine="656"/>
        <w:spacing w:after="0" w:line="301" w:lineRule="auto"/>
        <w:tabs>
          <w:tab w:leader="none" w:pos="110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the extent permissible under Applicable Laws, during the Term, Lessee shall prepare and file, or cause to be prepared and filed, in a timely fashion, or, where Lessor shall be required to file, Lessee shall prepare, or cause to be prepared, and make available to Lessor within a reasonable time prior to the date for filing and Lessor shall file, any reports with respect to the condition or operation of the Leased Property that shall be required to be filed with any Governmental Authority pursuant to any Applicable Laws, in each case, such preparation and filing at Lessee’s cost and expense.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ET</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Section 5.1. Net Lease</w:t>
      </w:r>
      <w:r>
        <w:rPr>
          <w:rFonts w:ascii="Arial" w:cs="Arial" w:eastAsia="Arial" w:hAnsi="Arial"/>
          <w:sz w:val="16"/>
          <w:szCs w:val="16"/>
          <w:color w:val="auto"/>
        </w:rPr>
        <w:t>. This Lease shall constitute a net lease and Lessee’s obligations hereunder, including the obligation to pay Rent,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and unconditional under any and all circumstances, subject to Lessee’s rights to contest amounts (other than Basic Rent, the Lease Balance, the Sale Option Recourse Amount or the Purchase Amount) owed. Any present or future law to the contrary notwithstanding, this Lease shall not terminate, nor shall the Lessee be entitled to any abatement, suspension, deferment, reduction, setoff, counterclaim, or defense with respect to the Rent, nor shall the obligations of the Lessee hereunder be affected (except as expressly herein permitted and by performance of the obligations in connection herewith) by reason of: (i) any defect in the condition, merchantability, design, construction, quality or fitness for use of the Leased Property or any part thereof, or the failure of the Leased Property or any part thereof to comply with all Applicable Laws, including any inability to use the Leased Property or any part thereof by reason of such non-compliance; (ii) any damage to, removal, abandonment, salvage, loss, contamination of, Release from, or other environmental condition with respect to, scrapping or destruction of or any requisition or taking of the Leased Property or any part thereof; (iii) any restriction, prevention or curtailment of or interference with any use of the Leased Property or any part thereof; (iv) any defect in title to or rights to the Leased Property or any part thereof or any Lien on such title or rights or on the Leased Property or any part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relieve any Person from its responsibility to remove Lessor Liens attributable to it); (v) any change, waiver, extension, indulgence or other action or omission or breach in respect of any obligation or liability of or by Lessor, Administrative Agent or any Participant; (vi) to the fullest extent permitted by Applicable Laws, any bankruptcy, insolvency, reorganization, composition, adjustment, dissolution, liquidation or other like proceedings relating to Lessee, Lessor, the Administrative Agent, any Participant or any other Person, or any action taken with respect to this Lease by any trustee or receiver of the Lessee, Lessor, the Administrative Agent, any Participant or any other Person, or by any court, in any such proceeding; (vii) any claim that the Lessee has or might have against any Person, including without limitation any Participant, vendor, manufacturer, contractor of or for the Leased Property or any part thereof; (viii) any failure on the part of Lessor, the Administrative Agent or any Participant to perform or comply with any of the terms of this Lease or any other Operative Document or of any other agreement; (ix) any invalidity or unenforceability or illegality or disaffirmance of this Lease against or by the Lessee or any provision hereof or any of the other Operative Documents or any provision of any thereof; (x) the impossibility or illegality of performance by Lessee, Lessor or both; (xi) any action by any court, administrative agency or other Governmental Authority; (xii) any restriction, prevention or curtailment of or interference with the use of the Leased Property or any part thereof; (xiii) the failure of Lessee or any of its Subsidiaries to achieve any accounting or tax benefits; or (xiv) any other cause or circumstances whether similar or dissimilar to the foregoing and whether or not the Lessee shall have notice or knowledge of any of the foregoing. The Lessee’s agreement in the preceding sentence shall not affect any claim, action or right the Lessee may have against any Person. The parties intend that the obligations of the Lessee hereunder shall be covenants and agreements that are separate and independent from any obligations of Lessor hereunder or under any other Operative Documents and the obligations of the Lessee shall continue unaffected unless such obligations shall have been modified or terminated in accordance with an express provision of this Lease.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Section 5.2. No Termination or Abatement</w:t>
      </w:r>
      <w:r>
        <w:rPr>
          <w:rFonts w:ascii="Arial" w:cs="Arial" w:eastAsia="Arial" w:hAnsi="Arial"/>
          <w:sz w:val="16"/>
          <w:szCs w:val="16"/>
          <w:color w:val="auto"/>
        </w:rPr>
        <w:t>. The Lessee shall remain obligated under this Lease in accordance with its terms and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other Operative Documents to which Lessee or an Affiliate of Lessee is a party and shall not take any action to terminate, rescind or avoid this Lease (except as provided herein or in the other Operative Documents) to the fullest extent permitted by Applicable Laws, notwithstanding any action for bankruptcy, insolvency, reorganization, liquidation, dissolution, or other proceeding affecting Lessor, the Administrative Agent or any Participant, or any action with respect to this Lease which may be taken by any trustee, receiver or liquidator of Lessor, the Administrative Agent or any Participant or by any court with respect to Lessor, the Administrative Agent or any Participant. The Lessee hereby waives all right to terminate or surrender this Lease (except as provided herein or in the other Operative Documents) or to avail itself of any abatement, suspension, deferment, reduction, setoff, counterclaim or defense with respect to any Rent payable to any Participant or the Administrative Agent. The Lessee shall remain obligated under this Lease in accordance with its terms and the terms of the other Operative Documents to which Lessee or an Affiliate of Lessee is a party and the Lessee hereby waives any and all rights conferred as of the Restatement Date or thereafter by statute or otherwise to modify or to avoid strict compliance with its obligations under this Lease. Notwithstanding any such statute or otherwise, the Lessee shall be bound by all of the terms and conditions contained in this Lease.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SSIGNMENTS</w:t>
      </w:r>
      <w:r>
        <w:rPr>
          <w:rFonts w:ascii="Arial" w:cs="Arial" w:eastAsia="Arial" w:hAnsi="Arial"/>
          <w:sz w:val="18"/>
          <w:szCs w:val="18"/>
          <w:b w:val="1"/>
          <w:bCs w:val="1"/>
          <w:color w:val="auto"/>
        </w:rPr>
        <w:t>; S</w:t>
      </w:r>
      <w:r>
        <w:rPr>
          <w:rFonts w:ascii="Arial" w:cs="Arial" w:eastAsia="Arial" w:hAnsi="Arial"/>
          <w:sz w:val="12"/>
          <w:szCs w:val="12"/>
          <w:b w:val="1"/>
          <w:bCs w:val="1"/>
          <w:color w:val="auto"/>
        </w:rPr>
        <w:t>UBLEASES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ELEGATIONS</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Except for assignments and subleases permitted by this Article VI and Permitted Liens, Lessee may not sublease, assign, mortgage, pledge or otherwise transfer to any Person, including an Affiliate or Subsidiary of Lessee, at any time, in whole or in part, any of its right, title or interest in, to or under this Lease, any other Operative Document or any portion of the Leased Property (except a purchase or sale of the Leased Property as permitted in Articles XVIII and XIX herein), in any case without the prior written consent of Lessor and the Participants and any such sublease, assignment, mortgage, pledge or transfer made without such consent shall be void. Notwithstanding the foregoing, Lessee may, without the consent of Lessor, the Administrative Agent or any of the Participants, (A) assign all of its rights in the Operative Documents to Parent Guarantor or any Domestic Subsidiary of Parent Guarantor (an </w:t>
      </w:r>
      <w:r>
        <w:rPr>
          <w:rFonts w:ascii="Arial" w:cs="Arial" w:eastAsia="Arial" w:hAnsi="Arial"/>
          <w:sz w:val="16"/>
          <w:szCs w:val="16"/>
          <w:i w:val="1"/>
          <w:iCs w:val="1"/>
          <w:color w:val="auto"/>
        </w:rPr>
        <w:t>“Affiliate Transferee”</w:t>
      </w:r>
      <w:r>
        <w:rPr>
          <w:rFonts w:ascii="Arial" w:cs="Arial" w:eastAsia="Arial" w:hAnsi="Arial"/>
          <w:sz w:val="16"/>
          <w:szCs w:val="16"/>
          <w:color w:val="auto"/>
        </w:rPr>
        <w:t xml:space="preserve">) (subject to applicable know your customer rules) so long as (i) no Event of Default has occurred and is then continuing or shall occur immediately after giving effect thereto, (ii) the current Lessee provides a joinder to the Guaranty (in the form attached thereto) of the obligations of such Affiliate Transferee (if other than the Parent Guarantor) under the Operative Documents, and the Guaranty otherwise remains in full force and effect (including the representations, warranties and covenants of the Parent Guarantor), and (iii) such Affiliate Transferee is not subject to any bankruptcy or insolvency proceedings at the time of such assignment, and (B) the Lessee may, so long as no Event of Default exists and is continuing, enter into subleases with any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 such Person shall not then be subject to any proceedings for relief under any bankruptcy or insolvency law or laws relating to the relief of debtors; (ii) no Event of Default shall then exist; (iii) the Guaranty shall remain in full force and effect; (iv) such sublease shall not discharge or diminish any of Lessee’s obligations to Lessor hereunder or to any other Person under any other Operative Document, it being understood that Lessee shall remain directly and primarily liable under this Lease with respect to all of the Leased Property; (v) solely with respect to subleases to any Subsidiary or Affiliate of Lessee, such sublease shall not extend beyond the last day of the Term; (vi) such sublease entered into after the Original Closing Date shall be made and shall expressly provide that it is subject and subordinate to this Lease and the rights of Lessor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connection with any such sublease to a Person other than an Affiliate or Subsidiary of Lessee, and as a condition to the foregoing subordination, the sublessee shall benefit from customary non-disturbance protections, including that such sublessee not be disturbed in its occupancy of the subleased premises, and Lessor shall, at Lessee’s sole cost and expense, enter into a subordination, non-disturbance and attornment agreement in form and substance as set forth in Exhibit C attached hereto or that is otherwise reasonably satisfactory to Lessor and Lessee to confirm the foregoing (it being understood that any such subordination, non-disturbance and attornment agreement that was in effect immediately prior to the Restatement Date pursuant to the Previously Existing Lease shall not be required to be re-executed or modified in connection with the restatement of the Previously Existing Lease on the Restatement Date); (vii) such sublease contains market terms and conditions and permits a use that is consistent with existing use of the Leased Property; and (viii) any such sublease to any Person who is not either an Affiliate or Subsidiary of Lessee, when aggregated with all other subleases to Persons who are not either Affiliates or Subsidiaries of Lessee, shall not exceed thirty percent (30%) of the square footage of the gross leaseable area of the Leased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the foregoing threshold, the Home Depot Ground Lease shall not be taken into account.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ind w:left="660"/>
        <w:spacing w:after="0"/>
        <w:rPr>
          <w:sz w:val="20"/>
          <w:szCs w:val="20"/>
          <w:color w:val="auto"/>
        </w:rPr>
      </w:pPr>
      <w:r>
        <w:rPr>
          <w:rFonts w:ascii="Arial" w:cs="Arial" w:eastAsia="Arial" w:hAnsi="Arial"/>
          <w:sz w:val="17"/>
          <w:szCs w:val="17"/>
          <w:color w:val="auto"/>
        </w:rPr>
        <w:t>Lessee shall give Lessor prompt written notice of any assignment or sublease permitted under this Article VI, and Lessee shall, within fifteen</w:t>
      </w:r>
    </w:p>
    <w:p>
      <w:pPr>
        <w:spacing w:after="0" w:line="35" w:lineRule="exact"/>
        <w:rPr>
          <w:sz w:val="20"/>
          <w:szCs w:val="20"/>
          <w:color w:val="auto"/>
        </w:rPr>
      </w:pPr>
    </w:p>
    <w:p>
      <w:pPr>
        <w:jc w:val="both"/>
        <w:ind w:firstLine="8"/>
        <w:spacing w:after="0" w:line="253" w:lineRule="auto"/>
        <w:tabs>
          <w:tab w:leader="none" w:pos="3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days after execution of any such assignment or sublease, deliver to the Administrative Agent a fully executed copy of such assignment or sublease and a certificate regarding compliance with the foregoing conditions. Lessee shall perform, at its sole cost and expense, any and all obligations with respect to each lease or sublease, as the case may be, for any portion of the Leased Property, whether such lease or sublease was in effect as of the Original Closing Date, is in effect as of the Restatement Date or is entered into thereafter.</w:t>
      </w:r>
    </w:p>
    <w:p>
      <w:pPr>
        <w:spacing w:after="0" w:line="19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Notwithstanding any provision of this Lease or any of the other Operative Documents to the contrary, Lessee may, without the consent to Lessor, the Administrative Agent or any of the Participants, amend, restate, modify, supplement, extend, terminate or waive the terms of any sublease subject to the requirements of this Article VI.</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Unless an Event of Default has occurred and is continuing and Lessee receives written notice from Lessor or the Administrative Agent directing Lessee to pay to Administrative Agent any rents, issues, revenues, profits or other income (including all deposits of money as advanced rent or for security) received by Lessee under any sublease, Lessee shall have the right to retain, use and enjoy such rents, issues, revenues, profits and other income, and upon the cure of any such Event of Default, Lessee shall resume the right to receive, retain, use and enjoy such rents, issues, revenues, profits and other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ESSEE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CKNOWLEDGMENTS</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2"/>
          <w:szCs w:val="12"/>
          <w:i w:val="1"/>
          <w:iCs w:val="1"/>
          <w:color w:val="auto"/>
        </w:rPr>
        <w:t>ECTION</w:t>
      </w:r>
      <w:r>
        <w:rPr>
          <w:rFonts w:ascii="Arial" w:cs="Arial" w:eastAsia="Arial" w:hAnsi="Arial"/>
          <w:sz w:val="18"/>
          <w:szCs w:val="18"/>
          <w:i w:val="1"/>
          <w:iCs w:val="1"/>
          <w:color w:val="auto"/>
        </w:rPr>
        <w:t xml:space="preserve"> 7.1. C</w:t>
      </w:r>
      <w:r>
        <w:rPr>
          <w:rFonts w:ascii="Arial" w:cs="Arial" w:eastAsia="Arial" w:hAnsi="Arial"/>
          <w:sz w:val="12"/>
          <w:szCs w:val="12"/>
          <w:i w:val="1"/>
          <w:iCs w:val="1"/>
          <w:color w:val="auto"/>
        </w:rPr>
        <w:t>ONDITION OF THE</w:t>
      </w:r>
      <w:r>
        <w:rPr>
          <w:rFonts w:ascii="Arial" w:cs="Arial" w:eastAsia="Arial" w:hAnsi="Arial"/>
          <w:sz w:val="18"/>
          <w:szCs w:val="18"/>
          <w:i w:val="1"/>
          <w:iCs w:val="1"/>
          <w:color w:val="auto"/>
        </w:rPr>
        <w:t xml:space="preserve"> L</w:t>
      </w:r>
      <w:r>
        <w:rPr>
          <w:rFonts w:ascii="Arial" w:cs="Arial" w:eastAsia="Arial" w:hAnsi="Arial"/>
          <w:sz w:val="12"/>
          <w:szCs w:val="12"/>
          <w:i w:val="1"/>
          <w:iCs w:val="1"/>
          <w:color w:val="auto"/>
        </w:rPr>
        <w:t>EASED</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ROPERTY</w:t>
      </w:r>
      <w:r>
        <w:rPr>
          <w:rFonts w:ascii="Arial" w:cs="Arial" w:eastAsia="Arial" w:hAnsi="Arial"/>
          <w:sz w:val="18"/>
          <w:szCs w:val="18"/>
          <w:color w:val="auto"/>
        </w:rPr>
        <w:t>. T</w:t>
      </w:r>
      <w:r>
        <w:rPr>
          <w:rFonts w:ascii="Arial" w:cs="Arial" w:eastAsia="Arial" w:hAnsi="Arial"/>
          <w:sz w:val="12"/>
          <w:szCs w:val="12"/>
          <w:color w:val="auto"/>
        </w:rPr>
        <w:t>HE</w:t>
      </w:r>
      <w:r>
        <w:rPr>
          <w:rFonts w:ascii="Arial" w:cs="Arial" w:eastAsia="Arial" w:hAnsi="Arial"/>
          <w:sz w:val="18"/>
          <w:szCs w:val="18"/>
          <w:i w:val="1"/>
          <w:iCs w:val="1"/>
          <w:color w:val="auto"/>
        </w:rPr>
        <w:t xml:space="preserve"> </w:t>
      </w:r>
      <w:r>
        <w:rPr>
          <w:rFonts w:ascii="Arial" w:cs="Arial" w:eastAsia="Arial" w:hAnsi="Arial"/>
          <w:sz w:val="18"/>
          <w:szCs w:val="18"/>
          <w:color w:val="auto"/>
        </w:rPr>
        <w:t>L</w:t>
      </w:r>
      <w:r>
        <w:rPr>
          <w:rFonts w:ascii="Arial" w:cs="Arial" w:eastAsia="Arial" w:hAnsi="Arial"/>
          <w:sz w:val="12"/>
          <w:szCs w:val="12"/>
          <w:color w:val="auto"/>
        </w:rPr>
        <w:t>ESSEE ACKNOWLEDGES AND AGREES THAT ALTHOUGH</w:t>
      </w:r>
      <w:r>
        <w:rPr>
          <w:rFonts w:ascii="Arial" w:cs="Arial" w:eastAsia="Arial" w:hAnsi="Arial"/>
          <w:sz w:val="18"/>
          <w:szCs w:val="18"/>
          <w:i w:val="1"/>
          <w:iCs w:val="1"/>
          <w:color w:val="auto"/>
        </w:rPr>
        <w:t xml:space="preserve"> </w:t>
      </w:r>
      <w:r>
        <w:rPr>
          <w:rFonts w:ascii="Arial" w:cs="Arial" w:eastAsia="Arial" w:hAnsi="Arial"/>
          <w:sz w:val="18"/>
          <w:szCs w:val="18"/>
          <w:color w:val="auto"/>
        </w:rPr>
        <w:t>L</w:t>
      </w:r>
      <w:r>
        <w:rPr>
          <w:rFonts w:ascii="Arial" w:cs="Arial" w:eastAsia="Arial" w:hAnsi="Arial"/>
          <w:sz w:val="12"/>
          <w:szCs w:val="12"/>
          <w:color w:val="auto"/>
        </w:rPr>
        <w:t>ESSOR WILL OWN AND HOLD RECORD TITLE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w:t>
      </w:r>
      <w:r>
        <w:rPr>
          <w:rFonts w:ascii="Arial" w:cs="Arial" w:eastAsia="Arial" w:hAnsi="Arial"/>
          <w:sz w:val="12"/>
          <w:szCs w:val="12"/>
          <w:color w:val="auto"/>
        </w:rPr>
        <w:t>EASED</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w:t>
      </w:r>
      <w:r>
        <w:rPr>
          <w:rFonts w:ascii="Arial" w:cs="Arial" w:eastAsia="Arial" w:hAnsi="Arial"/>
          <w:sz w:val="12"/>
          <w:szCs w:val="12"/>
          <w:color w:val="auto"/>
        </w:rPr>
        <w:t>THE</w:t>
      </w:r>
      <w:r>
        <w:rPr>
          <w:rFonts w:ascii="Arial" w:cs="Arial" w:eastAsia="Arial" w:hAnsi="Arial"/>
          <w:sz w:val="18"/>
          <w:szCs w:val="18"/>
          <w:color w:val="auto"/>
        </w:rPr>
        <w:t xml:space="preserve"> L</w:t>
      </w:r>
      <w:r>
        <w:rPr>
          <w:rFonts w:ascii="Arial" w:cs="Arial" w:eastAsia="Arial" w:hAnsi="Arial"/>
          <w:sz w:val="12"/>
          <w:szCs w:val="12"/>
          <w:color w:val="auto"/>
        </w:rPr>
        <w:t>ESSEE</w:t>
      </w:r>
      <w:r>
        <w:rPr>
          <w:rFonts w:ascii="Arial" w:cs="Arial" w:eastAsia="Arial" w:hAnsi="Arial"/>
          <w:sz w:val="18"/>
          <w:szCs w:val="18"/>
          <w:color w:val="auto"/>
        </w:rPr>
        <w:t xml:space="preserve">, </w:t>
      </w:r>
      <w:r>
        <w:rPr>
          <w:rFonts w:ascii="Arial" w:cs="Arial" w:eastAsia="Arial" w:hAnsi="Arial"/>
          <w:sz w:val="12"/>
          <w:szCs w:val="12"/>
          <w:color w:val="auto"/>
        </w:rPr>
        <w:t>ACTING AS</w:t>
      </w:r>
      <w:r>
        <w:rPr>
          <w:rFonts w:ascii="Arial" w:cs="Arial" w:eastAsia="Arial" w:hAnsi="Arial"/>
          <w:sz w:val="18"/>
          <w:szCs w:val="18"/>
          <w:color w:val="auto"/>
        </w:rPr>
        <w:t xml:space="preserve"> A</w:t>
      </w:r>
      <w:r>
        <w:rPr>
          <w:rFonts w:ascii="Arial" w:cs="Arial" w:eastAsia="Arial" w:hAnsi="Arial"/>
          <w:sz w:val="12"/>
          <w:szCs w:val="12"/>
          <w:color w:val="auto"/>
        </w:rPr>
        <w:t>GENT PURSUANT TO THE POWER OF ATTORNEY GRANTED TO THE</w:t>
      </w:r>
      <w:r>
        <w:rPr>
          <w:rFonts w:ascii="Arial" w:cs="Arial" w:eastAsia="Arial" w:hAnsi="Arial"/>
          <w:sz w:val="18"/>
          <w:szCs w:val="18"/>
          <w:color w:val="auto"/>
        </w:rPr>
        <w:t xml:space="preserve"> L</w:t>
      </w:r>
      <w:r>
        <w:rPr>
          <w:rFonts w:ascii="Arial" w:cs="Arial" w:eastAsia="Arial" w:hAnsi="Arial"/>
          <w:sz w:val="12"/>
          <w:szCs w:val="12"/>
          <w:color w:val="auto"/>
        </w:rPr>
        <w:t>ESSEE BY</w:t>
      </w:r>
      <w:r>
        <w:rPr>
          <w:rFonts w:ascii="Arial" w:cs="Arial" w:eastAsia="Arial" w:hAnsi="Arial"/>
          <w:sz w:val="18"/>
          <w:szCs w:val="18"/>
          <w:color w:val="auto"/>
        </w:rPr>
        <w:t xml:space="preserve"> L</w:t>
      </w:r>
      <w:r>
        <w:rPr>
          <w:rFonts w:ascii="Arial" w:cs="Arial" w:eastAsia="Arial" w:hAnsi="Arial"/>
          <w:sz w:val="12"/>
          <w:szCs w:val="12"/>
          <w:color w:val="auto"/>
        </w:rPr>
        <w:t>ESSOR HEREUNDER</w:t>
      </w:r>
      <w:r>
        <w:rPr>
          <w:rFonts w:ascii="Arial" w:cs="Arial" w:eastAsia="Arial" w:hAnsi="Arial"/>
          <w:sz w:val="18"/>
          <w:szCs w:val="18"/>
          <w:color w:val="auto"/>
        </w:rPr>
        <w:t xml:space="preserve">, </w:t>
      </w:r>
      <w:r>
        <w:rPr>
          <w:rFonts w:ascii="Arial" w:cs="Arial" w:eastAsia="Arial" w:hAnsi="Arial"/>
          <w:sz w:val="12"/>
          <w:szCs w:val="12"/>
          <w:color w:val="auto"/>
        </w:rPr>
        <w:t>IS SOLELY RESPONSIBLE FOR ANY</w:t>
      </w:r>
      <w:r>
        <w:rPr>
          <w:rFonts w:ascii="Arial" w:cs="Arial" w:eastAsia="Arial" w:hAnsi="Arial"/>
          <w:sz w:val="18"/>
          <w:szCs w:val="18"/>
          <w:color w:val="auto"/>
        </w:rPr>
        <w:t xml:space="preserve"> </w:t>
      </w:r>
      <w:r>
        <w:rPr>
          <w:rFonts w:ascii="Arial" w:cs="Arial" w:eastAsia="Arial" w:hAnsi="Arial"/>
          <w:sz w:val="12"/>
          <w:szCs w:val="12"/>
          <w:color w:val="auto"/>
        </w:rPr>
        <w:t xml:space="preserve">ALTERATIONS OR MODIFICATIONS AND ALL ACTIVITIES CONDUCTED IN CONNECTION THEREWITH INCLUDING THE OBTAINING OF ALL PERMITS REQUIRED IN ACCORDANCE WITH </w:t>
      </w:r>
      <w:r>
        <w:rPr>
          <w:rFonts w:ascii="Arial" w:cs="Arial" w:eastAsia="Arial" w:hAnsi="Arial"/>
          <w:sz w:val="17"/>
          <w:szCs w:val="17"/>
          <w:color w:val="auto"/>
        </w:rPr>
        <w:t>A</w:t>
      </w:r>
      <w:r>
        <w:rPr>
          <w:rFonts w:ascii="Arial" w:cs="Arial" w:eastAsia="Arial" w:hAnsi="Arial"/>
          <w:sz w:val="12"/>
          <w:szCs w:val="12"/>
          <w:color w:val="auto"/>
        </w:rPr>
        <w:t>PPLICABLE</w:t>
      </w:r>
      <w:r>
        <w:rPr>
          <w:rFonts w:ascii="Arial" w:cs="Arial" w:eastAsia="Arial" w:hAnsi="Arial"/>
          <w:sz w:val="17"/>
          <w:szCs w:val="17"/>
          <w:color w:val="auto"/>
        </w:rPr>
        <w:t xml:space="preserve"> L</w:t>
      </w:r>
      <w:r>
        <w:rPr>
          <w:rFonts w:ascii="Arial" w:cs="Arial" w:eastAsia="Arial" w:hAnsi="Arial"/>
          <w:sz w:val="12"/>
          <w:szCs w:val="12"/>
          <w:color w:val="auto"/>
        </w:rPr>
        <w:t>AW</w:t>
      </w:r>
      <w:r>
        <w:rPr>
          <w:rFonts w:ascii="Arial" w:cs="Arial" w:eastAsia="Arial" w:hAnsi="Arial"/>
          <w:sz w:val="17"/>
          <w:szCs w:val="17"/>
          <w:color w:val="auto"/>
        </w:rPr>
        <w:t>. T</w:t>
      </w:r>
      <w:r>
        <w:rPr>
          <w:rFonts w:ascii="Arial" w:cs="Arial" w:eastAsia="Arial" w:hAnsi="Arial"/>
          <w:sz w:val="12"/>
          <w:szCs w:val="12"/>
          <w:color w:val="auto"/>
        </w:rPr>
        <w:t>HE</w:t>
      </w:r>
      <w:r>
        <w:rPr>
          <w:rFonts w:ascii="Arial" w:cs="Arial" w:eastAsia="Arial" w:hAnsi="Arial"/>
          <w:sz w:val="17"/>
          <w:szCs w:val="17"/>
          <w:color w:val="auto"/>
        </w:rPr>
        <w:t xml:space="preserve"> L</w:t>
      </w:r>
      <w:r>
        <w:rPr>
          <w:rFonts w:ascii="Arial" w:cs="Arial" w:eastAsia="Arial" w:hAnsi="Arial"/>
          <w:sz w:val="12"/>
          <w:szCs w:val="12"/>
          <w:color w:val="auto"/>
        </w:rPr>
        <w:t>ESSEE FURTHER ACKNOWLEDGES AND AGREES THAT IT IS LEASING THE</w:t>
      </w:r>
      <w:r>
        <w:rPr>
          <w:rFonts w:ascii="Arial" w:cs="Arial" w:eastAsia="Arial" w:hAnsi="Arial"/>
          <w:sz w:val="17"/>
          <w:szCs w:val="17"/>
          <w:color w:val="auto"/>
        </w:rPr>
        <w:t xml:space="preserve"> L</w:t>
      </w:r>
      <w:r>
        <w:rPr>
          <w:rFonts w:ascii="Arial" w:cs="Arial" w:eastAsia="Arial" w:hAnsi="Arial"/>
          <w:sz w:val="12"/>
          <w:szCs w:val="12"/>
          <w:color w:val="auto"/>
        </w:rPr>
        <w:t>EASED</w:t>
      </w:r>
      <w:r>
        <w:rPr>
          <w:rFonts w:ascii="Arial" w:cs="Arial" w:eastAsia="Arial" w:hAnsi="Arial"/>
          <w:sz w:val="17"/>
          <w:szCs w:val="17"/>
          <w:color w:val="auto"/>
        </w:rPr>
        <w:t xml:space="preserve"> P</w:t>
      </w:r>
      <w:r>
        <w:rPr>
          <w:rFonts w:ascii="Arial" w:cs="Arial" w:eastAsia="Arial" w:hAnsi="Arial"/>
          <w:sz w:val="12"/>
          <w:szCs w:val="12"/>
          <w:color w:val="auto"/>
        </w:rPr>
        <w:t>ROPERTY</w:t>
      </w:r>
      <w:r>
        <w:rPr>
          <w:rFonts w:ascii="Arial" w:cs="Arial" w:eastAsia="Arial" w:hAnsi="Arial"/>
          <w:sz w:val="17"/>
          <w:szCs w:val="17"/>
          <w:color w:val="auto"/>
        </w:rPr>
        <w:t xml:space="preserve"> “</w:t>
      </w:r>
      <w:r>
        <w:rPr>
          <w:rFonts w:ascii="Arial" w:cs="Arial" w:eastAsia="Arial" w:hAnsi="Arial"/>
          <w:sz w:val="12"/>
          <w:szCs w:val="12"/>
          <w:color w:val="auto"/>
        </w:rPr>
        <w:t>AS IS</w:t>
      </w:r>
      <w:r>
        <w:rPr>
          <w:rFonts w:ascii="Arial" w:cs="Arial" w:eastAsia="Arial" w:hAnsi="Arial"/>
          <w:sz w:val="17"/>
          <w:szCs w:val="17"/>
          <w:color w:val="auto"/>
        </w:rPr>
        <w:t xml:space="preserve">” </w:t>
      </w:r>
      <w:r>
        <w:rPr>
          <w:rFonts w:ascii="Arial" w:cs="Arial" w:eastAsia="Arial" w:hAnsi="Arial"/>
          <w:sz w:val="12"/>
          <w:szCs w:val="12"/>
          <w:color w:val="auto"/>
        </w:rPr>
        <w:t>WITHOUT REPRESENTATION</w:t>
      </w:r>
      <w:r>
        <w:rPr>
          <w:rFonts w:ascii="Arial" w:cs="Arial" w:eastAsia="Arial" w:hAnsi="Arial"/>
          <w:sz w:val="17"/>
          <w:szCs w:val="17"/>
          <w:color w:val="auto"/>
        </w:rPr>
        <w:t xml:space="preserve">, </w:t>
      </w:r>
      <w:r>
        <w:rPr>
          <w:rFonts w:ascii="Arial" w:cs="Arial" w:eastAsia="Arial" w:hAnsi="Arial"/>
          <w:sz w:val="12"/>
          <w:szCs w:val="12"/>
          <w:color w:val="auto"/>
        </w:rPr>
        <w:t>WARRANTY OR COVENANT</w:t>
      </w:r>
      <w:r>
        <w:rPr>
          <w:rFonts w:ascii="Arial" w:cs="Arial" w:eastAsia="Arial" w:hAnsi="Arial"/>
          <w:sz w:val="17"/>
          <w:szCs w:val="17"/>
          <w:color w:val="auto"/>
        </w:rPr>
        <w:t xml:space="preserve"> (</w:t>
      </w:r>
      <w:r>
        <w:rPr>
          <w:rFonts w:ascii="Arial" w:cs="Arial" w:eastAsia="Arial" w:hAnsi="Arial"/>
          <w:sz w:val="12"/>
          <w:szCs w:val="12"/>
          <w:color w:val="auto"/>
        </w:rPr>
        <w:t>EXPRESS OR IMPLIED</w:t>
      </w:r>
      <w:r>
        <w:rPr>
          <w:rFonts w:ascii="Arial" w:cs="Arial" w:eastAsia="Arial" w:hAnsi="Arial"/>
          <w:sz w:val="17"/>
          <w:szCs w:val="17"/>
          <w:color w:val="auto"/>
        </w:rPr>
        <w:t xml:space="preserve">) </w:t>
      </w:r>
      <w:r>
        <w:rPr>
          <w:rFonts w:ascii="Arial" w:cs="Arial" w:eastAsia="Arial" w:hAnsi="Arial"/>
          <w:sz w:val="12"/>
          <w:szCs w:val="12"/>
          <w:color w:val="auto"/>
        </w:rPr>
        <w:t>BY</w:t>
      </w:r>
      <w:r>
        <w:rPr>
          <w:rFonts w:ascii="Arial" w:cs="Arial" w:eastAsia="Arial" w:hAnsi="Arial"/>
          <w:sz w:val="17"/>
          <w:szCs w:val="17"/>
          <w:color w:val="auto"/>
        </w:rPr>
        <w:t xml:space="preserve"> L</w:t>
      </w:r>
      <w:r>
        <w:rPr>
          <w:rFonts w:ascii="Arial" w:cs="Arial" w:eastAsia="Arial" w:hAnsi="Arial"/>
          <w:sz w:val="12"/>
          <w:szCs w:val="12"/>
          <w:color w:val="auto"/>
        </w:rPr>
        <w:t>ESSOR</w:t>
      </w:r>
      <w:r>
        <w:rPr>
          <w:rFonts w:ascii="Arial" w:cs="Arial" w:eastAsia="Arial" w:hAnsi="Arial"/>
          <w:sz w:val="17"/>
          <w:szCs w:val="17"/>
          <w:color w:val="auto"/>
        </w:rPr>
        <w:t xml:space="preserve">, </w:t>
      </w:r>
      <w:r>
        <w:rPr>
          <w:rFonts w:ascii="Arial" w:cs="Arial" w:eastAsia="Arial" w:hAnsi="Arial"/>
          <w:sz w:val="12"/>
          <w:szCs w:val="12"/>
          <w:color w:val="auto"/>
        </w:rPr>
        <w:t>THE</w:t>
      </w:r>
      <w:r>
        <w:rPr>
          <w:rFonts w:ascii="Arial" w:cs="Arial" w:eastAsia="Arial" w:hAnsi="Arial"/>
          <w:sz w:val="17"/>
          <w:szCs w:val="17"/>
          <w:color w:val="auto"/>
        </w:rPr>
        <w:t xml:space="preserve"> A</w:t>
      </w:r>
      <w:r>
        <w:rPr>
          <w:rFonts w:ascii="Arial" w:cs="Arial" w:eastAsia="Arial" w:hAnsi="Arial"/>
          <w:sz w:val="12"/>
          <w:szCs w:val="12"/>
          <w:color w:val="auto"/>
        </w:rPr>
        <w:t>DMINISTRATIVE</w:t>
      </w:r>
      <w:r>
        <w:rPr>
          <w:rFonts w:ascii="Arial" w:cs="Arial" w:eastAsia="Arial" w:hAnsi="Arial"/>
          <w:sz w:val="17"/>
          <w:szCs w:val="17"/>
          <w:color w:val="auto"/>
        </w:rPr>
        <w:t xml:space="preserve"> A</w:t>
      </w:r>
      <w:r>
        <w:rPr>
          <w:rFonts w:ascii="Arial" w:cs="Arial" w:eastAsia="Arial" w:hAnsi="Arial"/>
          <w:sz w:val="12"/>
          <w:szCs w:val="12"/>
          <w:color w:val="auto"/>
        </w:rPr>
        <w:t>GENT OR THE</w:t>
      </w:r>
      <w:r>
        <w:rPr>
          <w:rFonts w:ascii="Arial" w:cs="Arial" w:eastAsia="Arial" w:hAnsi="Arial"/>
          <w:sz w:val="17"/>
          <w:szCs w:val="17"/>
          <w:color w:val="auto"/>
        </w:rPr>
        <w:t xml:space="preserve"> P</w:t>
      </w:r>
      <w:r>
        <w:rPr>
          <w:rFonts w:ascii="Arial" w:cs="Arial" w:eastAsia="Arial" w:hAnsi="Arial"/>
          <w:sz w:val="12"/>
          <w:szCs w:val="12"/>
          <w:color w:val="auto"/>
        </w:rPr>
        <w:t>ARTICIPANTS AND IN EACH CASE SUBJECT TO</w:t>
      </w:r>
      <w:r>
        <w:rPr>
          <w:rFonts w:ascii="Arial" w:cs="Arial" w:eastAsia="Arial" w:hAnsi="Arial"/>
          <w:sz w:val="17"/>
          <w:szCs w:val="17"/>
          <w:color w:val="auto"/>
        </w:rPr>
        <w:t xml:space="preserve"> (</w:t>
      </w:r>
      <w:r>
        <w:rPr>
          <w:rFonts w:ascii="Arial" w:cs="Arial" w:eastAsia="Arial" w:hAnsi="Arial"/>
          <w:sz w:val="12"/>
          <w:szCs w:val="12"/>
          <w:color w:val="auto"/>
        </w:rPr>
        <w:t>A</w:t>
      </w:r>
      <w:r>
        <w:rPr>
          <w:rFonts w:ascii="Arial" w:cs="Arial" w:eastAsia="Arial" w:hAnsi="Arial"/>
          <w:sz w:val="17"/>
          <w:szCs w:val="17"/>
          <w:color w:val="auto"/>
        </w:rPr>
        <w:t xml:space="preserve">) </w:t>
      </w:r>
      <w:r>
        <w:rPr>
          <w:rFonts w:ascii="Arial" w:cs="Arial" w:eastAsia="Arial" w:hAnsi="Arial"/>
          <w:sz w:val="12"/>
          <w:szCs w:val="12"/>
          <w:color w:val="auto"/>
        </w:rPr>
        <w:t>THE EXISTING STATE OF TITLE</w:t>
      </w:r>
      <w:r>
        <w:rPr>
          <w:rFonts w:ascii="Arial" w:cs="Arial" w:eastAsia="Arial" w:hAnsi="Arial"/>
          <w:sz w:val="17"/>
          <w:szCs w:val="17"/>
          <w:color w:val="auto"/>
        </w:rPr>
        <w:t xml:space="preserve"> (</w:t>
      </w:r>
      <w:r>
        <w:rPr>
          <w:rFonts w:ascii="Arial" w:cs="Arial" w:eastAsia="Arial" w:hAnsi="Arial"/>
          <w:sz w:val="12"/>
          <w:szCs w:val="12"/>
          <w:color w:val="auto"/>
        </w:rPr>
        <w:t>EXCLUDING</w:t>
      </w:r>
      <w:r>
        <w:rPr>
          <w:rFonts w:ascii="Arial" w:cs="Arial" w:eastAsia="Arial" w:hAnsi="Arial"/>
          <w:sz w:val="17"/>
          <w:szCs w:val="17"/>
          <w:color w:val="auto"/>
        </w:rPr>
        <w:t xml:space="preserve"> L</w:t>
      </w:r>
      <w:r>
        <w:rPr>
          <w:rFonts w:ascii="Arial" w:cs="Arial" w:eastAsia="Arial" w:hAnsi="Arial"/>
          <w:sz w:val="12"/>
          <w:szCs w:val="12"/>
          <w:color w:val="auto"/>
        </w:rPr>
        <w:t>ESSOR</w:t>
      </w:r>
      <w:r>
        <w:rPr>
          <w:rFonts w:ascii="Arial" w:cs="Arial" w:eastAsia="Arial" w:hAnsi="Arial"/>
          <w:sz w:val="17"/>
          <w:szCs w:val="17"/>
          <w:color w:val="auto"/>
        </w:rPr>
        <w:t xml:space="preserve"> L</w:t>
      </w:r>
      <w:r>
        <w:rPr>
          <w:rFonts w:ascii="Arial" w:cs="Arial" w:eastAsia="Arial" w:hAnsi="Arial"/>
          <w:sz w:val="12"/>
          <w:szCs w:val="12"/>
          <w:color w:val="auto"/>
        </w:rPr>
        <w:t>IENS</w:t>
      </w:r>
      <w:r>
        <w:rPr>
          <w:rFonts w:ascii="Arial" w:cs="Arial" w:eastAsia="Arial" w:hAnsi="Arial"/>
          <w:sz w:val="17"/>
          <w:szCs w:val="17"/>
          <w:color w:val="auto"/>
        </w:rPr>
        <w:t>), (</w:t>
      </w:r>
      <w:r>
        <w:rPr>
          <w:rFonts w:ascii="Arial" w:cs="Arial" w:eastAsia="Arial" w:hAnsi="Arial"/>
          <w:sz w:val="12"/>
          <w:szCs w:val="12"/>
          <w:color w:val="auto"/>
        </w:rPr>
        <w:t>B</w:t>
      </w:r>
      <w:r>
        <w:rPr>
          <w:rFonts w:ascii="Arial" w:cs="Arial" w:eastAsia="Arial" w:hAnsi="Arial"/>
          <w:sz w:val="17"/>
          <w:szCs w:val="17"/>
          <w:color w:val="auto"/>
        </w:rPr>
        <w:t xml:space="preserve">) </w:t>
      </w:r>
      <w:r>
        <w:rPr>
          <w:rFonts w:ascii="Arial" w:cs="Arial" w:eastAsia="Arial" w:hAnsi="Arial"/>
          <w:sz w:val="12"/>
          <w:szCs w:val="12"/>
          <w:color w:val="auto"/>
        </w:rPr>
        <w:t>THE RIGHTS OF ANY PARTIES IN POSSESSION THEREOF</w:t>
      </w:r>
      <w:r>
        <w:rPr>
          <w:rFonts w:ascii="Arial" w:cs="Arial" w:eastAsia="Arial" w:hAnsi="Arial"/>
          <w:sz w:val="17"/>
          <w:szCs w:val="17"/>
          <w:color w:val="auto"/>
        </w:rPr>
        <w:t>, (</w:t>
      </w:r>
      <w:r>
        <w:rPr>
          <w:rFonts w:ascii="Arial" w:cs="Arial" w:eastAsia="Arial" w:hAnsi="Arial"/>
          <w:sz w:val="12"/>
          <w:szCs w:val="12"/>
          <w:color w:val="auto"/>
        </w:rPr>
        <w:t>C</w:t>
      </w:r>
      <w:r>
        <w:rPr>
          <w:rFonts w:ascii="Arial" w:cs="Arial" w:eastAsia="Arial" w:hAnsi="Arial"/>
          <w:sz w:val="17"/>
          <w:szCs w:val="17"/>
          <w:color w:val="auto"/>
        </w:rPr>
        <w:t xml:space="preserve">) </w:t>
      </w:r>
      <w:r>
        <w:rPr>
          <w:rFonts w:ascii="Arial" w:cs="Arial" w:eastAsia="Arial" w:hAnsi="Arial"/>
          <w:sz w:val="12"/>
          <w:szCs w:val="12"/>
          <w:color w:val="auto"/>
        </w:rPr>
        <w:t>ANY STATE OF FACTS WHICH AN ACCURATE SURVEY OR A PHYSICAL INSPECTION MIGHT SHOW AND</w:t>
      </w:r>
      <w:r>
        <w:rPr>
          <w:rFonts w:ascii="Arial" w:cs="Arial" w:eastAsia="Arial" w:hAnsi="Arial"/>
          <w:sz w:val="17"/>
          <w:szCs w:val="17"/>
          <w:color w:val="auto"/>
        </w:rPr>
        <w:t xml:space="preserve"> (</w:t>
      </w:r>
      <w:r>
        <w:rPr>
          <w:rFonts w:ascii="Arial" w:cs="Arial" w:eastAsia="Arial" w:hAnsi="Arial"/>
          <w:sz w:val="12"/>
          <w:szCs w:val="12"/>
          <w:color w:val="auto"/>
        </w:rPr>
        <w:t>D</w:t>
      </w:r>
      <w:r>
        <w:rPr>
          <w:rFonts w:ascii="Arial" w:cs="Arial" w:eastAsia="Arial" w:hAnsi="Arial"/>
          <w:sz w:val="17"/>
          <w:szCs w:val="17"/>
          <w:color w:val="auto"/>
        </w:rPr>
        <w:t xml:space="preserve">) </w:t>
      </w:r>
      <w:r>
        <w:rPr>
          <w:rFonts w:ascii="Arial" w:cs="Arial" w:eastAsia="Arial" w:hAnsi="Arial"/>
          <w:sz w:val="12"/>
          <w:szCs w:val="12"/>
          <w:color w:val="auto"/>
        </w:rPr>
        <w:t>VIOLATIONS OF REQUIREMENTS OF</w:t>
      </w:r>
      <w:r>
        <w:rPr>
          <w:rFonts w:ascii="Arial" w:cs="Arial" w:eastAsia="Arial" w:hAnsi="Arial"/>
          <w:sz w:val="17"/>
          <w:szCs w:val="17"/>
          <w:color w:val="auto"/>
        </w:rPr>
        <w:t xml:space="preserve"> A</w:t>
      </w:r>
      <w:r>
        <w:rPr>
          <w:rFonts w:ascii="Arial" w:cs="Arial" w:eastAsia="Arial" w:hAnsi="Arial"/>
          <w:sz w:val="12"/>
          <w:szCs w:val="12"/>
          <w:color w:val="auto"/>
        </w:rPr>
        <w:t>PPLICABLE</w:t>
      </w:r>
      <w:r>
        <w:rPr>
          <w:rFonts w:ascii="Arial" w:cs="Arial" w:eastAsia="Arial" w:hAnsi="Arial"/>
          <w:sz w:val="17"/>
          <w:szCs w:val="17"/>
          <w:color w:val="auto"/>
        </w:rPr>
        <w:t xml:space="preserve"> L</w:t>
      </w:r>
      <w:r>
        <w:rPr>
          <w:rFonts w:ascii="Arial" w:cs="Arial" w:eastAsia="Arial" w:hAnsi="Arial"/>
          <w:sz w:val="12"/>
          <w:szCs w:val="12"/>
          <w:color w:val="auto"/>
        </w:rPr>
        <w:t>AW WITH RESPECT TO THE</w:t>
      </w:r>
      <w:r>
        <w:rPr>
          <w:rFonts w:ascii="Arial" w:cs="Arial" w:eastAsia="Arial" w:hAnsi="Arial"/>
          <w:sz w:val="17"/>
          <w:szCs w:val="17"/>
          <w:color w:val="auto"/>
        </w:rPr>
        <w:t xml:space="preserve"> L</w:t>
      </w:r>
      <w:r>
        <w:rPr>
          <w:rFonts w:ascii="Arial" w:cs="Arial" w:eastAsia="Arial" w:hAnsi="Arial"/>
          <w:sz w:val="12"/>
          <w:szCs w:val="12"/>
          <w:color w:val="auto"/>
        </w:rPr>
        <w:t>EASED</w:t>
      </w:r>
      <w:r>
        <w:rPr>
          <w:rFonts w:ascii="Arial" w:cs="Arial" w:eastAsia="Arial" w:hAnsi="Arial"/>
          <w:sz w:val="17"/>
          <w:szCs w:val="17"/>
          <w:color w:val="auto"/>
        </w:rPr>
        <w:t xml:space="preserve"> P</w:t>
      </w:r>
      <w:r>
        <w:rPr>
          <w:rFonts w:ascii="Arial" w:cs="Arial" w:eastAsia="Arial" w:hAnsi="Arial"/>
          <w:sz w:val="12"/>
          <w:szCs w:val="12"/>
          <w:color w:val="auto"/>
        </w:rPr>
        <w:t>ROPERTY</w:t>
      </w:r>
      <w:r>
        <w:rPr>
          <w:rFonts w:ascii="Arial" w:cs="Arial" w:eastAsia="Arial" w:hAnsi="Arial"/>
          <w:sz w:val="17"/>
          <w:szCs w:val="17"/>
          <w:color w:val="auto"/>
        </w:rPr>
        <w:t>, L</w:t>
      </w:r>
      <w:r>
        <w:rPr>
          <w:rFonts w:ascii="Arial" w:cs="Arial" w:eastAsia="Arial" w:hAnsi="Arial"/>
          <w:sz w:val="12"/>
          <w:szCs w:val="12"/>
          <w:color w:val="auto"/>
        </w:rPr>
        <w:t>ESSEE OR ITS OPERATIONS ON OR WITH RESPECT TO THE</w:t>
      </w:r>
      <w:r>
        <w:rPr>
          <w:rFonts w:ascii="Arial" w:cs="Arial" w:eastAsia="Arial" w:hAnsi="Arial"/>
          <w:sz w:val="17"/>
          <w:szCs w:val="17"/>
          <w:color w:val="auto"/>
        </w:rPr>
        <w:t xml:space="preserve"> L</w:t>
      </w:r>
      <w:r>
        <w:rPr>
          <w:rFonts w:ascii="Arial" w:cs="Arial" w:eastAsia="Arial" w:hAnsi="Arial"/>
          <w:sz w:val="12"/>
          <w:szCs w:val="12"/>
          <w:color w:val="auto"/>
        </w:rPr>
        <w:t>EASED</w:t>
      </w:r>
      <w:r>
        <w:rPr>
          <w:rFonts w:ascii="Arial" w:cs="Arial" w:eastAsia="Arial" w:hAnsi="Arial"/>
          <w:sz w:val="17"/>
          <w:szCs w:val="17"/>
          <w:color w:val="auto"/>
        </w:rPr>
        <w:t xml:space="preserve"> P</w:t>
      </w:r>
      <w:r>
        <w:rPr>
          <w:rFonts w:ascii="Arial" w:cs="Arial" w:eastAsia="Arial" w:hAnsi="Arial"/>
          <w:sz w:val="12"/>
          <w:szCs w:val="12"/>
          <w:color w:val="auto"/>
        </w:rPr>
        <w:t>ROPERTY</w:t>
      </w:r>
      <w:r>
        <w:rPr>
          <w:rFonts w:ascii="Arial" w:cs="Arial" w:eastAsia="Arial" w:hAnsi="Arial"/>
          <w:sz w:val="17"/>
          <w:szCs w:val="17"/>
          <w:color w:val="auto"/>
        </w:rPr>
        <w:t xml:space="preserve"> </w:t>
      </w:r>
      <w:r>
        <w:rPr>
          <w:rFonts w:ascii="Arial" w:cs="Arial" w:eastAsia="Arial" w:hAnsi="Arial"/>
          <w:sz w:val="12"/>
          <w:szCs w:val="12"/>
          <w:color w:val="auto"/>
        </w:rPr>
        <w:t xml:space="preserve">WHICH MAY EXIST ON THE </w:t>
      </w:r>
      <w:r>
        <w:rPr>
          <w:rFonts w:ascii="Arial" w:cs="Arial" w:eastAsia="Arial" w:hAnsi="Arial"/>
          <w:sz w:val="17"/>
          <w:szCs w:val="17"/>
          <w:color w:val="auto"/>
        </w:rPr>
        <w:t>R</w:t>
      </w:r>
      <w:r>
        <w:rPr>
          <w:rFonts w:ascii="Arial" w:cs="Arial" w:eastAsia="Arial" w:hAnsi="Arial"/>
          <w:sz w:val="12"/>
          <w:szCs w:val="12"/>
          <w:color w:val="auto"/>
        </w:rPr>
        <w:t xml:space="preserve">ESTATEMENT </w:t>
      </w:r>
      <w:r>
        <w:rPr>
          <w:rFonts w:ascii="Arial" w:cs="Arial" w:eastAsia="Arial" w:hAnsi="Arial"/>
          <w:sz w:val="17"/>
          <w:szCs w:val="17"/>
          <w:color w:val="auto"/>
        </w:rPr>
        <w:t>D</w:t>
      </w:r>
      <w:r>
        <w:rPr>
          <w:rFonts w:ascii="Arial" w:cs="Arial" w:eastAsia="Arial" w:hAnsi="Arial"/>
          <w:sz w:val="12"/>
          <w:szCs w:val="12"/>
          <w:color w:val="auto"/>
        </w:rPr>
        <w:t>ATE OR THEREAFTER</w:t>
      </w:r>
      <w:r>
        <w:rPr>
          <w:rFonts w:ascii="Arial" w:cs="Arial" w:eastAsia="Arial" w:hAnsi="Arial"/>
          <w:sz w:val="17"/>
          <w:szCs w:val="17"/>
          <w:color w:val="auto"/>
        </w:rPr>
        <w:t>. N</w:t>
      </w:r>
      <w:r>
        <w:rPr>
          <w:rFonts w:ascii="Arial" w:cs="Arial" w:eastAsia="Arial" w:hAnsi="Arial"/>
          <w:sz w:val="12"/>
          <w:szCs w:val="12"/>
          <w:color w:val="auto"/>
        </w:rPr>
        <w:t xml:space="preserve">ONE OF </w:t>
      </w:r>
      <w:r>
        <w:rPr>
          <w:rFonts w:ascii="Arial" w:cs="Arial" w:eastAsia="Arial" w:hAnsi="Arial"/>
          <w:sz w:val="17"/>
          <w:szCs w:val="17"/>
          <w:color w:val="auto"/>
        </w:rPr>
        <w:t>L</w:t>
      </w:r>
      <w:r>
        <w:rPr>
          <w:rFonts w:ascii="Arial" w:cs="Arial" w:eastAsia="Arial" w:hAnsi="Arial"/>
          <w:sz w:val="12"/>
          <w:szCs w:val="12"/>
          <w:color w:val="auto"/>
        </w:rPr>
        <w:t>ESSOR</w:t>
      </w:r>
      <w:r>
        <w:rPr>
          <w:rFonts w:ascii="Arial" w:cs="Arial" w:eastAsia="Arial" w:hAnsi="Arial"/>
          <w:sz w:val="17"/>
          <w:szCs w:val="17"/>
          <w:color w:val="auto"/>
        </w:rPr>
        <w:t>,</w:t>
      </w:r>
      <w:r>
        <w:rPr>
          <w:rFonts w:ascii="Arial" w:cs="Arial" w:eastAsia="Arial" w:hAnsi="Arial"/>
          <w:sz w:val="12"/>
          <w:szCs w:val="12"/>
          <w:color w:val="auto"/>
        </w:rPr>
        <w:t xml:space="preserve"> THE </w:t>
      </w:r>
      <w:r>
        <w:rPr>
          <w:rFonts w:ascii="Arial" w:cs="Arial" w:eastAsia="Arial" w:hAnsi="Arial"/>
          <w:sz w:val="17"/>
          <w:szCs w:val="17"/>
          <w:color w:val="auto"/>
        </w:rPr>
        <w:t>A</w:t>
      </w:r>
      <w:r>
        <w:rPr>
          <w:rFonts w:ascii="Arial" w:cs="Arial" w:eastAsia="Arial" w:hAnsi="Arial"/>
          <w:sz w:val="12"/>
          <w:szCs w:val="12"/>
          <w:color w:val="auto"/>
        </w:rPr>
        <w:t xml:space="preserve">DMINISTRATIVE </w:t>
      </w:r>
      <w:r>
        <w:rPr>
          <w:rFonts w:ascii="Arial" w:cs="Arial" w:eastAsia="Arial" w:hAnsi="Arial"/>
          <w:sz w:val="17"/>
          <w:szCs w:val="17"/>
          <w:color w:val="auto"/>
        </w:rPr>
        <w:t>A</w:t>
      </w:r>
      <w:r>
        <w:rPr>
          <w:rFonts w:ascii="Arial" w:cs="Arial" w:eastAsia="Arial" w:hAnsi="Arial"/>
          <w:sz w:val="12"/>
          <w:szCs w:val="12"/>
          <w:color w:val="auto"/>
        </w:rPr>
        <w:t xml:space="preserve">GENT OR THE </w:t>
      </w:r>
      <w:r>
        <w:rPr>
          <w:rFonts w:ascii="Arial" w:cs="Arial" w:eastAsia="Arial" w:hAnsi="Arial"/>
          <w:sz w:val="17"/>
          <w:szCs w:val="17"/>
          <w:color w:val="auto"/>
        </w:rPr>
        <w:t>P</w:t>
      </w:r>
      <w:r>
        <w:rPr>
          <w:rFonts w:ascii="Arial" w:cs="Arial" w:eastAsia="Arial" w:hAnsi="Arial"/>
          <w:sz w:val="12"/>
          <w:szCs w:val="12"/>
          <w:color w:val="auto"/>
        </w:rPr>
        <w:t>ARTICIPANTS HAS MADE OR SHALL BE DEEMED TO HAVE MADE ANY REPRESENTATION</w:t>
      </w:r>
      <w:r>
        <w:rPr>
          <w:rFonts w:ascii="Arial" w:cs="Arial" w:eastAsia="Arial" w:hAnsi="Arial"/>
          <w:sz w:val="17"/>
          <w:szCs w:val="17"/>
          <w:color w:val="auto"/>
        </w:rPr>
        <w:t>,</w:t>
      </w:r>
      <w:r>
        <w:rPr>
          <w:rFonts w:ascii="Arial" w:cs="Arial" w:eastAsia="Arial" w:hAnsi="Arial"/>
          <w:sz w:val="12"/>
          <w:szCs w:val="12"/>
          <w:color w:val="auto"/>
        </w:rPr>
        <w:t xml:space="preserve"> WARRANTY OR COVENANT </w:t>
      </w:r>
      <w:r>
        <w:rPr>
          <w:rFonts w:ascii="Arial" w:cs="Arial" w:eastAsia="Arial" w:hAnsi="Arial"/>
          <w:sz w:val="17"/>
          <w:szCs w:val="17"/>
          <w:color w:val="auto"/>
        </w:rPr>
        <w:t>(</w:t>
      </w:r>
      <w:r>
        <w:rPr>
          <w:rFonts w:ascii="Arial" w:cs="Arial" w:eastAsia="Arial" w:hAnsi="Arial"/>
          <w:sz w:val="12"/>
          <w:szCs w:val="12"/>
          <w:color w:val="auto"/>
        </w:rPr>
        <w:t xml:space="preserve">EXPRESS OR IMPLIED EXCEPT AS EXPRESSLY PROVIDED IN THE </w:t>
      </w:r>
      <w:r>
        <w:rPr>
          <w:rFonts w:ascii="Arial" w:cs="Arial" w:eastAsia="Arial" w:hAnsi="Arial"/>
          <w:sz w:val="17"/>
          <w:szCs w:val="17"/>
          <w:color w:val="auto"/>
        </w:rPr>
        <w:t>O</w:t>
      </w:r>
      <w:r>
        <w:rPr>
          <w:rFonts w:ascii="Arial" w:cs="Arial" w:eastAsia="Arial" w:hAnsi="Arial"/>
          <w:sz w:val="12"/>
          <w:szCs w:val="12"/>
          <w:color w:val="auto"/>
        </w:rPr>
        <w:t xml:space="preserve">PERATIVE </w:t>
      </w:r>
      <w:r>
        <w:rPr>
          <w:rFonts w:ascii="Arial" w:cs="Arial" w:eastAsia="Arial" w:hAnsi="Arial"/>
          <w:sz w:val="17"/>
          <w:szCs w:val="17"/>
          <w:color w:val="auto"/>
        </w:rPr>
        <w:t>D</w:t>
      </w:r>
      <w:r>
        <w:rPr>
          <w:rFonts w:ascii="Arial" w:cs="Arial" w:eastAsia="Arial" w:hAnsi="Arial"/>
          <w:sz w:val="12"/>
          <w:szCs w:val="12"/>
          <w:color w:val="auto"/>
        </w:rPr>
        <w:t>OCUMENTS</w:t>
      </w:r>
      <w:r>
        <w:rPr>
          <w:rFonts w:ascii="Arial" w:cs="Arial" w:eastAsia="Arial" w:hAnsi="Arial"/>
          <w:sz w:val="17"/>
          <w:szCs w:val="17"/>
          <w:color w:val="auto"/>
        </w:rPr>
        <w:t>)</w:t>
      </w:r>
      <w:r>
        <w:rPr>
          <w:rFonts w:ascii="Arial" w:cs="Arial" w:eastAsia="Arial" w:hAnsi="Arial"/>
          <w:sz w:val="12"/>
          <w:szCs w:val="12"/>
          <w:color w:val="auto"/>
        </w:rPr>
        <w:t xml:space="preserve"> OR SHALL BE DEEMED TO HAVE ANY LIABILITY WHATSOEVER AS TO THE TITLE </w:t>
      </w:r>
      <w:r>
        <w:rPr>
          <w:rFonts w:ascii="Arial" w:cs="Arial" w:eastAsia="Arial" w:hAnsi="Arial"/>
          <w:sz w:val="17"/>
          <w:szCs w:val="17"/>
          <w:color w:val="auto"/>
        </w:rPr>
        <w:t>(</w:t>
      </w:r>
      <w:r>
        <w:rPr>
          <w:rFonts w:ascii="Arial" w:cs="Arial" w:eastAsia="Arial" w:hAnsi="Arial"/>
          <w:sz w:val="12"/>
          <w:szCs w:val="12"/>
          <w:color w:val="auto"/>
        </w:rPr>
        <w:t xml:space="preserve">OTHER THAN FOR </w:t>
      </w:r>
      <w:r>
        <w:rPr>
          <w:rFonts w:ascii="Arial" w:cs="Arial" w:eastAsia="Arial" w:hAnsi="Arial"/>
          <w:sz w:val="17"/>
          <w:szCs w:val="17"/>
          <w:color w:val="auto"/>
        </w:rPr>
        <w:t>L</w:t>
      </w:r>
      <w:r>
        <w:rPr>
          <w:rFonts w:ascii="Arial" w:cs="Arial" w:eastAsia="Arial" w:hAnsi="Arial"/>
          <w:sz w:val="12"/>
          <w:szCs w:val="12"/>
          <w:color w:val="auto"/>
        </w:rPr>
        <w:t xml:space="preserve">ESSOR </w:t>
      </w:r>
      <w:r>
        <w:rPr>
          <w:rFonts w:ascii="Arial" w:cs="Arial" w:eastAsia="Arial" w:hAnsi="Arial"/>
          <w:sz w:val="17"/>
          <w:szCs w:val="17"/>
          <w:color w:val="auto"/>
        </w:rPr>
        <w:t>L</w:t>
      </w:r>
      <w:r>
        <w:rPr>
          <w:rFonts w:ascii="Arial" w:cs="Arial" w:eastAsia="Arial" w:hAnsi="Arial"/>
          <w:sz w:val="12"/>
          <w:szCs w:val="12"/>
          <w:color w:val="auto"/>
        </w:rPr>
        <w:t>IENS</w:t>
      </w:r>
      <w:r>
        <w:rPr>
          <w:rFonts w:ascii="Arial" w:cs="Arial" w:eastAsia="Arial" w:hAnsi="Arial"/>
          <w:sz w:val="17"/>
          <w:szCs w:val="17"/>
          <w:color w:val="auto"/>
        </w:rPr>
        <w:t>),</w:t>
      </w:r>
      <w:r>
        <w:rPr>
          <w:rFonts w:ascii="Arial" w:cs="Arial" w:eastAsia="Arial" w:hAnsi="Arial"/>
          <w:sz w:val="12"/>
          <w:szCs w:val="12"/>
          <w:color w:val="auto"/>
        </w:rPr>
        <w:t xml:space="preserve"> VALUE</w:t>
      </w:r>
      <w:r>
        <w:rPr>
          <w:rFonts w:ascii="Arial" w:cs="Arial" w:eastAsia="Arial" w:hAnsi="Arial"/>
          <w:sz w:val="17"/>
          <w:szCs w:val="17"/>
          <w:color w:val="auto"/>
        </w:rPr>
        <w:t>,</w:t>
      </w:r>
      <w:r>
        <w:rPr>
          <w:rFonts w:ascii="Arial" w:cs="Arial" w:eastAsia="Arial" w:hAnsi="Arial"/>
          <w:sz w:val="12"/>
          <w:szCs w:val="12"/>
          <w:color w:val="auto"/>
        </w:rPr>
        <w:t xml:space="preserve"> HABITABILITY</w:t>
      </w:r>
      <w:r>
        <w:rPr>
          <w:rFonts w:ascii="Arial" w:cs="Arial" w:eastAsia="Arial" w:hAnsi="Arial"/>
          <w:sz w:val="17"/>
          <w:szCs w:val="17"/>
          <w:color w:val="auto"/>
        </w:rPr>
        <w:t>,</w:t>
      </w:r>
      <w:r>
        <w:rPr>
          <w:rFonts w:ascii="Arial" w:cs="Arial" w:eastAsia="Arial" w:hAnsi="Arial"/>
          <w:sz w:val="12"/>
          <w:szCs w:val="12"/>
          <w:color w:val="auto"/>
        </w:rPr>
        <w:t xml:space="preserve"> USE</w:t>
      </w:r>
      <w:r>
        <w:rPr>
          <w:rFonts w:ascii="Arial" w:cs="Arial" w:eastAsia="Arial" w:hAnsi="Arial"/>
          <w:sz w:val="17"/>
          <w:szCs w:val="17"/>
          <w:color w:val="auto"/>
        </w:rPr>
        <w:t>,</w:t>
      </w:r>
      <w:r>
        <w:rPr>
          <w:rFonts w:ascii="Arial" w:cs="Arial" w:eastAsia="Arial" w:hAnsi="Arial"/>
          <w:sz w:val="12"/>
          <w:szCs w:val="12"/>
          <w:color w:val="auto"/>
        </w:rPr>
        <w:t xml:space="preserve"> CONDITION </w:t>
      </w:r>
      <w:r>
        <w:rPr>
          <w:rFonts w:ascii="Arial" w:cs="Arial" w:eastAsia="Arial" w:hAnsi="Arial"/>
          <w:sz w:val="17"/>
          <w:szCs w:val="17"/>
          <w:color w:val="auto"/>
        </w:rPr>
        <w:t>(</w:t>
      </w:r>
      <w:r>
        <w:rPr>
          <w:rFonts w:ascii="Arial" w:cs="Arial" w:eastAsia="Arial" w:hAnsi="Arial"/>
          <w:sz w:val="12"/>
          <w:szCs w:val="12"/>
          <w:color w:val="auto"/>
        </w:rPr>
        <w:t>INCLUDING ENVIRONMENTAL CONDITION</w:t>
      </w:r>
      <w:r>
        <w:rPr>
          <w:rFonts w:ascii="Arial" w:cs="Arial" w:eastAsia="Arial" w:hAnsi="Arial"/>
          <w:sz w:val="17"/>
          <w:szCs w:val="17"/>
          <w:color w:val="auto"/>
        </w:rPr>
        <w:t>),</w:t>
      </w:r>
      <w:r>
        <w:rPr>
          <w:rFonts w:ascii="Arial" w:cs="Arial" w:eastAsia="Arial" w:hAnsi="Arial"/>
          <w:sz w:val="12"/>
          <w:szCs w:val="12"/>
          <w:color w:val="auto"/>
        </w:rPr>
        <w:t xml:space="preserve"> DESIGN</w:t>
      </w:r>
      <w:r>
        <w:rPr>
          <w:rFonts w:ascii="Arial" w:cs="Arial" w:eastAsia="Arial" w:hAnsi="Arial"/>
          <w:sz w:val="17"/>
          <w:szCs w:val="17"/>
          <w:color w:val="auto"/>
        </w:rPr>
        <w:t>,</w:t>
      </w:r>
      <w:r>
        <w:rPr>
          <w:rFonts w:ascii="Arial" w:cs="Arial" w:eastAsia="Arial" w:hAnsi="Arial"/>
          <w:sz w:val="12"/>
          <w:szCs w:val="12"/>
          <w:color w:val="auto"/>
        </w:rPr>
        <w:t xml:space="preserve"> OPERATION</w:t>
      </w:r>
      <w:r>
        <w:rPr>
          <w:rFonts w:ascii="Arial" w:cs="Arial" w:eastAsia="Arial" w:hAnsi="Arial"/>
          <w:sz w:val="17"/>
          <w:szCs w:val="17"/>
          <w:color w:val="auto"/>
        </w:rPr>
        <w:t>,</w:t>
      </w:r>
      <w:r>
        <w:rPr>
          <w:rFonts w:ascii="Arial" w:cs="Arial" w:eastAsia="Arial" w:hAnsi="Arial"/>
          <w:sz w:val="12"/>
          <w:szCs w:val="12"/>
          <w:color w:val="auto"/>
        </w:rPr>
        <w:t xml:space="preserve"> OR FITNESS FOR USE OF THE </w:t>
      </w:r>
      <w:r>
        <w:rPr>
          <w:rFonts w:ascii="Arial" w:cs="Arial" w:eastAsia="Arial" w:hAnsi="Arial"/>
          <w:sz w:val="17"/>
          <w:szCs w:val="17"/>
          <w:color w:val="auto"/>
        </w:rPr>
        <w:t>L</w:t>
      </w:r>
      <w:r>
        <w:rPr>
          <w:rFonts w:ascii="Arial" w:cs="Arial" w:eastAsia="Arial" w:hAnsi="Arial"/>
          <w:sz w:val="12"/>
          <w:szCs w:val="12"/>
          <w:color w:val="auto"/>
        </w:rPr>
        <w:t xml:space="preserve">EASED </w:t>
      </w:r>
      <w:r>
        <w:rPr>
          <w:rFonts w:ascii="Arial" w:cs="Arial" w:eastAsia="Arial" w:hAnsi="Arial"/>
          <w:sz w:val="17"/>
          <w:szCs w:val="17"/>
          <w:color w:val="auto"/>
        </w:rPr>
        <w:t>P</w:t>
      </w:r>
      <w:r>
        <w:rPr>
          <w:rFonts w:ascii="Arial" w:cs="Arial" w:eastAsia="Arial" w:hAnsi="Arial"/>
          <w:sz w:val="12"/>
          <w:szCs w:val="12"/>
          <w:color w:val="auto"/>
        </w:rPr>
        <w:t xml:space="preserve">ROPERTY </w:t>
      </w:r>
      <w:r>
        <w:rPr>
          <w:rFonts w:ascii="Arial" w:cs="Arial" w:eastAsia="Arial" w:hAnsi="Arial"/>
          <w:sz w:val="17"/>
          <w:szCs w:val="17"/>
          <w:color w:val="auto"/>
        </w:rPr>
        <w:t>(</w:t>
      </w:r>
      <w:r>
        <w:rPr>
          <w:rFonts w:ascii="Arial" w:cs="Arial" w:eastAsia="Arial" w:hAnsi="Arial"/>
          <w:sz w:val="12"/>
          <w:szCs w:val="12"/>
          <w:color w:val="auto"/>
        </w:rPr>
        <w:t>OR ANY PART THEREOF</w:t>
      </w:r>
      <w:r>
        <w:rPr>
          <w:rFonts w:ascii="Arial" w:cs="Arial" w:eastAsia="Arial" w:hAnsi="Arial"/>
          <w:sz w:val="17"/>
          <w:szCs w:val="17"/>
          <w:color w:val="auto"/>
        </w:rPr>
        <w:t>),</w:t>
      </w:r>
      <w:r>
        <w:rPr>
          <w:rFonts w:ascii="Arial" w:cs="Arial" w:eastAsia="Arial" w:hAnsi="Arial"/>
          <w:sz w:val="12"/>
          <w:szCs w:val="12"/>
          <w:color w:val="auto"/>
        </w:rPr>
        <w:t xml:space="preserve"> OR ANY OTHER REPRESENTATION</w:t>
      </w:r>
      <w:r>
        <w:rPr>
          <w:rFonts w:ascii="Arial" w:cs="Arial" w:eastAsia="Arial" w:hAnsi="Arial"/>
          <w:sz w:val="17"/>
          <w:szCs w:val="17"/>
          <w:color w:val="auto"/>
        </w:rPr>
        <w:t>,</w:t>
      </w:r>
      <w:r>
        <w:rPr>
          <w:rFonts w:ascii="Arial" w:cs="Arial" w:eastAsia="Arial" w:hAnsi="Arial"/>
          <w:sz w:val="12"/>
          <w:szCs w:val="12"/>
          <w:color w:val="auto"/>
        </w:rPr>
        <w:t xml:space="preserve"> WARRANTY OR COVENANT WHATSOEVER</w:t>
      </w:r>
      <w:r>
        <w:rPr>
          <w:rFonts w:ascii="Arial" w:cs="Arial" w:eastAsia="Arial" w:hAnsi="Arial"/>
          <w:sz w:val="17"/>
          <w:szCs w:val="17"/>
          <w:color w:val="auto"/>
        </w:rPr>
        <w:t>,</w:t>
      </w:r>
      <w:r>
        <w:rPr>
          <w:rFonts w:ascii="Arial" w:cs="Arial" w:eastAsia="Arial" w:hAnsi="Arial"/>
          <w:sz w:val="12"/>
          <w:szCs w:val="12"/>
          <w:color w:val="auto"/>
        </w:rPr>
        <w:t xml:space="preserve"> EXPRESS OR IMPLIED</w:t>
      </w:r>
      <w:r>
        <w:rPr>
          <w:rFonts w:ascii="Arial" w:cs="Arial" w:eastAsia="Arial" w:hAnsi="Arial"/>
          <w:sz w:val="17"/>
          <w:szCs w:val="17"/>
          <w:color w:val="auto"/>
        </w:rPr>
        <w:t>,</w:t>
      </w:r>
      <w:r>
        <w:rPr>
          <w:rFonts w:ascii="Arial" w:cs="Arial" w:eastAsia="Arial" w:hAnsi="Arial"/>
          <w:sz w:val="12"/>
          <w:szCs w:val="12"/>
          <w:color w:val="auto"/>
        </w:rPr>
        <w:t xml:space="preserve"> WITH RESPECT TO THE </w:t>
      </w:r>
      <w:r>
        <w:rPr>
          <w:rFonts w:ascii="Arial" w:cs="Arial" w:eastAsia="Arial" w:hAnsi="Arial"/>
          <w:sz w:val="17"/>
          <w:szCs w:val="17"/>
          <w:color w:val="auto"/>
        </w:rPr>
        <w:t>L</w:t>
      </w:r>
      <w:r>
        <w:rPr>
          <w:rFonts w:ascii="Arial" w:cs="Arial" w:eastAsia="Arial" w:hAnsi="Arial"/>
          <w:sz w:val="12"/>
          <w:szCs w:val="12"/>
          <w:color w:val="auto"/>
        </w:rPr>
        <w:t xml:space="preserve">EASED </w:t>
      </w:r>
      <w:r>
        <w:rPr>
          <w:rFonts w:ascii="Arial" w:cs="Arial" w:eastAsia="Arial" w:hAnsi="Arial"/>
          <w:sz w:val="17"/>
          <w:szCs w:val="17"/>
          <w:color w:val="auto"/>
        </w:rPr>
        <w:t>P</w:t>
      </w:r>
      <w:r>
        <w:rPr>
          <w:rFonts w:ascii="Arial" w:cs="Arial" w:eastAsia="Arial" w:hAnsi="Arial"/>
          <w:sz w:val="12"/>
          <w:szCs w:val="12"/>
          <w:color w:val="auto"/>
        </w:rPr>
        <w:t xml:space="preserve">ROPERTY </w:t>
      </w:r>
      <w:r>
        <w:rPr>
          <w:rFonts w:ascii="Arial" w:cs="Arial" w:eastAsia="Arial" w:hAnsi="Arial"/>
          <w:sz w:val="17"/>
          <w:szCs w:val="17"/>
          <w:color w:val="auto"/>
        </w:rPr>
        <w:t>(</w:t>
      </w:r>
      <w:r>
        <w:rPr>
          <w:rFonts w:ascii="Arial" w:cs="Arial" w:eastAsia="Arial" w:hAnsi="Arial"/>
          <w:sz w:val="12"/>
          <w:szCs w:val="12"/>
          <w:color w:val="auto"/>
        </w:rPr>
        <w:t>OR ANY PART THEREOF</w:t>
      </w:r>
      <w:r>
        <w:rPr>
          <w:rFonts w:ascii="Arial" w:cs="Arial" w:eastAsia="Arial" w:hAnsi="Arial"/>
          <w:sz w:val="17"/>
          <w:szCs w:val="17"/>
          <w:color w:val="auto"/>
        </w:rPr>
        <w:t>)</w:t>
      </w:r>
      <w:r>
        <w:rPr>
          <w:rFonts w:ascii="Arial" w:cs="Arial" w:eastAsia="Arial" w:hAnsi="Arial"/>
          <w:sz w:val="12"/>
          <w:szCs w:val="12"/>
          <w:color w:val="auto"/>
        </w:rPr>
        <w:t xml:space="preserve"> AND NONE OF </w:t>
      </w:r>
      <w:r>
        <w:rPr>
          <w:rFonts w:ascii="Arial" w:cs="Arial" w:eastAsia="Arial" w:hAnsi="Arial"/>
          <w:sz w:val="17"/>
          <w:szCs w:val="17"/>
          <w:color w:val="auto"/>
        </w:rPr>
        <w:t>L</w:t>
      </w:r>
      <w:r>
        <w:rPr>
          <w:rFonts w:ascii="Arial" w:cs="Arial" w:eastAsia="Arial" w:hAnsi="Arial"/>
          <w:sz w:val="12"/>
          <w:szCs w:val="12"/>
          <w:color w:val="auto"/>
        </w:rPr>
        <w:t>ESSOR</w:t>
      </w:r>
      <w:r>
        <w:rPr>
          <w:rFonts w:ascii="Arial" w:cs="Arial" w:eastAsia="Arial" w:hAnsi="Arial"/>
          <w:sz w:val="17"/>
          <w:szCs w:val="17"/>
          <w:color w:val="auto"/>
        </w:rPr>
        <w:t>,</w:t>
      </w:r>
      <w:r>
        <w:rPr>
          <w:rFonts w:ascii="Arial" w:cs="Arial" w:eastAsia="Arial" w:hAnsi="Arial"/>
          <w:sz w:val="12"/>
          <w:szCs w:val="12"/>
          <w:color w:val="auto"/>
        </w:rPr>
        <w:t xml:space="preserve"> THE </w:t>
      </w:r>
      <w:r>
        <w:rPr>
          <w:rFonts w:ascii="Arial" w:cs="Arial" w:eastAsia="Arial" w:hAnsi="Arial"/>
          <w:sz w:val="17"/>
          <w:szCs w:val="17"/>
          <w:color w:val="auto"/>
        </w:rPr>
        <w:t>A</w:t>
      </w:r>
      <w:r>
        <w:rPr>
          <w:rFonts w:ascii="Arial" w:cs="Arial" w:eastAsia="Arial" w:hAnsi="Arial"/>
          <w:sz w:val="12"/>
          <w:szCs w:val="12"/>
          <w:color w:val="auto"/>
        </w:rPr>
        <w:t xml:space="preserve">DMINISTRATIVE </w:t>
      </w:r>
      <w:r>
        <w:rPr>
          <w:rFonts w:ascii="Arial" w:cs="Arial" w:eastAsia="Arial" w:hAnsi="Arial"/>
          <w:sz w:val="17"/>
          <w:szCs w:val="17"/>
          <w:color w:val="auto"/>
        </w:rPr>
        <w:t>A</w:t>
      </w:r>
      <w:r>
        <w:rPr>
          <w:rFonts w:ascii="Arial" w:cs="Arial" w:eastAsia="Arial" w:hAnsi="Arial"/>
          <w:sz w:val="12"/>
          <w:szCs w:val="12"/>
          <w:color w:val="auto"/>
        </w:rPr>
        <w:t xml:space="preserve">GENT OR ANY OF THE </w:t>
      </w:r>
      <w:r>
        <w:rPr>
          <w:rFonts w:ascii="Arial" w:cs="Arial" w:eastAsia="Arial" w:hAnsi="Arial"/>
          <w:sz w:val="17"/>
          <w:szCs w:val="17"/>
          <w:color w:val="auto"/>
        </w:rPr>
        <w:t>P</w:t>
      </w:r>
      <w:r>
        <w:rPr>
          <w:rFonts w:ascii="Arial" w:cs="Arial" w:eastAsia="Arial" w:hAnsi="Arial"/>
          <w:sz w:val="12"/>
          <w:szCs w:val="12"/>
          <w:color w:val="auto"/>
        </w:rPr>
        <w:t>ARTICIPANTS SHALL BE LIABLE FOR ANY LATENT</w:t>
      </w:r>
      <w:r>
        <w:rPr>
          <w:rFonts w:ascii="Arial" w:cs="Arial" w:eastAsia="Arial" w:hAnsi="Arial"/>
          <w:sz w:val="17"/>
          <w:szCs w:val="17"/>
          <w:color w:val="auto"/>
        </w:rPr>
        <w:t>,</w:t>
      </w:r>
      <w:r>
        <w:rPr>
          <w:rFonts w:ascii="Arial" w:cs="Arial" w:eastAsia="Arial" w:hAnsi="Arial"/>
          <w:sz w:val="12"/>
          <w:szCs w:val="12"/>
          <w:color w:val="auto"/>
        </w:rPr>
        <w:t xml:space="preserve"> HIDDEN</w:t>
      </w:r>
      <w:r>
        <w:rPr>
          <w:rFonts w:ascii="Arial" w:cs="Arial" w:eastAsia="Arial" w:hAnsi="Arial"/>
          <w:sz w:val="17"/>
          <w:szCs w:val="17"/>
          <w:color w:val="auto"/>
        </w:rPr>
        <w:t>,</w:t>
      </w:r>
      <w:r>
        <w:rPr>
          <w:rFonts w:ascii="Arial" w:cs="Arial" w:eastAsia="Arial" w:hAnsi="Arial"/>
          <w:sz w:val="12"/>
          <w:szCs w:val="12"/>
          <w:color w:val="auto"/>
        </w:rPr>
        <w:t xml:space="preserve"> OR PATENT DEFECT THEREIN </w:t>
      </w:r>
      <w:r>
        <w:rPr>
          <w:rFonts w:ascii="Arial" w:cs="Arial" w:eastAsia="Arial" w:hAnsi="Arial"/>
          <w:sz w:val="17"/>
          <w:szCs w:val="17"/>
          <w:color w:val="auto"/>
        </w:rPr>
        <w:t>(</w:t>
      </w:r>
      <w:r>
        <w:rPr>
          <w:rFonts w:ascii="Arial" w:cs="Arial" w:eastAsia="Arial" w:hAnsi="Arial"/>
          <w:sz w:val="12"/>
          <w:szCs w:val="12"/>
          <w:color w:val="auto"/>
        </w:rPr>
        <w:t xml:space="preserve">OTHER THAN FOR </w:t>
      </w:r>
      <w:r>
        <w:rPr>
          <w:rFonts w:ascii="Arial" w:cs="Arial" w:eastAsia="Arial" w:hAnsi="Arial"/>
          <w:sz w:val="17"/>
          <w:szCs w:val="17"/>
          <w:color w:val="auto"/>
        </w:rPr>
        <w:t>L</w:t>
      </w:r>
      <w:r>
        <w:rPr>
          <w:rFonts w:ascii="Arial" w:cs="Arial" w:eastAsia="Arial" w:hAnsi="Arial"/>
          <w:sz w:val="12"/>
          <w:szCs w:val="12"/>
          <w:color w:val="auto"/>
        </w:rPr>
        <w:t xml:space="preserve">ESSOR </w:t>
      </w:r>
      <w:r>
        <w:rPr>
          <w:rFonts w:ascii="Arial" w:cs="Arial" w:eastAsia="Arial" w:hAnsi="Arial"/>
          <w:sz w:val="17"/>
          <w:szCs w:val="17"/>
          <w:color w:val="auto"/>
        </w:rPr>
        <w:t>L</w:t>
      </w:r>
      <w:r>
        <w:rPr>
          <w:rFonts w:ascii="Arial" w:cs="Arial" w:eastAsia="Arial" w:hAnsi="Arial"/>
          <w:sz w:val="12"/>
          <w:szCs w:val="12"/>
          <w:color w:val="auto"/>
        </w:rPr>
        <w:t>IENS</w:t>
      </w:r>
      <w:r>
        <w:rPr>
          <w:rFonts w:ascii="Arial" w:cs="Arial" w:eastAsia="Arial" w:hAnsi="Arial"/>
          <w:sz w:val="17"/>
          <w:szCs w:val="17"/>
          <w:color w:val="auto"/>
        </w:rPr>
        <w:t>)</w:t>
      </w:r>
      <w:r>
        <w:rPr>
          <w:rFonts w:ascii="Arial" w:cs="Arial" w:eastAsia="Arial" w:hAnsi="Arial"/>
          <w:sz w:val="12"/>
          <w:szCs w:val="12"/>
          <w:color w:val="auto"/>
        </w:rPr>
        <w:t xml:space="preserve"> OR THE FAILURE OF THE </w:t>
      </w:r>
      <w:r>
        <w:rPr>
          <w:rFonts w:ascii="Arial" w:cs="Arial" w:eastAsia="Arial" w:hAnsi="Arial"/>
          <w:sz w:val="17"/>
          <w:szCs w:val="17"/>
          <w:color w:val="auto"/>
        </w:rPr>
        <w:t>L</w:t>
      </w:r>
      <w:r>
        <w:rPr>
          <w:rFonts w:ascii="Arial" w:cs="Arial" w:eastAsia="Arial" w:hAnsi="Arial"/>
          <w:sz w:val="12"/>
          <w:szCs w:val="12"/>
          <w:color w:val="auto"/>
        </w:rPr>
        <w:t xml:space="preserve">EASED </w:t>
      </w:r>
      <w:r>
        <w:rPr>
          <w:rFonts w:ascii="Arial" w:cs="Arial" w:eastAsia="Arial" w:hAnsi="Arial"/>
          <w:sz w:val="17"/>
          <w:szCs w:val="17"/>
          <w:color w:val="auto"/>
        </w:rPr>
        <w:t>P</w:t>
      </w:r>
      <w:r>
        <w:rPr>
          <w:rFonts w:ascii="Arial" w:cs="Arial" w:eastAsia="Arial" w:hAnsi="Arial"/>
          <w:sz w:val="12"/>
          <w:szCs w:val="12"/>
          <w:color w:val="auto"/>
        </w:rPr>
        <w:t>ROPERTY</w:t>
      </w:r>
      <w:r>
        <w:rPr>
          <w:rFonts w:ascii="Arial" w:cs="Arial" w:eastAsia="Arial" w:hAnsi="Arial"/>
          <w:sz w:val="17"/>
          <w:szCs w:val="17"/>
          <w:color w:val="auto"/>
        </w:rPr>
        <w:t>,</w:t>
      </w:r>
      <w:r>
        <w:rPr>
          <w:rFonts w:ascii="Arial" w:cs="Arial" w:eastAsia="Arial" w:hAnsi="Arial"/>
          <w:sz w:val="12"/>
          <w:szCs w:val="12"/>
          <w:color w:val="auto"/>
        </w:rPr>
        <w:t xml:space="preserve"> OR ANY PART THEREOF</w:t>
      </w:r>
      <w:r>
        <w:rPr>
          <w:rFonts w:ascii="Arial" w:cs="Arial" w:eastAsia="Arial" w:hAnsi="Arial"/>
          <w:sz w:val="17"/>
          <w:szCs w:val="17"/>
          <w:color w:val="auto"/>
        </w:rPr>
        <w:t>,</w:t>
      </w:r>
      <w:r>
        <w:rPr>
          <w:rFonts w:ascii="Arial" w:cs="Arial" w:eastAsia="Arial" w:hAnsi="Arial"/>
          <w:sz w:val="12"/>
          <w:szCs w:val="12"/>
          <w:color w:val="auto"/>
        </w:rPr>
        <w:t xml:space="preserve"> TO COMPLY WITH ANY </w:t>
      </w:r>
      <w:r>
        <w:rPr>
          <w:rFonts w:ascii="Arial" w:cs="Arial" w:eastAsia="Arial" w:hAnsi="Arial"/>
          <w:sz w:val="17"/>
          <w:szCs w:val="17"/>
          <w:color w:val="auto"/>
        </w:rPr>
        <w:t>A</w:t>
      </w:r>
      <w:r>
        <w:rPr>
          <w:rFonts w:ascii="Arial" w:cs="Arial" w:eastAsia="Arial" w:hAnsi="Arial"/>
          <w:sz w:val="12"/>
          <w:szCs w:val="12"/>
          <w:color w:val="auto"/>
        </w:rPr>
        <w:t xml:space="preserve">PPLICABLE </w:t>
      </w:r>
      <w:r>
        <w:rPr>
          <w:rFonts w:ascii="Arial" w:cs="Arial" w:eastAsia="Arial" w:hAnsi="Arial"/>
          <w:sz w:val="17"/>
          <w:szCs w:val="17"/>
          <w:color w:val="auto"/>
        </w:rPr>
        <w:t>L</w:t>
      </w:r>
      <w:r>
        <w:rPr>
          <w:rFonts w:ascii="Arial" w:cs="Arial" w:eastAsia="Arial" w:hAnsi="Arial"/>
          <w:sz w:val="12"/>
          <w:szCs w:val="12"/>
          <w:color w:val="auto"/>
        </w:rPr>
        <w:t>AWS</w:t>
      </w:r>
      <w:r>
        <w:rPr>
          <w:rFonts w:ascii="Arial" w:cs="Arial" w:eastAsia="Arial" w:hAnsi="Arial"/>
          <w:sz w:val="17"/>
          <w:szCs w:val="17"/>
          <w:color w:val="auto"/>
        </w:rPr>
        <w:t>. A</w:t>
      </w:r>
      <w:r>
        <w:rPr>
          <w:rFonts w:ascii="Arial" w:cs="Arial" w:eastAsia="Arial" w:hAnsi="Arial"/>
          <w:sz w:val="12"/>
          <w:szCs w:val="12"/>
          <w:color w:val="auto"/>
        </w:rPr>
        <w:t>LL RISKS INCIDENT TO THE MATTERS DISCUSSED IN THE PRECEDING SENTENCE</w:t>
      </w:r>
      <w:r>
        <w:rPr>
          <w:rFonts w:ascii="Arial" w:cs="Arial" w:eastAsia="Arial" w:hAnsi="Arial"/>
          <w:sz w:val="17"/>
          <w:szCs w:val="17"/>
          <w:color w:val="auto"/>
        </w:rPr>
        <w:t>,</w:t>
      </w:r>
      <w:r>
        <w:rPr>
          <w:rFonts w:ascii="Arial" w:cs="Arial" w:eastAsia="Arial" w:hAnsi="Arial"/>
          <w:sz w:val="12"/>
          <w:szCs w:val="12"/>
          <w:color w:val="auto"/>
        </w:rPr>
        <w:t xml:space="preserve"> AS BETWEEN </w:t>
      </w:r>
      <w:r>
        <w:rPr>
          <w:rFonts w:ascii="Arial" w:cs="Arial" w:eastAsia="Arial" w:hAnsi="Arial"/>
          <w:sz w:val="17"/>
          <w:szCs w:val="17"/>
          <w:color w:val="auto"/>
        </w:rPr>
        <w:t>L</w:t>
      </w:r>
      <w:r>
        <w:rPr>
          <w:rFonts w:ascii="Arial" w:cs="Arial" w:eastAsia="Arial" w:hAnsi="Arial"/>
          <w:sz w:val="12"/>
          <w:szCs w:val="12"/>
          <w:color w:val="auto"/>
        </w:rPr>
        <w:t>ESSOR</w:t>
      </w:r>
      <w:r>
        <w:rPr>
          <w:rFonts w:ascii="Arial" w:cs="Arial" w:eastAsia="Arial" w:hAnsi="Arial"/>
          <w:sz w:val="17"/>
          <w:szCs w:val="17"/>
          <w:color w:val="auto"/>
        </w:rPr>
        <w:t>,</w:t>
      </w:r>
      <w:r>
        <w:rPr>
          <w:rFonts w:ascii="Arial" w:cs="Arial" w:eastAsia="Arial" w:hAnsi="Arial"/>
          <w:sz w:val="12"/>
          <w:szCs w:val="12"/>
          <w:color w:val="auto"/>
        </w:rPr>
        <w:t xml:space="preserve"> THE </w:t>
      </w:r>
      <w:r>
        <w:rPr>
          <w:rFonts w:ascii="Arial" w:cs="Arial" w:eastAsia="Arial" w:hAnsi="Arial"/>
          <w:sz w:val="17"/>
          <w:szCs w:val="17"/>
          <w:color w:val="auto"/>
        </w:rPr>
        <w:t>A</w:t>
      </w:r>
      <w:r>
        <w:rPr>
          <w:rFonts w:ascii="Arial" w:cs="Arial" w:eastAsia="Arial" w:hAnsi="Arial"/>
          <w:sz w:val="12"/>
          <w:szCs w:val="12"/>
          <w:color w:val="auto"/>
        </w:rPr>
        <w:t xml:space="preserve">DMINISTRATIVE </w:t>
      </w:r>
      <w:r>
        <w:rPr>
          <w:rFonts w:ascii="Arial" w:cs="Arial" w:eastAsia="Arial" w:hAnsi="Arial"/>
          <w:sz w:val="17"/>
          <w:szCs w:val="17"/>
          <w:color w:val="auto"/>
        </w:rPr>
        <w:t>A</w:t>
      </w:r>
      <w:r>
        <w:rPr>
          <w:rFonts w:ascii="Arial" w:cs="Arial" w:eastAsia="Arial" w:hAnsi="Arial"/>
          <w:sz w:val="12"/>
          <w:szCs w:val="12"/>
          <w:color w:val="auto"/>
        </w:rPr>
        <w:t xml:space="preserve">GENT AND THE </w:t>
      </w:r>
      <w:r>
        <w:rPr>
          <w:rFonts w:ascii="Arial" w:cs="Arial" w:eastAsia="Arial" w:hAnsi="Arial"/>
          <w:sz w:val="17"/>
          <w:szCs w:val="17"/>
          <w:color w:val="auto"/>
        </w:rPr>
        <w:t>P</w:t>
      </w:r>
      <w:r>
        <w:rPr>
          <w:rFonts w:ascii="Arial" w:cs="Arial" w:eastAsia="Arial" w:hAnsi="Arial"/>
          <w:sz w:val="12"/>
          <w:szCs w:val="12"/>
          <w:color w:val="auto"/>
        </w:rPr>
        <w:t>ARTICIPANTS</w:t>
      </w:r>
      <w:r>
        <w:rPr>
          <w:rFonts w:ascii="Arial" w:cs="Arial" w:eastAsia="Arial" w:hAnsi="Arial"/>
          <w:sz w:val="17"/>
          <w:szCs w:val="17"/>
          <w:color w:val="auto"/>
        </w:rPr>
        <w:t xml:space="preserve">, </w:t>
      </w:r>
      <w:r>
        <w:rPr>
          <w:rFonts w:ascii="Arial" w:cs="Arial" w:eastAsia="Arial" w:hAnsi="Arial"/>
          <w:sz w:val="12"/>
          <w:szCs w:val="12"/>
          <w:color w:val="auto"/>
        </w:rPr>
        <w:t>ON THE ONE HAND</w:t>
      </w:r>
      <w:r>
        <w:rPr>
          <w:rFonts w:ascii="Arial" w:cs="Arial" w:eastAsia="Arial" w:hAnsi="Arial"/>
          <w:sz w:val="17"/>
          <w:szCs w:val="17"/>
          <w:color w:val="auto"/>
        </w:rPr>
        <w:t xml:space="preserve">, </w:t>
      </w:r>
      <w:r>
        <w:rPr>
          <w:rFonts w:ascii="Arial" w:cs="Arial" w:eastAsia="Arial" w:hAnsi="Arial"/>
          <w:sz w:val="12"/>
          <w:szCs w:val="12"/>
          <w:color w:val="auto"/>
        </w:rPr>
        <w:t>AND</w:t>
      </w:r>
      <w:r>
        <w:rPr>
          <w:rFonts w:ascii="Arial" w:cs="Arial" w:eastAsia="Arial" w:hAnsi="Arial"/>
          <w:sz w:val="17"/>
          <w:szCs w:val="17"/>
          <w:color w:val="auto"/>
        </w:rPr>
        <w:t xml:space="preserve"> L</w:t>
      </w:r>
      <w:r>
        <w:rPr>
          <w:rFonts w:ascii="Arial" w:cs="Arial" w:eastAsia="Arial" w:hAnsi="Arial"/>
          <w:sz w:val="12"/>
          <w:szCs w:val="12"/>
          <w:color w:val="auto"/>
        </w:rPr>
        <w:t>ESSEE</w:t>
      </w:r>
      <w:r>
        <w:rPr>
          <w:rFonts w:ascii="Arial" w:cs="Arial" w:eastAsia="Arial" w:hAnsi="Arial"/>
          <w:sz w:val="17"/>
          <w:szCs w:val="17"/>
          <w:color w:val="auto"/>
        </w:rPr>
        <w:t xml:space="preserve">, </w:t>
      </w:r>
      <w:r>
        <w:rPr>
          <w:rFonts w:ascii="Arial" w:cs="Arial" w:eastAsia="Arial" w:hAnsi="Arial"/>
          <w:sz w:val="12"/>
          <w:szCs w:val="12"/>
          <w:color w:val="auto"/>
        </w:rPr>
        <w:t>ON THE OTHER</w:t>
      </w:r>
      <w:r>
        <w:rPr>
          <w:rFonts w:ascii="Arial" w:cs="Arial" w:eastAsia="Arial" w:hAnsi="Arial"/>
          <w:sz w:val="17"/>
          <w:szCs w:val="17"/>
          <w:color w:val="auto"/>
        </w:rPr>
        <w:t xml:space="preserve">, </w:t>
      </w:r>
      <w:r>
        <w:rPr>
          <w:rFonts w:ascii="Arial" w:cs="Arial" w:eastAsia="Arial" w:hAnsi="Arial"/>
          <w:sz w:val="12"/>
          <w:szCs w:val="12"/>
          <w:color w:val="auto"/>
        </w:rPr>
        <w:t>ARE TO BE BORNE BY</w:t>
      </w:r>
      <w:r>
        <w:rPr>
          <w:rFonts w:ascii="Arial" w:cs="Arial" w:eastAsia="Arial" w:hAnsi="Arial"/>
          <w:sz w:val="17"/>
          <w:szCs w:val="17"/>
          <w:color w:val="auto"/>
        </w:rPr>
        <w:t xml:space="preserve"> L</w:t>
      </w:r>
      <w:r>
        <w:rPr>
          <w:rFonts w:ascii="Arial" w:cs="Arial" w:eastAsia="Arial" w:hAnsi="Arial"/>
          <w:sz w:val="12"/>
          <w:szCs w:val="12"/>
          <w:color w:val="auto"/>
        </w:rPr>
        <w:t>ESSEE</w:t>
      </w:r>
      <w:r>
        <w:rPr>
          <w:rFonts w:ascii="Arial" w:cs="Arial" w:eastAsia="Arial" w:hAnsi="Arial"/>
          <w:sz w:val="17"/>
          <w:szCs w:val="17"/>
          <w:color w:val="auto"/>
        </w:rPr>
        <w:t>. T</w:t>
      </w:r>
      <w:r>
        <w:rPr>
          <w:rFonts w:ascii="Arial" w:cs="Arial" w:eastAsia="Arial" w:hAnsi="Arial"/>
          <w:sz w:val="12"/>
          <w:szCs w:val="12"/>
          <w:color w:val="auto"/>
        </w:rPr>
        <w:t>HE PROVISIONS OF THIS</w:t>
      </w:r>
      <w:r>
        <w:rPr>
          <w:rFonts w:ascii="Arial" w:cs="Arial" w:eastAsia="Arial" w:hAnsi="Arial"/>
          <w:sz w:val="17"/>
          <w:szCs w:val="17"/>
          <w:color w:val="auto"/>
        </w:rPr>
        <w:t xml:space="preserve"> S</w:t>
      </w:r>
      <w:r>
        <w:rPr>
          <w:rFonts w:ascii="Arial" w:cs="Arial" w:eastAsia="Arial" w:hAnsi="Arial"/>
          <w:sz w:val="12"/>
          <w:szCs w:val="12"/>
          <w:color w:val="auto"/>
        </w:rPr>
        <w:t>ECTION</w:t>
      </w:r>
      <w:r>
        <w:rPr>
          <w:rFonts w:ascii="Arial" w:cs="Arial" w:eastAsia="Arial" w:hAnsi="Arial"/>
          <w:sz w:val="17"/>
          <w:szCs w:val="17"/>
          <w:color w:val="auto"/>
        </w:rPr>
        <w:t xml:space="preserve"> 7.1 </w:t>
      </w:r>
      <w:r>
        <w:rPr>
          <w:rFonts w:ascii="Arial" w:cs="Arial" w:eastAsia="Arial" w:hAnsi="Arial"/>
          <w:sz w:val="12"/>
          <w:szCs w:val="12"/>
          <w:color w:val="auto"/>
        </w:rPr>
        <w:t>HAVE BEEN NEGOTIATED</w:t>
      </w:r>
      <w:r>
        <w:rPr>
          <w:rFonts w:ascii="Arial" w:cs="Arial" w:eastAsia="Arial" w:hAnsi="Arial"/>
          <w:sz w:val="17"/>
          <w:szCs w:val="17"/>
          <w:color w:val="auto"/>
        </w:rPr>
        <w:t xml:space="preserve">, </w:t>
      </w:r>
      <w:r>
        <w:rPr>
          <w:rFonts w:ascii="Arial" w:cs="Arial" w:eastAsia="Arial" w:hAnsi="Arial"/>
          <w:sz w:val="12"/>
          <w:szCs w:val="12"/>
          <w:color w:val="auto"/>
        </w:rPr>
        <w:t>AND</w:t>
      </w:r>
      <w:r>
        <w:rPr>
          <w:rFonts w:ascii="Arial" w:cs="Arial" w:eastAsia="Arial" w:hAnsi="Arial"/>
          <w:sz w:val="17"/>
          <w:szCs w:val="17"/>
          <w:color w:val="auto"/>
        </w:rPr>
        <w:t xml:space="preserve">, </w:t>
      </w:r>
      <w:r>
        <w:rPr>
          <w:rFonts w:ascii="Arial" w:cs="Arial" w:eastAsia="Arial" w:hAnsi="Arial"/>
          <w:sz w:val="12"/>
          <w:szCs w:val="12"/>
          <w:color w:val="auto"/>
        </w:rPr>
        <w:t>EXCEPT TO</w:t>
      </w:r>
      <w:r>
        <w:rPr>
          <w:rFonts w:ascii="Arial" w:cs="Arial" w:eastAsia="Arial" w:hAnsi="Arial"/>
          <w:sz w:val="17"/>
          <w:szCs w:val="17"/>
          <w:color w:val="auto"/>
        </w:rPr>
        <w:t xml:space="preserve"> </w:t>
      </w:r>
      <w:r>
        <w:rPr>
          <w:rFonts w:ascii="Arial" w:cs="Arial" w:eastAsia="Arial" w:hAnsi="Arial"/>
          <w:sz w:val="12"/>
          <w:szCs w:val="12"/>
          <w:color w:val="auto"/>
        </w:rPr>
        <w:t xml:space="preserve">THE EXTENT OTHERWISE EXPRESSLY STATED </w:t>
      </w:r>
      <w:r>
        <w:rPr>
          <w:rFonts w:ascii="Arial" w:cs="Arial" w:eastAsia="Arial" w:hAnsi="Arial"/>
          <w:sz w:val="17"/>
          <w:szCs w:val="17"/>
          <w:color w:val="auto"/>
        </w:rPr>
        <w:t>(</w:t>
      </w:r>
      <w:r>
        <w:rPr>
          <w:rFonts w:ascii="Arial" w:cs="Arial" w:eastAsia="Arial" w:hAnsi="Arial"/>
          <w:sz w:val="12"/>
          <w:szCs w:val="12"/>
          <w:color w:val="auto"/>
        </w:rPr>
        <w:t>INCLUDING</w:t>
      </w:r>
      <w:r>
        <w:rPr>
          <w:rFonts w:ascii="Arial" w:cs="Arial" w:eastAsia="Arial" w:hAnsi="Arial"/>
          <w:sz w:val="17"/>
          <w:szCs w:val="17"/>
          <w:color w:val="auto"/>
        </w:rPr>
        <w:t>,</w:t>
      </w:r>
      <w:r>
        <w:rPr>
          <w:rFonts w:ascii="Arial" w:cs="Arial" w:eastAsia="Arial" w:hAnsi="Arial"/>
          <w:sz w:val="12"/>
          <w:szCs w:val="12"/>
          <w:color w:val="auto"/>
        </w:rPr>
        <w:t xml:space="preserve"> WITHOUT LIMITATION</w:t>
      </w:r>
      <w:r>
        <w:rPr>
          <w:rFonts w:ascii="Arial" w:cs="Arial" w:eastAsia="Arial" w:hAnsi="Arial"/>
          <w:sz w:val="17"/>
          <w:szCs w:val="17"/>
          <w:color w:val="auto"/>
        </w:rPr>
        <w:t>,</w:t>
      </w:r>
      <w:r>
        <w:rPr>
          <w:rFonts w:ascii="Arial" w:cs="Arial" w:eastAsia="Arial" w:hAnsi="Arial"/>
          <w:sz w:val="12"/>
          <w:szCs w:val="12"/>
          <w:color w:val="auto"/>
        </w:rPr>
        <w:t xml:space="preserve"> AS EXPRESSLY PROVIDED IN </w:t>
      </w:r>
      <w:r>
        <w:rPr>
          <w:rFonts w:ascii="Arial" w:cs="Arial" w:eastAsia="Arial" w:hAnsi="Arial"/>
          <w:sz w:val="17"/>
          <w:szCs w:val="17"/>
          <w:color w:val="auto"/>
        </w:rPr>
        <w:t>S</w:t>
      </w:r>
      <w:r>
        <w:rPr>
          <w:rFonts w:ascii="Arial" w:cs="Arial" w:eastAsia="Arial" w:hAnsi="Arial"/>
          <w:sz w:val="12"/>
          <w:szCs w:val="12"/>
          <w:color w:val="auto"/>
        </w:rPr>
        <w:t xml:space="preserve">ECTION </w:t>
      </w:r>
      <w:r>
        <w:rPr>
          <w:rFonts w:ascii="Arial" w:cs="Arial" w:eastAsia="Arial" w:hAnsi="Arial"/>
          <w:sz w:val="17"/>
          <w:szCs w:val="17"/>
          <w:color w:val="auto"/>
        </w:rPr>
        <w:t>15.15</w:t>
      </w:r>
      <w:r>
        <w:rPr>
          <w:rFonts w:ascii="Arial" w:cs="Arial" w:eastAsia="Arial" w:hAnsi="Arial"/>
          <w:sz w:val="12"/>
          <w:szCs w:val="12"/>
          <w:color w:val="auto"/>
        </w:rPr>
        <w:t xml:space="preserve"> OR </w:t>
      </w:r>
      <w:r>
        <w:rPr>
          <w:rFonts w:ascii="Arial" w:cs="Arial" w:eastAsia="Arial" w:hAnsi="Arial"/>
          <w:sz w:val="17"/>
          <w:szCs w:val="17"/>
          <w:color w:val="auto"/>
        </w:rPr>
        <w:t>15.16</w:t>
      </w:r>
      <w:r>
        <w:rPr>
          <w:rFonts w:ascii="Arial" w:cs="Arial" w:eastAsia="Arial" w:hAnsi="Arial"/>
          <w:sz w:val="12"/>
          <w:szCs w:val="12"/>
          <w:color w:val="auto"/>
        </w:rPr>
        <w:t xml:space="preserve"> OF THE </w:t>
      </w:r>
      <w:r>
        <w:rPr>
          <w:rFonts w:ascii="Arial" w:cs="Arial" w:eastAsia="Arial" w:hAnsi="Arial"/>
          <w:sz w:val="17"/>
          <w:szCs w:val="17"/>
          <w:color w:val="auto"/>
        </w:rPr>
        <w:t>P</w:t>
      </w:r>
      <w:r>
        <w:rPr>
          <w:rFonts w:ascii="Arial" w:cs="Arial" w:eastAsia="Arial" w:hAnsi="Arial"/>
          <w:sz w:val="12"/>
          <w:szCs w:val="12"/>
          <w:color w:val="auto"/>
        </w:rPr>
        <w:t xml:space="preserve">ARTICIPATION </w:t>
      </w:r>
      <w:r>
        <w:rPr>
          <w:rFonts w:ascii="Arial" w:cs="Arial" w:eastAsia="Arial" w:hAnsi="Arial"/>
          <w:sz w:val="17"/>
          <w:szCs w:val="17"/>
          <w:color w:val="auto"/>
        </w:rPr>
        <w:t>A</w:t>
      </w:r>
      <w:r>
        <w:rPr>
          <w:rFonts w:ascii="Arial" w:cs="Arial" w:eastAsia="Arial" w:hAnsi="Arial"/>
          <w:sz w:val="12"/>
          <w:szCs w:val="12"/>
          <w:color w:val="auto"/>
        </w:rPr>
        <w:t>GREEMENT</w:t>
      </w:r>
      <w:r>
        <w:rPr>
          <w:rFonts w:ascii="Arial" w:cs="Arial" w:eastAsia="Arial" w:hAnsi="Arial"/>
          <w:sz w:val="17"/>
          <w:szCs w:val="17"/>
          <w:color w:val="auto"/>
        </w:rPr>
        <w:t>,</w:t>
      </w:r>
      <w:r>
        <w:rPr>
          <w:rFonts w:ascii="Arial" w:cs="Arial" w:eastAsia="Arial" w:hAnsi="Arial"/>
          <w:sz w:val="12"/>
          <w:szCs w:val="12"/>
          <w:color w:val="auto"/>
        </w:rPr>
        <w:t xml:space="preserve"> AS APPLICABLE</w:t>
      </w:r>
      <w:r>
        <w:rPr>
          <w:rFonts w:ascii="Arial" w:cs="Arial" w:eastAsia="Arial" w:hAnsi="Arial"/>
          <w:sz w:val="17"/>
          <w:szCs w:val="17"/>
          <w:color w:val="auto"/>
        </w:rPr>
        <w:t>),</w:t>
      </w:r>
      <w:r>
        <w:rPr>
          <w:rFonts w:ascii="Arial" w:cs="Arial" w:eastAsia="Arial" w:hAnsi="Arial"/>
          <w:sz w:val="12"/>
          <w:szCs w:val="12"/>
          <w:color w:val="auto"/>
        </w:rPr>
        <w:t xml:space="preserve"> THE FOREGOING PROVISIONS ARE INTENDED TO BE A COMPLETE EXCLUSION AND NEGATION OF ANY REPRESENTATIONS OR WARRANTIES BY ANY OF </w:t>
      </w:r>
      <w:r>
        <w:rPr>
          <w:rFonts w:ascii="Arial" w:cs="Arial" w:eastAsia="Arial" w:hAnsi="Arial"/>
          <w:sz w:val="17"/>
          <w:szCs w:val="17"/>
          <w:color w:val="auto"/>
        </w:rPr>
        <w:t>L</w:t>
      </w:r>
      <w:r>
        <w:rPr>
          <w:rFonts w:ascii="Arial" w:cs="Arial" w:eastAsia="Arial" w:hAnsi="Arial"/>
          <w:sz w:val="12"/>
          <w:szCs w:val="12"/>
          <w:color w:val="auto"/>
        </w:rPr>
        <w:t>ESSOR</w:t>
      </w:r>
      <w:r>
        <w:rPr>
          <w:rFonts w:ascii="Arial" w:cs="Arial" w:eastAsia="Arial" w:hAnsi="Arial"/>
          <w:sz w:val="17"/>
          <w:szCs w:val="17"/>
          <w:color w:val="auto"/>
        </w:rPr>
        <w:t>,</w:t>
      </w:r>
      <w:r>
        <w:rPr>
          <w:rFonts w:ascii="Arial" w:cs="Arial" w:eastAsia="Arial" w:hAnsi="Arial"/>
          <w:sz w:val="12"/>
          <w:szCs w:val="12"/>
          <w:color w:val="auto"/>
        </w:rPr>
        <w:t xml:space="preserve"> THE </w:t>
      </w:r>
      <w:r>
        <w:rPr>
          <w:rFonts w:ascii="Arial" w:cs="Arial" w:eastAsia="Arial" w:hAnsi="Arial"/>
          <w:sz w:val="17"/>
          <w:szCs w:val="17"/>
          <w:color w:val="auto"/>
        </w:rPr>
        <w:t>A</w:t>
      </w:r>
      <w:r>
        <w:rPr>
          <w:rFonts w:ascii="Arial" w:cs="Arial" w:eastAsia="Arial" w:hAnsi="Arial"/>
          <w:sz w:val="12"/>
          <w:szCs w:val="12"/>
          <w:color w:val="auto"/>
        </w:rPr>
        <w:t>DMINISTRATIVE</w:t>
      </w:r>
      <w:r>
        <w:rPr>
          <w:rFonts w:ascii="Arial" w:cs="Arial" w:eastAsia="Arial" w:hAnsi="Arial"/>
          <w:sz w:val="17"/>
          <w:szCs w:val="17"/>
          <w:color w:val="auto"/>
        </w:rPr>
        <w:t xml:space="preserve"> A</w:t>
      </w:r>
      <w:r>
        <w:rPr>
          <w:rFonts w:ascii="Arial" w:cs="Arial" w:eastAsia="Arial" w:hAnsi="Arial"/>
          <w:sz w:val="12"/>
          <w:szCs w:val="12"/>
          <w:color w:val="auto"/>
        </w:rPr>
        <w:t>GENT OR THE</w:t>
      </w:r>
      <w:r>
        <w:rPr>
          <w:rFonts w:ascii="Arial" w:cs="Arial" w:eastAsia="Arial" w:hAnsi="Arial"/>
          <w:sz w:val="17"/>
          <w:szCs w:val="17"/>
          <w:color w:val="auto"/>
        </w:rPr>
        <w:t xml:space="preserve"> P</w:t>
      </w:r>
      <w:r>
        <w:rPr>
          <w:rFonts w:ascii="Arial" w:cs="Arial" w:eastAsia="Arial" w:hAnsi="Arial"/>
          <w:sz w:val="12"/>
          <w:szCs w:val="12"/>
          <w:color w:val="auto"/>
        </w:rPr>
        <w:t>ARTICIPANTS</w:t>
      </w:r>
      <w:r>
        <w:rPr>
          <w:rFonts w:ascii="Arial" w:cs="Arial" w:eastAsia="Arial" w:hAnsi="Arial"/>
          <w:sz w:val="17"/>
          <w:szCs w:val="17"/>
          <w:color w:val="auto"/>
        </w:rPr>
        <w:t xml:space="preserve">, </w:t>
      </w:r>
      <w:r>
        <w:rPr>
          <w:rFonts w:ascii="Arial" w:cs="Arial" w:eastAsia="Arial" w:hAnsi="Arial"/>
          <w:sz w:val="12"/>
          <w:szCs w:val="12"/>
          <w:color w:val="auto"/>
        </w:rPr>
        <w:t>EXPRESS OR IMPLIED</w:t>
      </w:r>
      <w:r>
        <w:rPr>
          <w:rFonts w:ascii="Arial" w:cs="Arial" w:eastAsia="Arial" w:hAnsi="Arial"/>
          <w:sz w:val="17"/>
          <w:szCs w:val="17"/>
          <w:color w:val="auto"/>
        </w:rPr>
        <w:t xml:space="preserve">, </w:t>
      </w:r>
      <w:r>
        <w:rPr>
          <w:rFonts w:ascii="Arial" w:cs="Arial" w:eastAsia="Arial" w:hAnsi="Arial"/>
          <w:sz w:val="12"/>
          <w:szCs w:val="12"/>
          <w:color w:val="auto"/>
        </w:rPr>
        <w:t>WITH RESPECT TO THE</w:t>
      </w:r>
      <w:r>
        <w:rPr>
          <w:rFonts w:ascii="Arial" w:cs="Arial" w:eastAsia="Arial" w:hAnsi="Arial"/>
          <w:sz w:val="17"/>
          <w:szCs w:val="17"/>
          <w:color w:val="auto"/>
        </w:rPr>
        <w:t xml:space="preserve"> L</w:t>
      </w:r>
      <w:r>
        <w:rPr>
          <w:rFonts w:ascii="Arial" w:cs="Arial" w:eastAsia="Arial" w:hAnsi="Arial"/>
          <w:sz w:val="12"/>
          <w:szCs w:val="12"/>
          <w:color w:val="auto"/>
        </w:rPr>
        <w:t>EASED</w:t>
      </w:r>
      <w:r>
        <w:rPr>
          <w:rFonts w:ascii="Arial" w:cs="Arial" w:eastAsia="Arial" w:hAnsi="Arial"/>
          <w:sz w:val="17"/>
          <w:szCs w:val="17"/>
          <w:color w:val="auto"/>
        </w:rPr>
        <w:t xml:space="preserve"> P</w:t>
      </w:r>
      <w:r>
        <w:rPr>
          <w:rFonts w:ascii="Arial" w:cs="Arial" w:eastAsia="Arial" w:hAnsi="Arial"/>
          <w:sz w:val="12"/>
          <w:szCs w:val="12"/>
          <w:color w:val="auto"/>
        </w:rPr>
        <w:t>ROPERTY</w:t>
      </w:r>
      <w:r>
        <w:rPr>
          <w:rFonts w:ascii="Arial" w:cs="Arial" w:eastAsia="Arial" w:hAnsi="Arial"/>
          <w:sz w:val="17"/>
          <w:szCs w:val="17"/>
          <w:color w:val="auto"/>
        </w:rPr>
        <w:t xml:space="preserve"> (</w:t>
      </w:r>
      <w:r>
        <w:rPr>
          <w:rFonts w:ascii="Arial" w:cs="Arial" w:eastAsia="Arial" w:hAnsi="Arial"/>
          <w:sz w:val="12"/>
          <w:szCs w:val="12"/>
          <w:color w:val="auto"/>
        </w:rPr>
        <w:t>OR ANY INTEREST THEREIN</w:t>
      </w:r>
      <w:r>
        <w:rPr>
          <w:rFonts w:ascii="Arial" w:cs="Arial" w:eastAsia="Arial" w:hAnsi="Arial"/>
          <w:sz w:val="17"/>
          <w:szCs w:val="17"/>
          <w:color w:val="auto"/>
        </w:rPr>
        <w:t xml:space="preserve">), </w:t>
      </w:r>
      <w:r>
        <w:rPr>
          <w:rFonts w:ascii="Arial" w:cs="Arial" w:eastAsia="Arial" w:hAnsi="Arial"/>
          <w:sz w:val="12"/>
          <w:szCs w:val="12"/>
          <w:color w:val="auto"/>
        </w:rPr>
        <w:t>OTHER THAN THE OBLIGATION TO</w:t>
      </w:r>
      <w:r>
        <w:rPr>
          <w:rFonts w:ascii="Arial" w:cs="Arial" w:eastAsia="Arial" w:hAnsi="Arial"/>
          <w:sz w:val="17"/>
          <w:szCs w:val="17"/>
          <w:color w:val="auto"/>
        </w:rPr>
        <w:t xml:space="preserve"> </w:t>
      </w:r>
      <w:r>
        <w:rPr>
          <w:rFonts w:ascii="Arial" w:cs="Arial" w:eastAsia="Arial" w:hAnsi="Arial"/>
          <w:sz w:val="12"/>
          <w:szCs w:val="12"/>
          <w:color w:val="auto"/>
        </w:rPr>
        <w:t xml:space="preserve">REMOVE </w:t>
      </w:r>
      <w:r>
        <w:rPr>
          <w:rFonts w:ascii="Arial" w:cs="Arial" w:eastAsia="Arial" w:hAnsi="Arial"/>
          <w:sz w:val="17"/>
          <w:szCs w:val="17"/>
          <w:color w:val="auto"/>
        </w:rPr>
        <w:t>L</w:t>
      </w:r>
      <w:r>
        <w:rPr>
          <w:rFonts w:ascii="Arial" w:cs="Arial" w:eastAsia="Arial" w:hAnsi="Arial"/>
          <w:sz w:val="12"/>
          <w:szCs w:val="12"/>
          <w:color w:val="auto"/>
        </w:rPr>
        <w:t xml:space="preserve">ESSOR </w:t>
      </w:r>
      <w:r>
        <w:rPr>
          <w:rFonts w:ascii="Arial" w:cs="Arial" w:eastAsia="Arial" w:hAnsi="Arial"/>
          <w:sz w:val="17"/>
          <w:szCs w:val="17"/>
          <w:color w:val="auto"/>
        </w:rPr>
        <w:t>L</w:t>
      </w:r>
      <w:r>
        <w:rPr>
          <w:rFonts w:ascii="Arial" w:cs="Arial" w:eastAsia="Arial" w:hAnsi="Arial"/>
          <w:sz w:val="12"/>
          <w:szCs w:val="12"/>
          <w:color w:val="auto"/>
        </w:rPr>
        <w:t>IENS ATTRIBUTABLE TO IT</w:t>
      </w:r>
      <w:r>
        <w:rPr>
          <w:rFonts w:ascii="Arial" w:cs="Arial" w:eastAsia="Arial" w:hAnsi="Arial"/>
          <w:sz w:val="17"/>
          <w:szCs w:val="17"/>
          <w:color w:val="auto"/>
        </w:rPr>
        <w:t>,</w:t>
      </w:r>
      <w:r>
        <w:rPr>
          <w:rFonts w:ascii="Arial" w:cs="Arial" w:eastAsia="Arial" w:hAnsi="Arial"/>
          <w:sz w:val="12"/>
          <w:szCs w:val="12"/>
          <w:color w:val="auto"/>
        </w:rPr>
        <w:t xml:space="preserve"> THAT MAY ARISE PURSUANT TO ANY LAW IN EFFECT AS OF THE </w:t>
      </w:r>
      <w:r>
        <w:rPr>
          <w:rFonts w:ascii="Arial" w:cs="Arial" w:eastAsia="Arial" w:hAnsi="Arial"/>
          <w:sz w:val="17"/>
          <w:szCs w:val="17"/>
          <w:color w:val="auto"/>
        </w:rPr>
        <w:t>R</w:t>
      </w:r>
      <w:r>
        <w:rPr>
          <w:rFonts w:ascii="Arial" w:cs="Arial" w:eastAsia="Arial" w:hAnsi="Arial"/>
          <w:sz w:val="12"/>
          <w:szCs w:val="12"/>
          <w:color w:val="auto"/>
        </w:rPr>
        <w:t xml:space="preserve">ESTATEMENT </w:t>
      </w:r>
      <w:r>
        <w:rPr>
          <w:rFonts w:ascii="Arial" w:cs="Arial" w:eastAsia="Arial" w:hAnsi="Arial"/>
          <w:sz w:val="17"/>
          <w:szCs w:val="17"/>
          <w:color w:val="auto"/>
        </w:rPr>
        <w:t>D</w:t>
      </w:r>
      <w:r>
        <w:rPr>
          <w:rFonts w:ascii="Arial" w:cs="Arial" w:eastAsia="Arial" w:hAnsi="Arial"/>
          <w:sz w:val="12"/>
          <w:szCs w:val="12"/>
          <w:color w:val="auto"/>
        </w:rPr>
        <w:t>ATE OR THEREAFTER OR OTHERWISE</w:t>
      </w:r>
      <w:r>
        <w:rPr>
          <w:rFonts w:ascii="Arial" w:cs="Arial" w:eastAsia="Arial" w:hAnsi="Arial"/>
          <w:sz w:val="17"/>
          <w:szCs w:val="17"/>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jc w:val="both"/>
        <w:ind w:firstLine="648"/>
        <w:spacing w:after="0" w:line="279" w:lineRule="auto"/>
        <w:rPr>
          <w:sz w:val="20"/>
          <w:szCs w:val="20"/>
          <w:color w:val="auto"/>
        </w:rPr>
      </w:pPr>
      <w:r>
        <w:rPr>
          <w:rFonts w:ascii="Arial" w:cs="Arial" w:eastAsia="Arial" w:hAnsi="Arial"/>
          <w:sz w:val="17"/>
          <w:szCs w:val="17"/>
          <w:i w:val="1"/>
          <w:iCs w:val="1"/>
          <w:color w:val="auto"/>
        </w:rPr>
        <w:t>Section 7.2. Risk of Loss</w:t>
      </w:r>
      <w:r>
        <w:rPr>
          <w:rFonts w:ascii="Arial" w:cs="Arial" w:eastAsia="Arial" w:hAnsi="Arial"/>
          <w:sz w:val="17"/>
          <w:szCs w:val="17"/>
          <w:color w:val="auto"/>
        </w:rPr>
        <w:t>. During the Term, as between Lessee and Lessor, the risk of loss of or decrease in the enjoyment and beneficial use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Leased Property as a result of the damage or destruction thereof by fire, the elements, casualties, thefts, riots, wars, Significant Condemnation or otherwise is assumed by the Lessee, and, except as otherwise provided in Section XIV herein with respect to the distribution of insurance or condemnation proceeds to the extent actually received by Lessor, Lessor shall in no event be answerable or accountable therefor.</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Section 7.3. Certain Duties and Responsibilities of Lessor</w:t>
      </w:r>
      <w:r>
        <w:rPr>
          <w:rFonts w:ascii="Arial" w:cs="Arial" w:eastAsia="Arial" w:hAnsi="Arial"/>
          <w:sz w:val="17"/>
          <w:szCs w:val="17"/>
          <w:color w:val="auto"/>
        </w:rPr>
        <w:t>. Lessor undertakes to perform such duties and only such duties as are specifically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herein and in the other Operative Documents, and no implied covenants or obligations shall be read into this Lease against Lessor, and Lessor agrees that it shall not, nor shall it have a duty to, manage, control, use, sell, maintain, insure, register, lease, operate, modify, dispose of, alter, improve, investigate, remediate or otherwise deal with the Leased Property or any other part of the Collateral or its interest in the Operative Documents in any manner whatsoever, except as required by the terms of the Operative Documents and as otherwise provided herein.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OSSESSION AND</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SE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Section 8.1. Possession and Use of the Leased Property</w:t>
      </w:r>
      <w:r>
        <w:rPr>
          <w:rFonts w:ascii="Arial" w:cs="Arial" w:eastAsia="Arial" w:hAnsi="Arial"/>
          <w:sz w:val="16"/>
          <w:szCs w:val="16"/>
          <w:color w:val="auto"/>
        </w:rPr>
        <w:t>. Lessee agrees that the Leased Property will be used (i) as an office, laboratory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research and development (including wet labs, dry labs and specialty labs) campus solely in the conduct of its business at the Site and the business of the tenants, sublessees and other occupants at the Site, as well as uses appurtenant thereto, including, without limitation, amenities relating thereto (including cafeteria, restaurant, child care, fitness centers and warehouse and storage facilities and parking), and for any other lawful purpose and (ii) in a manner consistent with this Lease and the other Operative Documents and applying standards of use no lower than the standards applied by the Lessee for other substantially similar properties owned or leased by the Lessee. At all times during the Term, the Leased Property shall remain in the possession and control of Lessee or its permitted assignees or sublessees. Lessee covenants and agrees that the Leased Property will at all times be used and operated under and in compliance in all material respects with (1) the terms of any contracts or agreements applicable to the use or operation of the Leased Property or any portion thereof to which Lessee is a party or by which Lessee is bound, or to the extent contemplated by the Operative Documents or, as a result of any action or omission of Lessee, to which Lessor is a party or by which Lessor is bound, (2) Applicable Laws and (3) all applicable Insurance Requirements. The Lessee shall not commit or permit any waste of the Leased Property or any part thereof. Lessee assumes and agrees to pay all fees, real property taxes and/or other Impositions, charges, costs, assessments, impositions, utilities and other amounts which relate to or arise during the Term in connection with the foregoing and the purchase, disposition, ownership, lease or use of any real or personal property, Governmental Actions and other rights, privileges or entitlements required to be paid in connection with the Leased Property. All such charges imposed with respect to the Leased Property for a billing period during which this Lease expires or terminates (except when Lessee purchases the Leased Property in accordance with the terms of this Lease, in which case Lessee shall be solely responsible for all such charges) shall be adjusted and prorated on a daily basis between Lessee and Lessor or any purchaser of the Leased Property, and each party shall pay or reimburse the other for each party’s pro rata share thereof; </w:t>
      </w:r>
      <w:r>
        <w:rPr>
          <w:rFonts w:ascii="Arial" w:cs="Arial" w:eastAsia="Arial" w:hAnsi="Arial"/>
          <w:sz w:val="16"/>
          <w:szCs w:val="16"/>
          <w:i w:val="1"/>
          <w:iCs w:val="1"/>
          <w:color w:val="auto"/>
        </w:rPr>
        <w:t>provided</w:t>
      </w:r>
      <w:r>
        <w:rPr>
          <w:rFonts w:ascii="Arial" w:cs="Arial" w:eastAsia="Arial" w:hAnsi="Arial"/>
          <w:sz w:val="16"/>
          <w:szCs w:val="16"/>
          <w:color w:val="auto"/>
        </w:rPr>
        <w:t>, that in no event shall Lessor have any liability therefor. Lessee shall perform all obligations required to be performed by Lessor under the Tax Abatement Documents. Lessee hereby agrees to perform all obligations of Lessor, including without limitation, the payment of any pro-rations under the Purchase Agreement from and after the Original Closing Date (excluding, the payment of the Purchase Price). Lessee shall be entitled to receive any credit or refund received by the Lessor on account of any utility charges paid by Lessee, net of the costs and expenses reasonably incurred by the Lessor in obtaining such credit or refund, and the amount of such credit or refund shall be promptly paid over to Lessee.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8.2. Compliance with Requirements of Law and Insurance Requirements</w:t>
      </w:r>
      <w:r>
        <w:rPr>
          <w:rFonts w:ascii="Arial" w:cs="Arial" w:eastAsia="Arial" w:hAnsi="Arial"/>
          <w:sz w:val="18"/>
          <w:szCs w:val="18"/>
          <w:color w:val="auto"/>
        </w:rPr>
        <w:t>. (a) Subject to the terms of Article XII relating to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contests, the Lessee, at its sole cost and expense, shall (i) comply in all material respects with all Applicable Laws (including all Environmental Laws) relating to the Leased Property and Insurance Requirements, and (ii) procure, maintain and comply with in all material respects all licenses, permits, orders, approvals, consents and other authorizations required for the use, operation, maintenance, repair and restoration of the Leased Property and for the use, operation, maintenance, repair and restoration of the Facility.</w:t>
      </w:r>
    </w:p>
    <w:p>
      <w:pPr>
        <w:spacing w:after="0" w:line="188" w:lineRule="exact"/>
        <w:rPr>
          <w:sz w:val="20"/>
          <w:szCs w:val="20"/>
          <w:color w:val="auto"/>
        </w:rPr>
      </w:pPr>
    </w:p>
    <w:p>
      <w:pPr>
        <w:jc w:val="both"/>
        <w:ind w:firstLine="656"/>
        <w:spacing w:after="0" w:line="254" w:lineRule="auto"/>
        <w:tabs>
          <w:tab w:leader="none" w:pos="11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Lessee shall not, and shall not suffer or permit a tenant under any sublease to, violate any Applicable Laws affecting the Leased Property, including the Controlled Substances Act, if such violation would result in the occurrence of an Event of Default under Section 16.1(p) below, including the commencement of any proceedings under the Civil Asset Forfeiture Reform Act to the extent the same would constitute an Event of Default. Upon obtaining actual knowledge of any conduct contrary to this Section 8.2, Lessee shall promptly take all actions reasonably expected under the circumstances to terminate any such use of the Leased Property, including: (i) to give timely notice to an appropriate law enforcement agency of information that led the Lessee to know such conduct had occurred, and (ii) in a timely fashion to revoke or make a good faith attempt to revoke permission for those engaging in such conduct to use the Leased Property or to take reasonable actions in consultation with a law enforcement agency to discourage or prevent the illegal use of the Leased Property.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648"/>
        <w:spacing w:after="0" w:line="257" w:lineRule="auto"/>
        <w:rPr>
          <w:sz w:val="20"/>
          <w:szCs w:val="20"/>
          <w:color w:val="auto"/>
        </w:rPr>
      </w:pPr>
      <w:r>
        <w:rPr>
          <w:rFonts w:ascii="Arial" w:cs="Arial" w:eastAsia="Arial" w:hAnsi="Arial"/>
          <w:sz w:val="18"/>
          <w:szCs w:val="18"/>
          <w:i w:val="1"/>
          <w:iCs w:val="1"/>
          <w:color w:val="auto"/>
        </w:rPr>
        <w:t>Section 8.3. Specified Tax Abatement Documents</w:t>
      </w:r>
      <w:r>
        <w:rPr>
          <w:rFonts w:ascii="Arial" w:cs="Arial" w:eastAsia="Arial" w:hAnsi="Arial"/>
          <w:sz w:val="18"/>
          <w:szCs w:val="18"/>
          <w:color w:val="auto"/>
        </w:rPr>
        <w:t>. The Lessee shall not enter into any Specified Tax Abatement Document without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of the Required Participants if such Specified Tax Abatement Document: (i) impose any obligations or covenants upon the Participants (including, without limitation, any payment or indemnity obligations), (ii) impair in any material respect Lessor’s or Administrative Agent’s rights to the Leased Property or access to the Leased Property or (iii) result in any transfer of title or any interest in the Leased Property or risk of forfeiture of the Leased Property, other than for Permitted Liens described in clause (m) of such definition.</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Section 8.4. Power of Attorney</w:t>
      </w:r>
      <w:r>
        <w:rPr>
          <w:rFonts w:ascii="Arial" w:cs="Arial" w:eastAsia="Arial" w:hAnsi="Arial"/>
          <w:sz w:val="17"/>
          <w:szCs w:val="17"/>
          <w:color w:val="auto"/>
        </w:rPr>
        <w:t>. During the Term and</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no Event of Default shall have occurred and be continuing, and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Articles VII, IX and X and Section 8.2, and without the requirement of any further instrument or action of Lessor, Lessor hereby appoints the Lessee as the agent and attorney-in-fact of Lessor for the purpose of exercising and enforcing, and with full right, power and authority to perform the obligations of Lessor and to exercise and to enforce, all of the right, title, interest and remedies of the Lessor in, under and to any agreements and arrangements concerning the use, operation, and repair of the Leased Property, which shall include the power and authority to execute documents relating thereto on behalf of Lessor, so long as such enforcement does not create, or such instruments do not contain, any liability on the part of the Lessor or require any indemnification from Lessor. Lessor agrees, to reasonably cooperate with Lessee and, upon Lessee’s request and at the Lessee’s expense, to execute and deliver and/or to join in the execution of such further instruments as may be necessary to enable the Lessee to perform Lessor’s obligations under such agreements and arrangements during the Term and to exercise and enforce the rights, remedies and obligations conferred to or delegated to the Lessee pursuant to this Section. Upon the expiration or termination of this Lease pursuant to the terms hereof or the express revocation after the occurrence and during the continuance of an Event of Default, the power of attorney granted to the Lessee under this Section shall automatically terminate. So long as no Event of Default has occurred and is continuing, any proceeds obtained by the Lessee from the enforcement of the warranties and obligations of any supplier of goods or services in respect of the Leased Property shall be held by the Lessee and applied from time to time to the repair and maintenance of the Leased Property, and any balance thereof remaining at the expiration of the Term shall be paid over to the Lessor or as it may direct, subject to Section 5.2 of the Participation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AINTENANCE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EPAIR</w:t>
      </w:r>
      <w:r>
        <w:rPr>
          <w:rFonts w:ascii="Arial" w:cs="Arial" w:eastAsia="Arial" w:hAnsi="Arial"/>
          <w:sz w:val="18"/>
          <w:szCs w:val="18"/>
          <w:b w:val="1"/>
          <w:bCs w:val="1"/>
          <w:color w:val="auto"/>
        </w:rPr>
        <w:t>; R</w:t>
      </w:r>
      <w:r>
        <w:rPr>
          <w:rFonts w:ascii="Arial" w:cs="Arial" w:eastAsia="Arial" w:hAnsi="Arial"/>
          <w:sz w:val="12"/>
          <w:szCs w:val="12"/>
          <w:b w:val="1"/>
          <w:bCs w:val="1"/>
          <w:color w:val="auto"/>
        </w:rPr>
        <w:t>EPORTS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Section 9.1. Maintenance and Repair</w:t>
      </w:r>
      <w:r>
        <w:rPr>
          <w:rFonts w:ascii="Arial" w:cs="Arial" w:eastAsia="Arial" w:hAnsi="Arial"/>
          <w:sz w:val="16"/>
          <w:szCs w:val="16"/>
          <w:color w:val="auto"/>
        </w:rPr>
        <w:t>. Lessee, at its own cost and expense, shall at all times during the Term (a) keep, repair and maintain the</w:t>
      </w:r>
      <w:r>
        <w:rPr>
          <w:rFonts w:ascii="Arial" w:cs="Arial" w:eastAsia="Arial" w:hAnsi="Arial"/>
          <w:sz w:val="16"/>
          <w:szCs w:val="16"/>
          <w:i w:val="1"/>
          <w:iCs w:val="1"/>
          <w:color w:val="auto"/>
        </w:rPr>
        <w:t xml:space="preserve"> </w:t>
      </w:r>
      <w:r>
        <w:rPr>
          <w:rFonts w:ascii="Arial" w:cs="Arial" w:eastAsia="Arial" w:hAnsi="Arial"/>
          <w:sz w:val="16"/>
          <w:szCs w:val="16"/>
          <w:color w:val="auto"/>
        </w:rPr>
        <w:t>Leased Property in good working order, subject to ordinary wear and tear, and in any event at least as good as the condition of substantially similar property owned or leased by Lessee (it being acknowledged that certain portions of the Facility do not meet such standards and the Lessee shall have no obligation to perform any alterations to such areas of the Leased Property in order to meet such standard); (b) make such repairs to the Leased Property as are necessary (i) to comply in all material respects with all Applicable Laws, (ii) to comply in all material respects with applicable Insurance Requirements and</w:t>
      </w:r>
    </w:p>
    <w:p>
      <w:pPr>
        <w:spacing w:after="0" w:line="2" w:lineRule="exact"/>
        <w:rPr>
          <w:sz w:val="20"/>
          <w:szCs w:val="20"/>
          <w:color w:val="auto"/>
        </w:rPr>
      </w:pPr>
    </w:p>
    <w:p>
      <w:pPr>
        <w:jc w:val="both"/>
        <w:ind w:firstLine="8"/>
        <w:spacing w:after="0" w:line="288" w:lineRule="auto"/>
        <w:tabs>
          <w:tab w:leader="none" w:pos="32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meet the maintenance and repair standard for similarly sized and situated “Class A” office, laboratory and research and development campuses (it being acknowledged that certain portions of the Facility do not meet such “Class A” standards and the Lessee shall have no obligation to perform any alterations to such areas of the Leased Property in order to meet such standard); (c) use the Leased Property only in accordance with Article VIII; (d) make all necessary or appropriate repairs, replacements, restorations, renewals and take all other actions with respect to the Leased Property or any part thereof which may be required to keep the Leased Property in the condition required by the preceding clauses (a) through (c), structural or nonstructural, ordinary or extraordinary, foreseen or unforeseen; and (e) procure, maintain and comply with all material licenses, permits, orders, approvals, consents and other authorizations required for the installation, construction and maintenance, use and operation, of the Leased Property.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jc w:val="both"/>
        <w:ind w:firstLine="648"/>
        <w:spacing w:after="0" w:line="279" w:lineRule="auto"/>
        <w:rPr>
          <w:sz w:val="20"/>
          <w:szCs w:val="20"/>
          <w:color w:val="auto"/>
        </w:rPr>
      </w:pPr>
      <w:r>
        <w:rPr>
          <w:rFonts w:ascii="Arial" w:cs="Arial" w:eastAsia="Arial" w:hAnsi="Arial"/>
          <w:sz w:val="17"/>
          <w:szCs w:val="17"/>
          <w:i w:val="1"/>
          <w:iCs w:val="1"/>
          <w:color w:val="auto"/>
        </w:rPr>
        <w:t>Section 9.2. Maintenance and Repair Records</w:t>
      </w:r>
      <w:r>
        <w:rPr>
          <w:rFonts w:ascii="Arial" w:cs="Arial" w:eastAsia="Arial" w:hAnsi="Arial"/>
          <w:sz w:val="17"/>
          <w:szCs w:val="17"/>
          <w:color w:val="auto"/>
        </w:rPr>
        <w:t>. Lessee shall keep maintenance and repair records in sufficient detail, at least on the same basis as</w:t>
      </w:r>
      <w:r>
        <w:rPr>
          <w:rFonts w:ascii="Arial" w:cs="Arial" w:eastAsia="Arial" w:hAnsi="Arial"/>
          <w:sz w:val="17"/>
          <w:szCs w:val="17"/>
          <w:i w:val="1"/>
          <w:iCs w:val="1"/>
          <w:color w:val="auto"/>
        </w:rPr>
        <w:t xml:space="preserve"> </w:t>
      </w:r>
      <w:r>
        <w:rPr>
          <w:rFonts w:ascii="Arial" w:cs="Arial" w:eastAsia="Arial" w:hAnsi="Arial"/>
          <w:sz w:val="17"/>
          <w:szCs w:val="17"/>
          <w:color w:val="auto"/>
        </w:rPr>
        <w:t>records are kept for similar properties owned or leased by Lessee, Parent Guarantor or any of its Subsidiaries to indicate the nature and date of major work done at or to the Leased Property. Such reports shall be kept on file by Lessee at the Site, and shall be made available to Lessor upon reasonable request. Lessee shall give written notice to Lessor of any Event of Loss promptly after Lessee has knowledge thereof.</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Section 9.3. Lessor Not Obligated to Maintain or Repair. </w:t>
      </w:r>
      <w:r>
        <w:rPr>
          <w:rFonts w:ascii="Arial" w:cs="Arial" w:eastAsia="Arial" w:hAnsi="Arial"/>
          <w:sz w:val="16"/>
          <w:szCs w:val="16"/>
          <w:color w:val="auto"/>
        </w:rPr>
        <w:t>Lessor shall not under any circumstances be required to build any improvements on</w:t>
      </w:r>
      <w:r>
        <w:rPr>
          <w:rFonts w:ascii="Arial" w:cs="Arial" w:eastAsia="Arial" w:hAnsi="Arial"/>
          <w:sz w:val="16"/>
          <w:szCs w:val="16"/>
          <w:i w:val="1"/>
          <w:iCs w:val="1"/>
          <w:color w:val="auto"/>
        </w:rPr>
        <w:t xml:space="preserve"> </w:t>
      </w:r>
      <w:r>
        <w:rPr>
          <w:rFonts w:ascii="Arial" w:cs="Arial" w:eastAsia="Arial" w:hAnsi="Arial"/>
          <w:sz w:val="16"/>
          <w:szCs w:val="16"/>
          <w:color w:val="auto"/>
        </w:rPr>
        <w:t>the Leased Property, make any repairs, replacements, Modifications or renewals of any nature or description to the Leased Property, make any expenditure whatsoever in connection with this Lease (other than with respect to obligations to make the Advance and Funding as required by the Participation Agreement) or maintain the Leased Property in any way. The Lessee waives any right it may have as of the Restatement Date or thereafter acquire to</w:t>
      </w:r>
    </w:p>
    <w:p>
      <w:pPr>
        <w:spacing w:after="0" w:line="1" w:lineRule="exact"/>
        <w:rPr>
          <w:sz w:val="20"/>
          <w:szCs w:val="20"/>
          <w:color w:val="auto"/>
        </w:rPr>
      </w:pPr>
    </w:p>
    <w:p>
      <w:pPr>
        <w:jc w:val="both"/>
        <w:ind w:firstLine="8"/>
        <w:spacing w:after="0" w:line="255" w:lineRule="auto"/>
        <w:tabs>
          <w:tab w:leader="none" w:pos="2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require Lessor to maintain, repair, replace, restore, alter, remove or rebuild all or part of the Leased Property or (ii) make repairs at the expense of Lessor pursuant to, or to bring the Leased Property in compliance with, any Applicable Laws (including Environmental Laws), contract, agreement, or covenant, condition or restriction in effect at any time during the Term.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ODIFICATIONS</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Section 10.1. Improvements and Modifications</w:t>
      </w:r>
      <w:r>
        <w:rPr>
          <w:rFonts w:ascii="Arial" w:cs="Arial" w:eastAsia="Arial" w:hAnsi="Arial"/>
          <w:sz w:val="17"/>
          <w:szCs w:val="17"/>
          <w:color w:val="auto"/>
        </w:rPr>
        <w:t>. (a) (i) Lessee, at Lessee’s own cost and expense, shall make alterations, renovations,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improvements, additions and upgrades to the Leased Property or any part thereof and substitutions and replacements therefor, and/or make changes the use of the Leased Property or any part thereof (collectively, </w:t>
      </w:r>
      <w:r>
        <w:rPr>
          <w:rFonts w:ascii="Arial" w:cs="Arial" w:eastAsia="Arial" w:hAnsi="Arial"/>
          <w:sz w:val="17"/>
          <w:szCs w:val="17"/>
          <w:i w:val="1"/>
          <w:iCs w:val="1"/>
          <w:color w:val="auto"/>
        </w:rPr>
        <w:t>“Modifications”</w:t>
      </w:r>
      <w:r>
        <w:rPr>
          <w:rFonts w:ascii="Arial" w:cs="Arial" w:eastAsia="Arial" w:hAnsi="Arial"/>
          <w:sz w:val="17"/>
          <w:szCs w:val="17"/>
          <w:color w:val="auto"/>
        </w:rPr>
        <w:t xml:space="preserve">) which are (A) necessary to repair or maintain the Leased Property in the condition required by Section 9.1; (B) necessary in order for the Leased Property to be in compliance with Applicable Laws (including Environmental Laws) in all material respects; or (C) necessary or advisable to restore the Leased Property to substantially the same condition existing prior to a Casualty or Condemnation to the extent required pursuant to Article XIV (collectively, </w:t>
      </w:r>
      <w:r>
        <w:rPr>
          <w:rFonts w:ascii="Arial" w:cs="Arial" w:eastAsia="Arial" w:hAnsi="Arial"/>
          <w:sz w:val="17"/>
          <w:szCs w:val="17"/>
          <w:i w:val="1"/>
          <w:iCs w:val="1"/>
          <w:color w:val="auto"/>
        </w:rPr>
        <w:t>“Required Modifications”</w:t>
      </w:r>
      <w:r>
        <w:rPr>
          <w:rFonts w:ascii="Arial" w:cs="Arial" w:eastAsia="Arial" w:hAnsi="Arial"/>
          <w:sz w:val="17"/>
          <w:szCs w:val="17"/>
          <w:color w:val="auto"/>
        </w:rPr>
        <w:t xml:space="preserve">); and (ii) so long as no Event of Default has occurred and is continuing, Lessee or its subtenants, at Lessee’s or its subtenant’s, as applicable, sole discretion and cost and expense, may undertake other Modifications to the Leased Property so long as such Modifications comply with Applicable Laws in all material respects and with Section 9.1 and Section 10.1(b) (collectively, </w:t>
      </w:r>
      <w:r>
        <w:rPr>
          <w:rFonts w:ascii="Arial" w:cs="Arial" w:eastAsia="Arial" w:hAnsi="Arial"/>
          <w:sz w:val="17"/>
          <w:szCs w:val="17"/>
          <w:i w:val="1"/>
          <w:iCs w:val="1"/>
          <w:color w:val="auto"/>
        </w:rPr>
        <w:t>“Permitted Modifications”</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ind w:left="464" w:hanging="464"/>
        <w:spacing w:after="0"/>
        <w:tabs>
          <w:tab w:leader="none" w:pos="4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making of any Modifications must be in compliance with the following requirements:</w:t>
      </w:r>
    </w:p>
    <w:p>
      <w:pPr>
        <w:spacing w:after="0" w:line="225" w:lineRule="exact"/>
        <w:rPr>
          <w:rFonts w:ascii="Arial" w:cs="Arial" w:eastAsia="Arial" w:hAnsi="Arial"/>
          <w:sz w:val="18"/>
          <w:szCs w:val="18"/>
          <w:color w:val="auto"/>
        </w:rPr>
      </w:pPr>
    </w:p>
    <w:p>
      <w:pPr>
        <w:jc w:val="both"/>
        <w:ind w:left="4" w:firstLine="644"/>
        <w:spacing w:after="0" w:line="269" w:lineRule="auto"/>
        <w:tabs>
          <w:tab w:leader="none" w:pos="1069"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No Modifications shall be undertaken without the prior written consent of the Required Participants, except for the following, each of which shall be permitted without the consent of the Required Participants: (A) any Required Modifications, (B) any Modification or series of Modifications with a cost that does not exceed $30,000,000 individually or, when added to the cost of all other Modifications (other than Required Modifications and Permitted Development Projects) during such calendar year, does not exceed $100,000,000 in the aggregate for such calendar year (the </w:t>
      </w:r>
      <w:r>
        <w:rPr>
          <w:rFonts w:ascii="Arial" w:cs="Arial" w:eastAsia="Arial" w:hAnsi="Arial"/>
          <w:sz w:val="17"/>
          <w:szCs w:val="17"/>
          <w:i w:val="1"/>
          <w:iCs w:val="1"/>
          <w:color w:val="auto"/>
        </w:rPr>
        <w:t>“Annual Modification Cap”</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Modification that is in excess of the Annual Modification Cap shall only require the consent of the Required Participants if such Modification has a cost in excess of $10,000,000, (C) any Permitted Development Projects, (D) the Permitted 767 Improvements and (E) the Loop Road Bridge Work. Notwithstanding the forgoing, in no event shall any Modification to a structural element be made or undertaken without the prior written consent of the Lessor. Lessor shall respond to any consent request under this Section within fifteen (15) days of receipt of such request. The failure of the Lessor to respond shall be deemed a rejection of such consent. As used herein, the term “</w:t>
      </w:r>
      <w:r>
        <w:rPr>
          <w:rFonts w:ascii="Arial" w:cs="Arial" w:eastAsia="Arial" w:hAnsi="Arial"/>
          <w:sz w:val="17"/>
          <w:szCs w:val="17"/>
          <w:i w:val="1"/>
          <w:iCs w:val="1"/>
          <w:color w:val="auto"/>
        </w:rPr>
        <w:t>Loop Road Bridge Work</w:t>
      </w:r>
      <w:r>
        <w:rPr>
          <w:rFonts w:ascii="Arial" w:cs="Arial" w:eastAsia="Arial" w:hAnsi="Arial"/>
          <w:sz w:val="17"/>
          <w:szCs w:val="17"/>
          <w:color w:val="auto"/>
        </w:rPr>
        <w:t>” means the work and development on the Leased Property to connect the proposed pedestrian bridge to be constructed by one or more Affiliates of Lessee across Loop Road with certain of the buildings located on the Leased Property.</w:t>
      </w:r>
    </w:p>
    <w:p>
      <w:pPr>
        <w:spacing w:after="0" w:line="178" w:lineRule="exact"/>
        <w:rPr>
          <w:rFonts w:ascii="Arial" w:cs="Arial" w:eastAsia="Arial" w:hAnsi="Arial"/>
          <w:sz w:val="17"/>
          <w:szCs w:val="17"/>
          <w:color w:val="auto"/>
        </w:rPr>
      </w:pPr>
    </w:p>
    <w:p>
      <w:pPr>
        <w:jc w:val="both"/>
        <w:ind w:left="4" w:firstLine="644"/>
        <w:spacing w:after="0" w:line="291" w:lineRule="auto"/>
        <w:tabs>
          <w:tab w:leader="none" w:pos="109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No Modifications shall be undertaken (x) in violation in any material respect of the terms of any restriction (including any environmental deed restriction), easement, condition, covenant, no further action letter or other similar matter affecting title to or binding on the Leased Property or (y) until Lessee shall have procured and paid for, so far as the same may be required from time to time, all material permits and authorizations to such Modifications of all third Persons or Governmental Authorities having jurisdiction. If requested by Lessee, Lessor, at Lessee’s expense, shall join in the application for any such permit or authorization and execute and deliver any document in connection therewith, whenever such joinder is requested by Lessee and is necessary or advisable as reasonably determined by Lessee. For the avoidance of doubt, nothing in this Section 10(b)(ii) shall serve to limit or restrict the rights granted to Lessee pursuant to Section 11.2 hereof.</w:t>
      </w:r>
    </w:p>
    <w:p>
      <w:pPr>
        <w:spacing w:after="0" w:line="166" w:lineRule="exact"/>
        <w:rPr>
          <w:rFonts w:ascii="Arial" w:cs="Arial" w:eastAsia="Arial" w:hAnsi="Arial"/>
          <w:sz w:val="16"/>
          <w:szCs w:val="16"/>
          <w:color w:val="auto"/>
        </w:rPr>
      </w:pPr>
    </w:p>
    <w:p>
      <w:pPr>
        <w:ind w:left="4" w:firstLine="644"/>
        <w:spacing w:after="0" w:line="277" w:lineRule="auto"/>
        <w:tabs>
          <w:tab w:leader="none" w:pos="112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All Modifications shall be prosecuted in a diligent manner, be completed in a good and workmanlike manner and in compliance in all material respects with all Applicable Laws and applicable Insurance Requirements then in effect.</w:t>
      </w:r>
    </w:p>
    <w:p>
      <w:pPr>
        <w:spacing w:after="0" w:line="170" w:lineRule="exact"/>
        <w:rPr>
          <w:rFonts w:ascii="Arial" w:cs="Arial" w:eastAsia="Arial" w:hAnsi="Arial"/>
          <w:sz w:val="18"/>
          <w:szCs w:val="18"/>
          <w:color w:val="auto"/>
        </w:rPr>
      </w:pPr>
    </w:p>
    <w:p>
      <w:pPr>
        <w:jc w:val="both"/>
        <w:ind w:left="4" w:firstLine="644"/>
        <w:spacing w:after="0" w:line="273" w:lineRule="auto"/>
        <w:tabs>
          <w:tab w:leader="none" w:pos="1114"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All Modifications shall, when completed, be of such a character as to not give rise to any material Environmental Claim or materially adversely affect the utility of the Facility. To the extent the consent of the Required Participants is required for a Modification pursuant to the terms of Section 10.1(b)(i) above, and if requested by the Required Participants, Lessor may obtain a report from a construction consultant or, at the option of the Required Participants, Lessor may engage an appraiser of nationally recognized standing, at Lessee’s sole cost and expense, to determine (by appraisal or other methods satisfactory to the Required Participants) the projected Fair Market Value of such item of the Leased Property as of the completion of the Modifications relating thereto.</w:t>
      </w:r>
    </w:p>
    <w:p>
      <w:pPr>
        <w:spacing w:after="0" w:line="394"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5" w:name="page156"/>
    <w:bookmarkEnd w:id="155"/>
    <w:p>
      <w:pPr>
        <w:jc w:val="both"/>
        <w:ind w:left="660" w:firstLine="644"/>
        <w:spacing w:after="0" w:line="263" w:lineRule="auto"/>
        <w:tabs>
          <w:tab w:leader="none" w:pos="176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Lessee shall have made adequate arrangements for payment of the cost of all Modifications when due so that the Leased Property shall at all times be free of Liens for labor and materials supplied or claimed to have been supplied to the Leased Property, other than Permitted Liens.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9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Notwithstanding anything to the contrary herein, Lessee shall be permitted to remove and/or demolish portions of the Leased Property which are readily removable and are not required by Applicable Law for Lessee’s operation of the Facility in an aggregate amount not to exceed $20,000,000 over the Term.</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Section 10.2. Title to Modifications</w:t>
      </w:r>
      <w:r>
        <w:rPr>
          <w:rFonts w:ascii="Arial" w:cs="Arial" w:eastAsia="Arial" w:hAnsi="Arial"/>
          <w:sz w:val="18"/>
          <w:szCs w:val="18"/>
          <w:color w:val="auto"/>
        </w:rPr>
        <w:t>. (a) Title to the following described Modifications shall, without further act, vest in Lessor and shall be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to constitute a part of the Leased Property and be subject to this Lease:</w:t>
      </w:r>
    </w:p>
    <w:p>
      <w:pPr>
        <w:spacing w:after="0" w:line="170" w:lineRule="exact"/>
        <w:rPr>
          <w:sz w:val="20"/>
          <w:szCs w:val="20"/>
          <w:color w:val="auto"/>
        </w:rPr>
      </w:pPr>
    </w:p>
    <w:p>
      <w:pPr>
        <w:ind w:left="1720" w:hanging="416"/>
        <w:spacing w:after="0"/>
        <w:tabs>
          <w:tab w:leader="none" w:pos="1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Modifications which are in replacement of or in substitution for a portion of any item of Leased Property;</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Required Modifications;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Modifications that are Nonseverable.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requested by Lessor in writing, Lessee shall execute and deliver any deeds, bills of sale, assignments or other documents of conveyance reasonably necessary to evidence the vesting of title in and to such Modifications to Lessor.</w:t>
      </w:r>
    </w:p>
    <w:p>
      <w:pPr>
        <w:spacing w:after="0" w:line="170" w:lineRule="exact"/>
        <w:rPr>
          <w:sz w:val="20"/>
          <w:szCs w:val="20"/>
          <w:color w:val="auto"/>
        </w:rPr>
      </w:pPr>
    </w:p>
    <w:p>
      <w:pPr>
        <w:jc w:val="both"/>
        <w:ind w:firstLine="656"/>
        <w:spacing w:after="0" w:line="263" w:lineRule="auto"/>
        <w:tabs>
          <w:tab w:leader="none" w:pos="110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If such Modifications are not within any of the categories set forth in clauses (i) through (iii) of Section 10.2(a) (each Modification outside such indicated categories, an </w:t>
      </w:r>
      <w:r>
        <w:rPr>
          <w:rFonts w:ascii="Arial" w:cs="Arial" w:eastAsia="Arial" w:hAnsi="Arial"/>
          <w:sz w:val="18"/>
          <w:szCs w:val="18"/>
          <w:i w:val="1"/>
          <w:iCs w:val="1"/>
          <w:color w:val="auto"/>
        </w:rPr>
        <w:t>“Improvement”</w:t>
      </w:r>
      <w:r>
        <w:rPr>
          <w:rFonts w:ascii="Arial" w:cs="Arial" w:eastAsia="Arial" w:hAnsi="Arial"/>
          <w:sz w:val="18"/>
          <w:szCs w:val="18"/>
          <w:color w:val="auto"/>
        </w:rPr>
        <w:t>), then title to such Improvements shall vest in Lessee and such Improvements shall not be deemed to be Modifications which are part of the Leased Property.</w:t>
      </w:r>
    </w:p>
    <w:p>
      <w:pPr>
        <w:spacing w:after="0" w:line="183" w:lineRule="exact"/>
        <w:rPr>
          <w:rFonts w:ascii="Arial" w:cs="Arial" w:eastAsia="Arial" w:hAnsi="Arial"/>
          <w:sz w:val="18"/>
          <w:szCs w:val="18"/>
          <w:color w:val="auto"/>
        </w:rPr>
      </w:pPr>
    </w:p>
    <w:p>
      <w:pPr>
        <w:jc w:val="both"/>
        <w:ind w:firstLine="656"/>
        <w:spacing w:after="0" w:line="268" w:lineRule="auto"/>
        <w:tabs>
          <w:tab w:leader="none" w:pos="109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Each Improvement to which Lessee shall have title may be removed at any time by Lessee or its designee so long as (i) removal thereof shall not (A) result in the violation of any Applicable Laws (including Environmental Laws) or (B) adversely affect the Lessee’s ability to comply with its obligations under this Lease or any other Operative Document, and (ii) no Event of Default is continuing. Other than with respect to any Improvement being temporarily removed for the purpose of upgrading such Improvement and any Improvement being removed and replaced in the ordinary course of Lessee’s business, Lessee agrees to notify Lessor in writing at least ten (10) days before it removes any such Improvement which had an original cost exceeding $30,000,000 individually or for which the consent of the Required Participants was required, and Lessee shall at its expense repair any damage to the Leased Property caused by the removal of such Improvement. Lessor (or the purchaser of the Leased Property) may purchase from Lessee any such Improvement (if not already owned by Lessor) that Lessee intends to remove from the Leased Property prior to the return of the Leased Property to Lessor or sale of the Leased Property, which purchase shall be at the Fair Market Value of such Improvement as determined by the Appraiser at the time of such purchase. Title to any such Improvement shall vest in Lessor (or the purchaser of the applicable Leased Property) if not removed from the Leased Property by Lessee prior to the return of the Leased Property to Lessor or sale of the Leased Property. Modifications, title to which are vested in Lessor, shall be made available to the Lessee or its designee without cost during the Term and thereafter if the use thereof is necessary or useful for the operation of the Leased Property.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jc w:val="both"/>
        <w:ind w:firstLine="656"/>
        <w:spacing w:after="0" w:line="268" w:lineRule="auto"/>
        <w:tabs>
          <w:tab w:leader="none" w:pos="110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ownership of and title to all trade fixtures, Equipment, Improvements not transferred by Sellers to the Lessor under the Purchase Agreement, signs and other personal property owned by the Lessee and located on the Leased Property (</w:t>
      </w:r>
      <w:r>
        <w:rPr>
          <w:rFonts w:ascii="Arial" w:cs="Arial" w:eastAsia="Arial" w:hAnsi="Arial"/>
          <w:sz w:val="17"/>
          <w:szCs w:val="17"/>
          <w:i w:val="1"/>
          <w:iCs w:val="1"/>
          <w:color w:val="auto"/>
        </w:rPr>
        <w:t>“Lessee Property”</w:t>
      </w:r>
      <w:r>
        <w:rPr>
          <w:rFonts w:ascii="Arial" w:cs="Arial" w:eastAsia="Arial" w:hAnsi="Arial"/>
          <w:sz w:val="17"/>
          <w:szCs w:val="17"/>
          <w:color w:val="auto"/>
        </w:rPr>
        <w:t>) shall remain in the Lessee, and the Lessee Property may be removed by the Lessee from time to time and at the expiration or termination of the Term, so long as removal thereof shall not (A) result in the violation of any Applicable Laws in any material respect or (B) adversely affect the Lessee’s ability to comply with its obligations under this Lease or any other Operative Document. Furthermore, the Lessee shall have no obligation to remove the Lessee Property at the expiration or termination of the Term. In particular, the Lessee may opt to (i) sell, dispose or otherwise remove of any or all of the Lessee Property prior to or upon the expiration or termination of the Term or (ii) dismantle and abandon any or all of the Lessee Property. In addition, the Lessee shall have no obligation under this Lease to maintain any of the Lessee Property in its original condition. If the Lessee shall opt not to remove any or all of the Lessee Property at the expiration or termination of the Term, the Lessee Property shall be deemed abandoned and shall become the property of Lessor and Lessor agrees to accept such Lessee Property in AS-IS, WHERE-IS condition on the date of expiration or termination of this Lease. Except as otherwise expressly provided herein, Lessor shall be deemed to have waived any interest, lien or claim of any nature that Lessor, or its successors, assigns, lenders or agents may have as of the Restatement Date or thereafter obtain in the Lessee Property whether by operation of law, contract or otherwise.</w:t>
      </w:r>
    </w:p>
    <w:p>
      <w:pPr>
        <w:spacing w:after="0" w:line="18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Section 10.3. Permitted Developments. </w:t>
      </w:r>
      <w:r>
        <w:rPr>
          <w:rFonts w:ascii="Arial" w:cs="Arial" w:eastAsia="Arial" w:hAnsi="Arial"/>
          <w:sz w:val="16"/>
          <w:szCs w:val="16"/>
          <w:color w:val="auto"/>
        </w:rPr>
        <w:t>(a) Lessor hereby acknowledges receipt of the existing development plans described on Schedule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attached hereto with respect to certain undeveloped portions of the Site (such portions of the Site, the </w:t>
      </w:r>
      <w:r>
        <w:rPr>
          <w:rFonts w:ascii="Arial" w:cs="Arial" w:eastAsia="Arial" w:hAnsi="Arial"/>
          <w:sz w:val="16"/>
          <w:szCs w:val="16"/>
          <w:i w:val="1"/>
          <w:iCs w:val="1"/>
          <w:color w:val="auto"/>
        </w:rPr>
        <w:t>“Undeveloped Areas”</w:t>
      </w:r>
      <w:r>
        <w:rPr>
          <w:rFonts w:ascii="Arial" w:cs="Arial" w:eastAsia="Arial" w:hAnsi="Arial"/>
          <w:sz w:val="16"/>
          <w:szCs w:val="16"/>
          <w:color w:val="auto"/>
        </w:rPr>
        <w:t>). Notwithstanding Section 10.1(b), Lessee shall be permitted to develop the Undeveloped Areas for uses that are consistent with the use of the Facility permitted hereunder (including, without limitation, wet labs, dry labs and specialty labs, as well as uses appurtenant thereto, including, without limitation, amenities relating thereto such as cafeteria, restaurant, child care, fitness centers and warehouse and storage facilities and parking) and otherwise in a manner in compliance in all material respects with Applicable Laws, and without the consent of Lessor, the Administrative Agent or any of the Participants, so long as the development is permitted under applicable zoning requirements and no Event of Default is continuing or will occur due to such development. At Lessee’s request, Lessor shall enter into a fully financeable ground lease (with nondisturbance and recognition and other customary lender protections) in form and substance reasonably satisfactory to Lessee and Lessor for the Undeveloped Area (any such ground lease for the Undeveloped Area or any portion thereof, a “</w:t>
      </w:r>
      <w:r>
        <w:rPr>
          <w:rFonts w:ascii="Arial" w:cs="Arial" w:eastAsia="Arial" w:hAnsi="Arial"/>
          <w:sz w:val="16"/>
          <w:szCs w:val="16"/>
          <w:i w:val="1"/>
          <w:iCs w:val="1"/>
          <w:color w:val="auto"/>
        </w:rPr>
        <w:t>Development Ground Lease</w:t>
      </w:r>
      <w:r>
        <w:rPr>
          <w:rFonts w:ascii="Arial" w:cs="Arial" w:eastAsia="Arial" w:hAnsi="Arial"/>
          <w:sz w:val="16"/>
          <w:szCs w:val="16"/>
          <w:color w:val="auto"/>
        </w:rPr>
        <w:t>”) and, upon execution thereof, such Undeveloped Area subject thereto shall no longer be subject to this Lease. The Development Ground Lease for any Undeveloped Area shall be triple net and have fair market rent payable thereunder and shall be for a 99-year term. Lessor and Lessee have entered into a fully financeable ground lease for the Parcel D Ground Leased Property. The Parcel D Ground Leased Property subject to the Parcel D Ground Lease is not subject to this Lease. Notwithstanding anything to the contrary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left="660" w:firstLine="644"/>
        <w:spacing w:after="0" w:line="255" w:lineRule="auto"/>
        <w:tabs>
          <w:tab w:leader="none" w:pos="172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whenever the Lessee elects to the purchase the Leased Property, or is otherwise required to purchase the Leased Property, (i) the Lessee shall correspondingly be required to purchase the Parcel D Ground Leased Property subject to the Parcel D Ground Lease and any Undeveloped Area subject to any Development Ground Lease then in effect, and (ii) upon Lessor’s or Administrative Agent’s receipt of the Purchase Amount, Lessor shall transfer good and marketable fee title to the Parcel D Ground Leased Property subject to the Parcel D Ground Lease and the Undeveloped Areas subject to any Development Ground Lease, in each case, to Lessee at Lessee’s sole cost and expense, free and clear of any and all liens caused or created by Lessor; and</w:t>
      </w:r>
    </w:p>
    <w:p>
      <w:pPr>
        <w:spacing w:after="0" w:line="192" w:lineRule="exact"/>
        <w:rPr>
          <w:rFonts w:ascii="Arial" w:cs="Arial" w:eastAsia="Arial" w:hAnsi="Arial"/>
          <w:sz w:val="18"/>
          <w:szCs w:val="18"/>
          <w:color w:val="auto"/>
        </w:rPr>
      </w:pPr>
    </w:p>
    <w:p>
      <w:pPr>
        <w:jc w:val="both"/>
        <w:ind w:left="660" w:firstLine="644"/>
        <w:spacing w:after="0" w:line="293" w:lineRule="auto"/>
        <w:tabs>
          <w:tab w:leader="none" w:pos="1753" w:val="left"/>
        </w:tabs>
        <w:numPr>
          <w:ilvl w:val="1"/>
          <w:numId w:val="134"/>
        </w:numPr>
        <w:rPr>
          <w:rFonts w:ascii="Arial" w:cs="Arial" w:eastAsia="Arial" w:hAnsi="Arial"/>
          <w:sz w:val="16"/>
          <w:szCs w:val="16"/>
          <w:color w:val="auto"/>
        </w:rPr>
      </w:pPr>
      <w:r>
        <w:rPr>
          <w:rFonts w:ascii="Arial" w:cs="Arial" w:eastAsia="Arial" w:hAnsi="Arial"/>
          <w:sz w:val="16"/>
          <w:szCs w:val="16"/>
          <w:color w:val="auto"/>
        </w:rPr>
        <w:t>whenever the Lessee elects to the sell the Leased Property pursuant to its exercise of the Sale Option, (i) the Lessee shall correspondingly be required to sell on behalf of Lessor the Parcel D Ground Leased Property subject to the Parcel D Ground Lease and any Undeveloped Area subject to any Development Ground Lease then in effect, and (ii) on the date upon which such sale and transfer of the Leased Property is consummated in accordance with Articles XX and XXI, Lessor shall transfer good and marketable fee title to the Parcel D Ground Leased Property subject to the Parcel D Ground Lease and the Undeveloped Areas subject to any Development Ground Lease, in each case, to the relevant purchaser pursuant to the Sale Option at Lessee’s sole cost and expense, free and clear of any and all liens caused or created by Lessor.</w:t>
      </w:r>
    </w:p>
    <w:p>
      <w:pPr>
        <w:spacing w:after="0" w:line="164" w:lineRule="exact"/>
        <w:rPr>
          <w:rFonts w:ascii="Arial" w:cs="Arial" w:eastAsia="Arial" w:hAnsi="Arial"/>
          <w:sz w:val="16"/>
          <w:szCs w:val="16"/>
          <w:color w:val="auto"/>
        </w:rPr>
      </w:pPr>
    </w:p>
    <w:p>
      <w:pPr>
        <w:jc w:val="both"/>
        <w:ind w:firstLine="656"/>
        <w:spacing w:after="0" w:line="287" w:lineRule="auto"/>
        <w:tabs>
          <w:tab w:leader="none" w:pos="110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Lessor hereby acknowledges receipt of the existing development plans described on Schedule A attached hereto with respect to certain developed portions of the Site described on Schedule B attached hereto (such portions of the Site, the </w:t>
      </w:r>
      <w:r>
        <w:rPr>
          <w:rFonts w:ascii="Arial" w:cs="Arial" w:eastAsia="Arial" w:hAnsi="Arial"/>
          <w:sz w:val="16"/>
          <w:szCs w:val="16"/>
          <w:i w:val="1"/>
          <w:iCs w:val="1"/>
          <w:color w:val="auto"/>
        </w:rPr>
        <w:t>“Permitted Developed Areas”</w:t>
      </w:r>
      <w:r>
        <w:rPr>
          <w:rFonts w:ascii="Arial" w:cs="Arial" w:eastAsia="Arial" w:hAnsi="Arial"/>
          <w:sz w:val="16"/>
          <w:szCs w:val="16"/>
          <w:color w:val="auto"/>
        </w:rPr>
        <w:t>). Notwithstanding section 10.1(b), Lessee shall be permitted to develop Permitted Developed Areas for uses that are consistent with the uses of the Leased Property permitted hereunder (including, without limitation, wet labs, dry labs and specialty labs, as well as uses appurtenant thereto, including, without limitation, amenities relating thereto such as cafeteria, restaurant, child care, fitness centers and warehouse and storage facilities and parking) and otherwise in a manner in compliance in all material respects with Applicable Laws, and without the consent of Lessor, the Administrative Agent or any of the Participants, so long as the development is permitted under applicable zoning requirements, consistent with the existing use of the Facility and no Event of Default is continuing or will occur due to such development. So long as the Lessee has paid the Permitted Developed Area Release Payment to the Participants (or to the Administrative Agent for distribution to the Participants), at Lessee’s request, Lessor shall enter into a fully financeable ground lease (with nondisturbance and recognition and other customary lender protections) in form and substance reasonably satisfactory to Lessee and Lessor for the Permitted Developed Area and, upon execution thereof, such Permitted Developed Area subject thereto shall no longer be subject to this Lease. The ground lease shall be triple net and have fair market rent payable thereunder and shall be for a 99-year term.</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jc w:val="both"/>
        <w:ind w:firstLine="656"/>
        <w:spacing w:after="0" w:line="287" w:lineRule="auto"/>
        <w:tabs>
          <w:tab w:leader="none" w:pos="109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Lessor hereby conditionally assigns to Lessee or its designee the right to receive ground lease rent and any and all condemnation awards under the Parcel D Ground Lease, under any Development Ground Lease and under any ground lease executed pursuant to 10.3(b) hereof. If Lessee receives written notice from Lessor or the Administrative Agent, the assignment under this clause (c) shall be (i) suspended during the continuance of an Event of Default (but shall be reinstated upon the cure of such Event of Default) and (ii) terminated upon (x) the exercise of any sale or foreclosure remedies by Lessor or Administrative Agent upon the occurrence and during the continuance of any Event of Default or (y) the termination of this Lease pursuant to Section 16.2. During any such suspension, Lessor is authorized to notify the party paying the ground lease rent that all such ground lease rent shall be payable to the Lessor. If Lessee exercises the Sale Option, then the assignment under this clause (c) shall terminate on the date upon which a sale and transfer of the Leased Property is consummated in accordance with Articles XX and XXI, and, upon such termination, Lessor is authorized to notify the party paying the ground lease rent that all such ground lease rent shall be payable to the relevant purchaser pursuant to the Sale Option. To the extent permitted by law for applicable tax purposes, Lessor and Lessee acknowledge and agree that Lessee or its designee, as applicable, intends to disregard the amount of any ground lease rent received from Lessor pursuant to such assignment for U.S. income tax purposes.</w:t>
      </w:r>
    </w:p>
    <w:p>
      <w:pPr>
        <w:spacing w:after="0" w:line="171" w:lineRule="exact"/>
        <w:rPr>
          <w:rFonts w:ascii="Arial" w:cs="Arial" w:eastAsia="Arial" w:hAnsi="Arial"/>
          <w:sz w:val="16"/>
          <w:szCs w:val="16"/>
          <w:color w:val="auto"/>
        </w:rPr>
      </w:pPr>
    </w:p>
    <w:p>
      <w:pPr>
        <w:jc w:val="both"/>
        <w:ind w:firstLine="656"/>
        <w:spacing w:after="0" w:line="271" w:lineRule="auto"/>
        <w:tabs>
          <w:tab w:leader="none" w:pos="110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Lessor acknowledges (and, by acceptance of any of the benefits of any Security Instrument, Administrative Agent and each Rent Assignee acknowledges) that (i) the Parcel D REA has been consented to by Lessor, (ii) the Liens of the Security Instruments and the right, interest and title of Lessor, Administrative Agent and the Rent Assignees in the Leased Property and other Collateral have been, and hereby are, subordinated to the rights of the Parcel D Ground Lease Lessee to the Leased Property granted pursuant to the Parcel D REA, and (iii) if Lessor, Administrative Agent or any Rent Assignee exercises any foreclosure, enforcement or other remedy available under any Security Instrument, none of Lessor, Administrative Agent or any Rent Assignee shall extinguish or otherwise impair the validity of the Parcel D REA with respect to the Parcel D Ground Lease Lessee’s interest or the Parcel D Ground Lease or any of the covenants running with the land described therein, which Parcel D REA and Parcel D Ground Lease shall thereafter continue in full force and effect with respect to the property encumbered by any Security Instrument.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 WITH</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ESPECT TO</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IENS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ASEMENTS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Section 11.1. Covenants with Respect to Liens</w:t>
      </w:r>
      <w:r>
        <w:rPr>
          <w:rFonts w:ascii="Arial" w:cs="Arial" w:eastAsia="Arial" w:hAnsi="Arial"/>
          <w:sz w:val="18"/>
          <w:szCs w:val="18"/>
          <w:color w:val="auto"/>
        </w:rPr>
        <w:t>. (a) During the Term, Lessee will not directly or indirectly create, incur, assume or suffer to exist</w:t>
      </w:r>
      <w:r>
        <w:rPr>
          <w:rFonts w:ascii="Arial" w:cs="Arial" w:eastAsia="Arial" w:hAnsi="Arial"/>
          <w:sz w:val="18"/>
          <w:szCs w:val="18"/>
          <w:i w:val="1"/>
          <w:iCs w:val="1"/>
          <w:color w:val="auto"/>
        </w:rPr>
        <w:t xml:space="preserve"> </w:t>
      </w:r>
      <w:r>
        <w:rPr>
          <w:rFonts w:ascii="Arial" w:cs="Arial" w:eastAsia="Arial" w:hAnsi="Arial"/>
          <w:sz w:val="18"/>
          <w:szCs w:val="18"/>
          <w:color w:val="auto"/>
        </w:rPr>
        <w:t>any Lien (other than Permitted Liens) on or with respect to any portion of the Leased Property, Lessor’s title thereto, or any interest therein. Lessee, at its own expense, will promptly pay, satisfy and otherwise take such actions as may be necessary to keep the Leased Property free and clear of, and duly to discharge, eliminate or bond in a manner reasonably satisfactory to Lessor and the Administrative Agent, any such Lien (other than Permitted Liens) if the same shall arise at any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firstLine="656"/>
        <w:spacing w:after="0" w:line="271" w:lineRule="auto"/>
        <w:tabs>
          <w:tab w:leader="none" w:pos="110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Nothing contained in this Lease shall be construed as constituting the consent or request of Lessor, express or implied, to or for the performance by any contractor, mechanic, laborer, materialman, supplier or vendor of any labor or services or for the furnishing of any materials for any construction, alteration, addition, repair, restoration or demolition of or to the Leased Property or any part thereof. N</w:t>
      </w:r>
      <w:r>
        <w:rPr>
          <w:rFonts w:ascii="Arial" w:cs="Arial" w:eastAsia="Arial" w:hAnsi="Arial"/>
          <w:sz w:val="11"/>
          <w:szCs w:val="11"/>
          <w:color w:val="auto"/>
        </w:rPr>
        <w:t>OTICE IS HEREBY GIVEN THAT NONE OF</w:t>
      </w:r>
    </w:p>
    <w:p>
      <w:pPr>
        <w:jc w:val="both"/>
        <w:spacing w:after="0" w:line="250" w:lineRule="auto"/>
        <w:rPr>
          <w:rFonts w:ascii="Arial" w:cs="Arial" w:eastAsia="Arial" w:hAnsi="Arial"/>
          <w:sz w:val="17"/>
          <w:szCs w:val="17"/>
          <w:color w:val="auto"/>
        </w:rPr>
      </w:pPr>
      <w:r>
        <w:rPr>
          <w:rFonts w:ascii="Arial" w:cs="Arial" w:eastAsia="Arial" w:hAnsi="Arial"/>
          <w:sz w:val="18"/>
          <w:szCs w:val="18"/>
          <w:color w:val="auto"/>
        </w:rPr>
        <w:t>L</w:t>
      </w:r>
      <w:r>
        <w:rPr>
          <w:rFonts w:ascii="Arial" w:cs="Arial" w:eastAsia="Arial" w:hAnsi="Arial"/>
          <w:sz w:val="12"/>
          <w:szCs w:val="12"/>
          <w:color w:val="auto"/>
        </w:rPr>
        <w:t>ESSOR</w:t>
      </w:r>
      <w:r>
        <w:rPr>
          <w:rFonts w:ascii="Arial" w:cs="Arial" w:eastAsia="Arial" w:hAnsi="Arial"/>
          <w:sz w:val="18"/>
          <w:szCs w:val="18"/>
          <w:color w:val="auto"/>
        </w:rPr>
        <w:t xml:space="preserve">, </w:t>
      </w:r>
      <w:r>
        <w:rPr>
          <w:rFonts w:ascii="Arial" w:cs="Arial" w:eastAsia="Arial" w:hAnsi="Arial"/>
          <w:sz w:val="12"/>
          <w:szCs w:val="12"/>
          <w:color w:val="auto"/>
        </w:rPr>
        <w:t>THE</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 OR ANY OF THE</w:t>
      </w:r>
      <w:r>
        <w:rPr>
          <w:rFonts w:ascii="Arial" w:cs="Arial" w:eastAsia="Arial" w:hAnsi="Arial"/>
          <w:sz w:val="18"/>
          <w:szCs w:val="18"/>
          <w:color w:val="auto"/>
        </w:rPr>
        <w:t xml:space="preserve"> P</w:t>
      </w:r>
      <w:r>
        <w:rPr>
          <w:rFonts w:ascii="Arial" w:cs="Arial" w:eastAsia="Arial" w:hAnsi="Arial"/>
          <w:sz w:val="12"/>
          <w:szCs w:val="12"/>
          <w:color w:val="auto"/>
        </w:rPr>
        <w:t>ARTICIPANTS IS OR SHALL BE LIABLE FOR ANY LABOR</w:t>
      </w:r>
      <w:r>
        <w:rPr>
          <w:rFonts w:ascii="Arial" w:cs="Arial" w:eastAsia="Arial" w:hAnsi="Arial"/>
          <w:sz w:val="18"/>
          <w:szCs w:val="18"/>
          <w:color w:val="auto"/>
        </w:rPr>
        <w:t xml:space="preserve">, </w:t>
      </w:r>
      <w:r>
        <w:rPr>
          <w:rFonts w:ascii="Arial" w:cs="Arial" w:eastAsia="Arial" w:hAnsi="Arial"/>
          <w:sz w:val="12"/>
          <w:szCs w:val="12"/>
          <w:color w:val="auto"/>
        </w:rPr>
        <w:t>SERVICES OR MATERIALS FURNISHED OR TO BE FURNISHED TO THE</w:t>
      </w:r>
      <w:r>
        <w:rPr>
          <w:rFonts w:ascii="Arial" w:cs="Arial" w:eastAsia="Arial" w:hAnsi="Arial"/>
          <w:sz w:val="18"/>
          <w:szCs w:val="18"/>
          <w:color w:val="auto"/>
        </w:rPr>
        <w:t xml:space="preserve"> L</w:t>
      </w:r>
      <w:r>
        <w:rPr>
          <w:rFonts w:ascii="Arial" w:cs="Arial" w:eastAsia="Arial" w:hAnsi="Arial"/>
          <w:sz w:val="12"/>
          <w:szCs w:val="12"/>
          <w:color w:val="auto"/>
        </w:rPr>
        <w:t>ESSEE</w:t>
      </w:r>
      <w:r>
        <w:rPr>
          <w:rFonts w:ascii="Arial" w:cs="Arial" w:eastAsia="Arial" w:hAnsi="Arial"/>
          <w:sz w:val="18"/>
          <w:szCs w:val="18"/>
          <w:color w:val="auto"/>
        </w:rPr>
        <w:t xml:space="preserve">, </w:t>
      </w:r>
      <w:r>
        <w:rPr>
          <w:rFonts w:ascii="Arial" w:cs="Arial" w:eastAsia="Arial" w:hAnsi="Arial"/>
          <w:sz w:val="12"/>
          <w:szCs w:val="12"/>
          <w:color w:val="auto"/>
        </w:rPr>
        <w:t>OR TO ANYONE HOLDING THE</w:t>
      </w:r>
      <w:r>
        <w:rPr>
          <w:rFonts w:ascii="Arial" w:cs="Arial" w:eastAsia="Arial" w:hAnsi="Arial"/>
          <w:sz w:val="18"/>
          <w:szCs w:val="18"/>
          <w:color w:val="auto"/>
        </w:rPr>
        <w:t xml:space="preserve"> L</w:t>
      </w:r>
      <w:r>
        <w:rPr>
          <w:rFonts w:ascii="Arial" w:cs="Arial" w:eastAsia="Arial" w:hAnsi="Arial"/>
          <w:sz w:val="12"/>
          <w:szCs w:val="12"/>
          <w:color w:val="auto"/>
        </w:rPr>
        <w:t>EASED</w:t>
      </w:r>
      <w:r>
        <w:rPr>
          <w:rFonts w:ascii="Arial" w:cs="Arial" w:eastAsia="Arial" w:hAnsi="Arial"/>
          <w:sz w:val="18"/>
          <w:szCs w:val="18"/>
          <w:color w:val="auto"/>
        </w:rPr>
        <w:t xml:space="preserve"> P</w:t>
      </w:r>
      <w:r>
        <w:rPr>
          <w:rFonts w:ascii="Arial" w:cs="Arial" w:eastAsia="Arial" w:hAnsi="Arial"/>
          <w:sz w:val="12"/>
          <w:szCs w:val="12"/>
          <w:color w:val="auto"/>
        </w:rPr>
        <w:t>ROPERTY OR ANY PART THEREOF THROUGH OR UNDER THE</w:t>
      </w:r>
      <w:r>
        <w:rPr>
          <w:rFonts w:ascii="Arial" w:cs="Arial" w:eastAsia="Arial" w:hAnsi="Arial"/>
          <w:sz w:val="18"/>
          <w:szCs w:val="18"/>
          <w:color w:val="auto"/>
        </w:rPr>
        <w:t xml:space="preserve"> L</w:t>
      </w:r>
      <w:r>
        <w:rPr>
          <w:rFonts w:ascii="Arial" w:cs="Arial" w:eastAsia="Arial" w:hAnsi="Arial"/>
          <w:sz w:val="12"/>
          <w:szCs w:val="12"/>
          <w:color w:val="auto"/>
        </w:rPr>
        <w:t>ESSEE</w:t>
      </w:r>
      <w:r>
        <w:rPr>
          <w:rFonts w:ascii="Arial" w:cs="Arial" w:eastAsia="Arial" w:hAnsi="Arial"/>
          <w:sz w:val="18"/>
          <w:szCs w:val="18"/>
          <w:color w:val="auto"/>
        </w:rPr>
        <w:t xml:space="preserve">, </w:t>
      </w:r>
      <w:r>
        <w:rPr>
          <w:rFonts w:ascii="Arial" w:cs="Arial" w:eastAsia="Arial" w:hAnsi="Arial"/>
          <w:sz w:val="12"/>
          <w:szCs w:val="12"/>
          <w:color w:val="auto"/>
        </w:rPr>
        <w:t>AND THAT NO MECHANIC</w:t>
      </w:r>
      <w:r>
        <w:rPr>
          <w:rFonts w:ascii="Arial" w:cs="Arial" w:eastAsia="Arial" w:hAnsi="Arial"/>
          <w:sz w:val="18"/>
          <w:szCs w:val="18"/>
          <w:color w:val="auto"/>
        </w:rPr>
        <w:t>’</w:t>
      </w:r>
      <w:r>
        <w:rPr>
          <w:rFonts w:ascii="Arial" w:cs="Arial" w:eastAsia="Arial" w:hAnsi="Arial"/>
          <w:sz w:val="12"/>
          <w:szCs w:val="12"/>
          <w:color w:val="auto"/>
        </w:rPr>
        <w:t>S OR OTHER</w:t>
      </w:r>
      <w:r>
        <w:rPr>
          <w:rFonts w:ascii="Arial" w:cs="Arial" w:eastAsia="Arial" w:hAnsi="Arial"/>
          <w:sz w:val="18"/>
          <w:szCs w:val="18"/>
          <w:color w:val="auto"/>
        </w:rPr>
        <w:t xml:space="preserve"> L</w:t>
      </w:r>
      <w:r>
        <w:rPr>
          <w:rFonts w:ascii="Arial" w:cs="Arial" w:eastAsia="Arial" w:hAnsi="Arial"/>
          <w:sz w:val="12"/>
          <w:szCs w:val="12"/>
          <w:color w:val="auto"/>
        </w:rPr>
        <w:t>IENS FOR ANY SUCH</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LABOR</w:t>
      </w:r>
      <w:r>
        <w:rPr>
          <w:rFonts w:ascii="Arial" w:cs="Arial" w:eastAsia="Arial" w:hAnsi="Arial"/>
          <w:sz w:val="17"/>
          <w:szCs w:val="17"/>
          <w:color w:val="auto"/>
        </w:rPr>
        <w:t>,</w:t>
      </w:r>
      <w:r>
        <w:rPr>
          <w:rFonts w:ascii="Arial" w:cs="Arial" w:eastAsia="Arial" w:hAnsi="Arial"/>
          <w:sz w:val="12"/>
          <w:szCs w:val="12"/>
          <w:color w:val="auto"/>
        </w:rPr>
        <w:t xml:space="preserve"> SERVICES OR MATERIALS SHALL ATTACH TO OR AFFECT THE INTEREST OF </w:t>
      </w:r>
      <w:r>
        <w:rPr>
          <w:rFonts w:ascii="Arial" w:cs="Arial" w:eastAsia="Arial" w:hAnsi="Arial"/>
          <w:sz w:val="17"/>
          <w:szCs w:val="17"/>
          <w:color w:val="auto"/>
        </w:rPr>
        <w:t>L</w:t>
      </w:r>
      <w:r>
        <w:rPr>
          <w:rFonts w:ascii="Arial" w:cs="Arial" w:eastAsia="Arial" w:hAnsi="Arial"/>
          <w:sz w:val="12"/>
          <w:szCs w:val="12"/>
          <w:color w:val="auto"/>
        </w:rPr>
        <w:t>ESSOR</w:t>
      </w:r>
      <w:r>
        <w:rPr>
          <w:rFonts w:ascii="Arial" w:cs="Arial" w:eastAsia="Arial" w:hAnsi="Arial"/>
          <w:sz w:val="17"/>
          <w:szCs w:val="17"/>
          <w:color w:val="auto"/>
        </w:rPr>
        <w:t>,</w:t>
      </w:r>
      <w:r>
        <w:rPr>
          <w:rFonts w:ascii="Arial" w:cs="Arial" w:eastAsia="Arial" w:hAnsi="Arial"/>
          <w:sz w:val="12"/>
          <w:szCs w:val="12"/>
          <w:color w:val="auto"/>
        </w:rPr>
        <w:t xml:space="preserve"> THE </w:t>
      </w:r>
      <w:r>
        <w:rPr>
          <w:rFonts w:ascii="Arial" w:cs="Arial" w:eastAsia="Arial" w:hAnsi="Arial"/>
          <w:sz w:val="17"/>
          <w:szCs w:val="17"/>
          <w:color w:val="auto"/>
        </w:rPr>
        <w:t>A</w:t>
      </w:r>
      <w:r>
        <w:rPr>
          <w:rFonts w:ascii="Arial" w:cs="Arial" w:eastAsia="Arial" w:hAnsi="Arial"/>
          <w:sz w:val="12"/>
          <w:szCs w:val="12"/>
          <w:color w:val="auto"/>
        </w:rPr>
        <w:t xml:space="preserve">DMINISTRATIVE </w:t>
      </w:r>
      <w:r>
        <w:rPr>
          <w:rFonts w:ascii="Arial" w:cs="Arial" w:eastAsia="Arial" w:hAnsi="Arial"/>
          <w:sz w:val="17"/>
          <w:szCs w:val="17"/>
          <w:color w:val="auto"/>
        </w:rPr>
        <w:t>A</w:t>
      </w:r>
      <w:r>
        <w:rPr>
          <w:rFonts w:ascii="Arial" w:cs="Arial" w:eastAsia="Arial" w:hAnsi="Arial"/>
          <w:sz w:val="12"/>
          <w:szCs w:val="12"/>
          <w:color w:val="auto"/>
        </w:rPr>
        <w:t xml:space="preserve">GENT OR ANY </w:t>
      </w:r>
      <w:r>
        <w:rPr>
          <w:rFonts w:ascii="Arial" w:cs="Arial" w:eastAsia="Arial" w:hAnsi="Arial"/>
          <w:sz w:val="17"/>
          <w:szCs w:val="17"/>
          <w:color w:val="auto"/>
        </w:rPr>
        <w:t>P</w:t>
      </w:r>
      <w:r>
        <w:rPr>
          <w:rFonts w:ascii="Arial" w:cs="Arial" w:eastAsia="Arial" w:hAnsi="Arial"/>
          <w:sz w:val="12"/>
          <w:szCs w:val="12"/>
          <w:color w:val="auto"/>
        </w:rPr>
        <w:t xml:space="preserve">ARTICIPANT IN AND TO THE </w:t>
      </w:r>
      <w:r>
        <w:rPr>
          <w:rFonts w:ascii="Arial" w:cs="Arial" w:eastAsia="Arial" w:hAnsi="Arial"/>
          <w:sz w:val="17"/>
          <w:szCs w:val="17"/>
          <w:color w:val="auto"/>
        </w:rPr>
        <w:t>L</w:t>
      </w:r>
      <w:r>
        <w:rPr>
          <w:rFonts w:ascii="Arial" w:cs="Arial" w:eastAsia="Arial" w:hAnsi="Arial"/>
          <w:sz w:val="12"/>
          <w:szCs w:val="12"/>
          <w:color w:val="auto"/>
        </w:rPr>
        <w:t xml:space="preserve">EASED </w:t>
      </w:r>
      <w:r>
        <w:rPr>
          <w:rFonts w:ascii="Arial" w:cs="Arial" w:eastAsia="Arial" w:hAnsi="Arial"/>
          <w:sz w:val="17"/>
          <w:szCs w:val="17"/>
          <w:color w:val="auto"/>
        </w:rPr>
        <w:t>P</w:t>
      </w:r>
      <w:r>
        <w:rPr>
          <w:rFonts w:ascii="Arial" w:cs="Arial" w:eastAsia="Arial" w:hAnsi="Arial"/>
          <w:sz w:val="12"/>
          <w:szCs w:val="12"/>
          <w:color w:val="auto"/>
        </w:rPr>
        <w:t xml:space="preserve">ROPERTY AND THE OTHER </w:t>
      </w:r>
      <w:r>
        <w:rPr>
          <w:rFonts w:ascii="Arial" w:cs="Arial" w:eastAsia="Arial" w:hAnsi="Arial"/>
          <w:sz w:val="17"/>
          <w:szCs w:val="17"/>
          <w:color w:val="auto"/>
        </w:rPr>
        <w:t>C</w:t>
      </w:r>
      <w:r>
        <w:rPr>
          <w:rFonts w:ascii="Arial" w:cs="Arial" w:eastAsia="Arial" w:hAnsi="Arial"/>
          <w:sz w:val="12"/>
          <w:szCs w:val="12"/>
          <w:color w:val="auto"/>
        </w:rPr>
        <w:t>OLLATERAL</w:t>
      </w:r>
      <w:r>
        <w:rPr>
          <w:rFonts w:ascii="Arial" w:cs="Arial" w:eastAsia="Arial" w:hAnsi="Arial"/>
          <w:sz w:val="17"/>
          <w:szCs w:val="17"/>
          <w:color w:val="auto"/>
        </w:rPr>
        <w:t>.</w:t>
      </w:r>
    </w:p>
    <w:p>
      <w:pPr>
        <w:spacing w:after="0" w:line="161"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Section 11.2. Lessee’s Grants and Releases of Easements; Lessor’s Waivers</w:t>
      </w:r>
      <w:r>
        <w:rPr>
          <w:rFonts w:ascii="Arial" w:cs="Arial" w:eastAsia="Arial" w:hAnsi="Arial"/>
          <w:sz w:val="16"/>
          <w:szCs w:val="16"/>
          <w:color w:val="auto"/>
        </w:rPr>
        <w:t>. Following the Base Term Commencement Date and</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no</w:t>
      </w:r>
      <w:r>
        <w:rPr>
          <w:rFonts w:ascii="Arial" w:cs="Arial" w:eastAsia="Arial" w:hAnsi="Arial"/>
          <w:sz w:val="16"/>
          <w:szCs w:val="16"/>
          <w:i w:val="1"/>
          <w:iCs w:val="1"/>
          <w:color w:val="auto"/>
        </w:rPr>
        <w:t xml:space="preserve"> </w:t>
      </w:r>
      <w:r>
        <w:rPr>
          <w:rFonts w:ascii="Arial" w:cs="Arial" w:eastAsia="Arial" w:hAnsi="Arial"/>
          <w:sz w:val="16"/>
          <w:szCs w:val="16"/>
          <w:color w:val="auto"/>
        </w:rPr>
        <w:t>Event of Default shall have occurred and be continuing at the time of the applicable action by the Lessee, and subject to the provisions of Articles VII, IX and X and Section 8.2, and without the requirement of any further instrument or action of Lessor, Lessor hereby consents in each instance to the following actions by the Lessee in the name and stead of Lessor and as the true and lawful attorney-in-fact of Lessor with full power and authority to execute documents on behalf of Lessor for the following purposes, but at the Lessee’s sole cost and expense: (a) the granting of, or entry into agreements in connection with, easements, licenses, rights-of-way, building and use restrictions and covenants and other rights and privileges in the nature of easements or similar interests and burdens reasonably necessary or desirable for the use, repair, maintenance, alteration, improvement or protection of the Leased Property as herein provided; (b) the release of existing easements or other rights in the nature of easements which are for the benefit of, or burden to, the Leased Property; (c) the execution of amendments to, or waivers or releases of, any easements, licenses or covenants and restrictions affecting the Site;</w:t>
      </w:r>
    </w:p>
    <w:p>
      <w:pPr>
        <w:spacing w:after="0" w:line="6" w:lineRule="exact"/>
        <w:rPr>
          <w:sz w:val="20"/>
          <w:szCs w:val="20"/>
          <w:color w:val="auto"/>
        </w:rPr>
      </w:pPr>
    </w:p>
    <w:p>
      <w:pPr>
        <w:jc w:val="both"/>
        <w:ind w:firstLine="8"/>
        <w:spacing w:after="0" w:line="281" w:lineRule="auto"/>
        <w:tabs>
          <w:tab w:leader="none" w:pos="30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the exercise of all rights under any redevelopment agreement or document contemplated thereby affecting the Site and (e) the procurement, continuance, renewal and replacement of all licenses, permits and other authorizations required under Applicable Law to use, operate, maintain and develop the Leased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(i) such grant, release, dedication, transfer, amendment, agreement or other action does not materially adversely affect the Fair Market Value, utility, residual value or remaining useful life of the Leased Property, ordinary wear and tear excepted;</w:t>
      </w:r>
    </w:p>
    <w:p>
      <w:pPr>
        <w:spacing w:after="0" w:line="2" w:lineRule="exact"/>
        <w:rPr>
          <w:rFonts w:ascii="Arial" w:cs="Arial" w:eastAsia="Arial" w:hAnsi="Arial"/>
          <w:sz w:val="16"/>
          <w:szCs w:val="16"/>
          <w:color w:val="auto"/>
        </w:rPr>
      </w:pPr>
    </w:p>
    <w:p>
      <w:pPr>
        <w:jc w:val="both"/>
        <w:ind w:firstLine="8"/>
        <w:spacing w:after="0" w:line="281" w:lineRule="auto"/>
        <w:tabs>
          <w:tab w:leader="none" w:pos="26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such grant, release, dedication, transfer, amendment, agreement or other action in the Lessee’s judgment is reasonably necessary in connection with the use, maintenance, alteration, improvement or protection of the Leased Property; (iii) such grant, release, dedication, transfer, amendment, agreement or other action will not cause the Leased Property or any portion thereof to fail to comply with the provisions of this Lease or any other Operative Documents or any Applicable Laws (including, without limitation, all applicable Environmental Laws, zoning, planning, building and subdivision ordinances, any applicable restrictive covenants and any applicable architectural approval requirements); (iv) all governmental consents or approvals required prior to such grant, release, dedication, transfer, amendment, agreement or other action have been obtained, and all filings with any Governmental Authorities required prior to such action have been made; (v) the Lessee shall remain obligated under this Lease and under any instrument executed by the Lessee consenting to the assignment of Lessor’s interest in this Lease as security for indebtedness, in each such case in accordance with their terms, as though such grant, release, dedication, transfer, amendment, agreement or other action had not been effected; (vi) during the Term, the Lessee shall timely pay and perform any obligations of Lessor under such grant, release, dedication, transfer, amendment, agreement or other action and (vii) with respect to any action described in Section 11.2(a) through Section 11.2(d), inclusive, no such action described in such sections could reasonably be expected to have a Material Adverse Effect. Without limiting the effectiveness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Event of Default shall have occurred and be continuing, Lessor shall, upon the request of the Lessee, and at the Lessee’s sole cost and expense, execute and deliver any instruments necessary or appropriate to confirm any such grant, release, dedication, transfer, amendment, agreement or other action to any Person permitted under this Section. By undertaking any of the acts described in clauses (a) through (e) above, Lessee shall be deemed to have represented and warranted to each of the Participants that each such grant, release, dedication, transfer, amendment, agreement or other action complies with and Lessee has satisfied each of the requirements listed in clauses</w:t>
      </w:r>
    </w:p>
    <w:p>
      <w:pPr>
        <w:spacing w:after="0" w:line="9" w:lineRule="exact"/>
        <w:rPr>
          <w:rFonts w:ascii="Arial" w:cs="Arial" w:eastAsia="Arial" w:hAnsi="Arial"/>
          <w:sz w:val="16"/>
          <w:szCs w:val="16"/>
          <w:color w:val="auto"/>
        </w:rPr>
      </w:pPr>
    </w:p>
    <w:p>
      <w:pPr>
        <w:ind w:left="220" w:hanging="212"/>
        <w:spacing w:after="0"/>
        <w:tabs>
          <w:tab w:leader="none" w:pos="2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through (vii) in the proviso above.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ERMITTED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ONTESTS</w:t>
      </w:r>
    </w:p>
    <w:p>
      <w:pPr>
        <w:spacing w:after="0" w:line="211"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Section 12.1. Permitted Contests in Respect of Applicable Laws</w:t>
      </w:r>
      <w:r>
        <w:rPr>
          <w:rFonts w:ascii="Arial" w:cs="Arial" w:eastAsia="Arial" w:hAnsi="Arial"/>
          <w:sz w:val="16"/>
          <w:szCs w:val="16"/>
          <w:color w:val="auto"/>
        </w:rPr>
        <w:t>. Notwithstanding anything contained herein or in any Operative Document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contrary (but subject to the last sentence of this paragraph), if, to the extent and for so long as (x) a test, challenge, contest, appeal or proceeding for review of (a) any Applicable Laws relating to the Leased Property or any part thereof or the obligation to comply therewith or (b) any Supplemental Rent payable to any Person other than Lessor, Administrative Agent or any Rent Assignee, shall be prosecuted diligently and in good faith in appropriate proceedings by the Lessee or (y) compliance with such Applicable Laws shall have been excused or exempted by a valid nonconforming use, variance, permit, waiver, extension or forbearance, during the Term, Lessee shall not be required to comply with such Applicable Laws or to make such payment but only if and so long as any such test, challenge, contest, appeal, proceeding, waiver, extension, forbearance or noncompliance shall not, in the reasonable opinion of Lessor and the Administrative Agent, or, in the case of (A) (B)(2) or (B)(5) below, in the reasonable opinion of any affected Participant, involve (A) any risk of criminal liability being imposed on Lessor, Administrative Agent or any Participant or (B) any material risk of (1) the foreclosure, forfeiture or loss of the Leased Property, or any material part thereof, (2) the nonpayment, reduction or abatement of Rent to Lessor, Administrative Agent or any Rent Assignee,</w:t>
      </w:r>
    </w:p>
    <w:p>
      <w:pPr>
        <w:spacing w:after="0" w:line="5" w:lineRule="exact"/>
        <w:rPr>
          <w:sz w:val="20"/>
          <w:szCs w:val="20"/>
          <w:color w:val="auto"/>
        </w:rPr>
      </w:pPr>
    </w:p>
    <w:p>
      <w:pPr>
        <w:jc w:val="both"/>
        <w:ind w:firstLine="8"/>
        <w:spacing w:after="0" w:line="252" w:lineRule="auto"/>
        <w:tabs>
          <w:tab w:leader="none" w:pos="27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interruption or cancellation of any insurance coverage required to be maintained by the Lessee pursuant to Article XIII, (4) any sale of, or the creation of any Lien (other than a Permitted Lien) on, any material part of the Leased Property (</w:t>
      </w:r>
      <w:r>
        <w:rPr>
          <w:rFonts w:ascii="Arial" w:cs="Arial" w:eastAsia="Arial" w:hAnsi="Arial"/>
          <w:sz w:val="18"/>
          <w:szCs w:val="18"/>
          <w:i w:val="1"/>
          <w:iCs w:val="1"/>
          <w:color w:val="auto"/>
        </w:rPr>
        <w:t>provided, however</w:t>
      </w:r>
      <w:r>
        <w:rPr>
          <w:rFonts w:ascii="Arial" w:cs="Arial" w:eastAsia="Arial" w:hAnsi="Arial"/>
          <w:sz w:val="18"/>
          <w:szCs w:val="18"/>
          <w:color w:val="auto"/>
        </w:rPr>
        <w:t>, nothing herein shall be deemed to reduce or diminish Lessee’s obligations under Section 11.1), (5) civil liability being imposed on Lessor, the Administrative Agent or any Participant for which the Lessee is not obligated, or has not otherwise agreed, to fully indemnify such parties under the Operative Documents, or (6) enjoinment of, or interference with, the use, possession or disposition of the Leased Property in any material respect. Subject to Article XIII of the Participation Agreement, Lessee shall also have a right to contest and appeal any Taxes or Impositions.</w:t>
      </w:r>
    </w:p>
    <w:p>
      <w:pPr>
        <w:spacing w:after="0" w:line="19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Lessor will not be required to join in any proceedings pursuant to this Section 12.1 unless a provision of any Applicable Laws requires that such proceedings be brought by or in the name of Lessor; and in that event Lessor will join in the proceedings or permit them or any part thereof to be brought in its name if and so long as (i) the Lessee has not elected the Sale Option and (ii) the Lessee agrees in writing to pay, and pays, all related out-of-pocket expenses and agrees in writing to indemnify Lessor, the Administrative Agent and the Participants, in form and substance reasonably satisfactory to each of the respective Indemnitees, in respect of any claim relating thereto (it being agreed that exceptions and/or limitations to any such indemnity of the type set forth in Article XIII of the Participation Agreement shall be deemed to be satisfactory to each of the respective Indemnitees).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NSURANCE</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Section 13.1. Required Coverages</w:t>
      </w:r>
      <w:r>
        <w:rPr>
          <w:rFonts w:ascii="Arial" w:cs="Arial" w:eastAsia="Arial" w:hAnsi="Arial"/>
          <w:sz w:val="18"/>
          <w:szCs w:val="18"/>
          <w:color w:val="auto"/>
        </w:rPr>
        <w:t>. During the Term, Lessee will provide or cause to be provided insurance with respect to the Leased Property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coverages and amounts:</w:t>
      </w:r>
    </w:p>
    <w:p>
      <w:pPr>
        <w:spacing w:after="0" w:line="170" w:lineRule="exact"/>
        <w:rPr>
          <w:sz w:val="20"/>
          <w:szCs w:val="20"/>
          <w:color w:val="auto"/>
        </w:rPr>
      </w:pPr>
    </w:p>
    <w:p>
      <w:pPr>
        <w:jc w:val="both"/>
        <w:ind w:left="660" w:firstLine="644"/>
        <w:spacing w:after="0" w:line="257" w:lineRule="auto"/>
        <w:tabs>
          <w:tab w:leader="none" w:pos="1755"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General Liability Insurance</w:t>
      </w:r>
      <w:r>
        <w:rPr>
          <w:rFonts w:ascii="Arial" w:cs="Arial" w:eastAsia="Arial" w:hAnsi="Arial"/>
          <w:sz w:val="18"/>
          <w:szCs w:val="18"/>
          <w:color w:val="auto"/>
        </w:rPr>
        <w:t>. Combined single limit insurance against claims for third-party bodily injury, including death, and</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property damage occurring as a result of the ownership, use, maintenance or operation of the Leased Property in an amount, at least equal to $1,000,000 per occurrence and $2,000,000 annual aggregate. Such coverage may be subject to deductibles up to an amount that is consistent with Lessee’s insurance program for similar property owned or leased by Lessee. Any such deductible shall be for the sole account of Lessee.</w:t>
      </w:r>
    </w:p>
    <w:p>
      <w:pPr>
        <w:spacing w:after="0" w:line="187" w:lineRule="exact"/>
        <w:rPr>
          <w:rFonts w:ascii="Arial" w:cs="Arial" w:eastAsia="Arial" w:hAnsi="Arial"/>
          <w:sz w:val="18"/>
          <w:szCs w:val="18"/>
          <w:color w:val="auto"/>
        </w:rPr>
      </w:pPr>
    </w:p>
    <w:p>
      <w:pPr>
        <w:ind w:left="660" w:right="20" w:firstLine="644"/>
        <w:spacing w:after="0" w:line="277" w:lineRule="auto"/>
        <w:tabs>
          <w:tab w:leader="none" w:pos="1765"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Property Insurance</w:t>
      </w:r>
      <w:r>
        <w:rPr>
          <w:rFonts w:ascii="Arial" w:cs="Arial" w:eastAsia="Arial" w:hAnsi="Arial"/>
          <w:sz w:val="18"/>
          <w:szCs w:val="18"/>
          <w:color w:val="auto"/>
        </w:rPr>
        <w:t>. Insurance against all-risk of physical loss of or damage to the Leased Property or any portion thereof by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of any insurable peril in an amount equivalent to the replacement cost of the Leased Property.</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55"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Builder’s Risk</w:t>
      </w:r>
      <w:r>
        <w:rPr>
          <w:rFonts w:ascii="Arial" w:cs="Arial" w:eastAsia="Arial" w:hAnsi="Arial"/>
          <w:sz w:val="18"/>
          <w:szCs w:val="18"/>
          <w:color w:val="auto"/>
        </w:rPr>
        <w:t>. Lessee shall during the construction of any Modifications maintain, for the benefit of the Participants, all risk</w:t>
      </w:r>
      <w:r>
        <w:rPr>
          <w:rFonts w:ascii="Arial" w:cs="Arial" w:eastAsia="Arial" w:hAnsi="Arial"/>
          <w:sz w:val="18"/>
          <w:szCs w:val="18"/>
          <w:i w:val="1"/>
          <w:iCs w:val="1"/>
          <w:color w:val="auto"/>
        </w:rPr>
        <w:t xml:space="preserve"> </w:t>
      </w:r>
      <w:r>
        <w:rPr>
          <w:rFonts w:ascii="Arial" w:cs="Arial" w:eastAsia="Arial" w:hAnsi="Arial"/>
          <w:sz w:val="18"/>
          <w:szCs w:val="18"/>
          <w:color w:val="auto"/>
        </w:rPr>
        <w:t>Builders’ Risk Insurance in an amount at least equal to the replacement value of the Facility or Modifications, as applicable. The Builder’s risk insurance coverage required herein may be included in Lessee’s property insurance.</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65"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Workers’ Compensation and Employers Liability. </w:t>
      </w:r>
      <w:r>
        <w:rPr>
          <w:rFonts w:ascii="Arial" w:cs="Arial" w:eastAsia="Arial" w:hAnsi="Arial"/>
          <w:sz w:val="18"/>
          <w:szCs w:val="18"/>
          <w:color w:val="auto"/>
        </w:rPr>
        <w:t>Lessee shall maintain during the Term of this Lease, including during</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any Modifications and the operation of the Leased Property, statutory workers’ compensation insurance in compliance with the Applicable Laws and employer’s liability insurance in an amount of $1,000,000 bodily injury for each accident, bodily injury for each employee by disease and policy limit by disease.</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755"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Flood Insurance. </w:t>
      </w:r>
      <w:r>
        <w:rPr>
          <w:rFonts w:ascii="Arial" w:cs="Arial" w:eastAsia="Arial" w:hAnsi="Arial"/>
          <w:sz w:val="18"/>
          <w:szCs w:val="18"/>
          <w:color w:val="auto"/>
        </w:rPr>
        <w:t>Lessee shall, at any time, if any portion of the Site, Facility, any Improvements or Modifications are located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area identified by the Federal Emergency Management Agency of the United States of America or other applicable Governmental Authority as having special flood and mudslide hazards, obtain flood insurance on such portion of the Site, Facility, any Improvements or Modifications, as applicable.</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735"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Excess/Umbrella Liability</w:t>
      </w:r>
      <w:r>
        <w:rPr>
          <w:rFonts w:ascii="Arial" w:cs="Arial" w:eastAsia="Arial" w:hAnsi="Arial"/>
          <w:sz w:val="18"/>
          <w:szCs w:val="18"/>
          <w:color w:val="auto"/>
        </w:rPr>
        <w:t>. Excess/Umbrella insurance providing coverage in excess of the insurance coverage required in</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(a) and the employer’s liability insurance required in paragraph (d) herein with a limit of $10,000,000 per occurrence and $10,000,000 in the annual aggregate.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324"/>
        <w:spacing w:after="0" w:line="267" w:lineRule="auto"/>
        <w:rPr>
          <w:sz w:val="20"/>
          <w:szCs w:val="20"/>
          <w:color w:val="auto"/>
        </w:rPr>
      </w:pPr>
      <w:r>
        <w:rPr>
          <w:rFonts w:ascii="Arial" w:cs="Arial" w:eastAsia="Arial" w:hAnsi="Arial"/>
          <w:sz w:val="17"/>
          <w:szCs w:val="17"/>
          <w:i w:val="1"/>
          <w:iCs w:val="1"/>
          <w:color w:val="auto"/>
        </w:rPr>
        <w:t>Section 13.2. Insurance Coverage</w:t>
      </w:r>
      <w:r>
        <w:rPr>
          <w:rFonts w:ascii="Arial" w:cs="Arial" w:eastAsia="Arial" w:hAnsi="Arial"/>
          <w:sz w:val="17"/>
          <w:szCs w:val="17"/>
          <w:color w:val="auto"/>
        </w:rPr>
        <w:t>. The insurance coverage required in Section 13.1 shall be written by reputable insurance companies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financially sound and solvent and otherwise reasonably appropriate considering the amount and type of insurance being provided by such companies. Any insurance company selected by Lessee shall be rated in A.M. Best’s Insurance Guide or any successor thereto (or if there be none, an organization having a similar national reputation) and shall have a general policyholder rating of “A-” (or comparable rating for a rating by an organization other than A.M. Best) and a financial rating of at least “VIII” (or comparable rating for a rating by an organization other than A.M. Best) or be otherwise reasonably acceptable to the Required Participants. All policies of liability insurance required herein, with the exception of workers compensation, shall name Lessor, the Administrative Agent and each Participant, as additional insureds and, in the case of property insurance maintained by Lessee, it shall name the Lessor, as mortgagee and sole loss payee with respect to the Leased Property (but subject to the obligations of Lessor and Administrative Agent under Section 14.1 of this Lease). Each policy referred to in Section 13.1 shall provide that: (i) it will not be canceled or its limits reduced, or allowed to lapse without renewal, except after not less than thirty (30) days’ prior written notice to Lessor and Administrative Agent (and after not less than ten (10) days for nonpayment of premium); (ii) the interests of Lessor, the Administrative Agent and any Participant shall not be invalidated by any act or negligence of or breach of warranty or representation by Lessee or any other Person having an interest in the Leased Property; (iii) such insurance is primary with respect to any other insurance carried by or available to Lessor, the Administrative Agent or any Participant; (iv) the insurer shall waive any right of subrogation against the Participants and Administrative Agent; and (v) any such liability policy shall contain a cross-liability/separation of insureds clause providing for coverage of Lessor, the Administrative Agent and each Participant, as if separate policies had been issued to each of them. Lessee will promptly provide Lessor with prior written notice of any policy modification or amendment that will result in the applicable insurance policy no longer satisfying with the requirements of Section 13.1 hereof.</w:t>
      </w:r>
    </w:p>
    <w:p>
      <w:pPr>
        <w:spacing w:after="0" w:line="19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Section 13.3. Delivery of Insurance Certificates</w:t>
      </w:r>
      <w:r>
        <w:rPr>
          <w:rFonts w:ascii="Arial" w:cs="Arial" w:eastAsia="Arial" w:hAnsi="Arial"/>
          <w:sz w:val="16"/>
          <w:szCs w:val="16"/>
          <w:color w:val="auto"/>
        </w:rPr>
        <w:t>. On or before the Restatement Date, Lessee shall deliver to Administrative Agent and Lessor</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certificates of insurance evidencing the existence of all insurance required to be maintained hereunder and setting forth the respective coverages, limits of liability, carrier, policy number and period of coverage. Thereafter, throughout the Term, at the time each of Lessee’s insurance policies is renewed (but in no event less frequently than once each year) or upon written request by Lessor when an Event of Default exists, Lessee shall deliver to Administrative Agent and Lessor certificates of insurance evidencing that all insurance required by Sections 13.1 and 13.2 to be maintained by Lessee is in effect.</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Section 13.4. Insurance by Lessor, Administrative Agent or any Participant</w:t>
      </w:r>
      <w:r>
        <w:rPr>
          <w:rFonts w:ascii="Arial" w:cs="Arial" w:eastAsia="Arial" w:hAnsi="Arial"/>
          <w:sz w:val="18"/>
          <w:szCs w:val="18"/>
          <w:color w:val="auto"/>
        </w:rPr>
        <w:t>. Lessor, the Administrative Agent or any Participant may at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carry insurance with respect to its interest in the Leased Property, and any insurance payments received from policies maintained by Lessor, the Administrative Agent or any Participant shall be retained by Lessor, the Administrative Agent or such Participant, as the case may be, without reducing or otherwise affecting Lessee’s obligations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jc w:val="both"/>
        <w:ind w:firstLine="324"/>
        <w:spacing w:after="0" w:line="290" w:lineRule="auto"/>
        <w:rPr>
          <w:sz w:val="20"/>
          <w:szCs w:val="20"/>
          <w:color w:val="auto"/>
        </w:rPr>
      </w:pPr>
      <w:r>
        <w:rPr>
          <w:rFonts w:ascii="Arial" w:cs="Arial" w:eastAsia="Arial" w:hAnsi="Arial"/>
          <w:sz w:val="16"/>
          <w:szCs w:val="16"/>
          <w:i w:val="1"/>
          <w:iCs w:val="1"/>
          <w:color w:val="auto"/>
        </w:rPr>
        <w:t>Section 13.5. Self-Insurance</w:t>
      </w:r>
      <w:r>
        <w:rPr>
          <w:rFonts w:ascii="Arial" w:cs="Arial" w:eastAsia="Arial" w:hAnsi="Arial"/>
          <w:sz w:val="16"/>
          <w:szCs w:val="16"/>
          <w:color w:val="auto"/>
        </w:rPr>
        <w:t>. From and after the Restatement Date, and from time to time thereafter during the Term, and for any length of time,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long as Parent Guarantor has an Investment Grade Rating, then in lieu of procuring and maintaining any or all of the insurance coverage required pursuant to Section 13.1(b), Lessee may elect to maintain a self-insurance program;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self-insurance program shall be consistent with Lessee’s and Parent Guarantor’s insurance program for similar properties of this type and shall be compliant with Lessor’s credit standards. If Lessee elects to maintain a self-insurance program pursuant to this Section 13.5, then Lessee at Lessor’s written request, shall provide to Lessor and the Administrative Agent a certificate or other evidence of insurance reasonably satisfactory to Lessor and the Administrative Agent, setting forth the self-insured coverages. If Lessee’s self-insurance program fails to satisfy the requirements set forth in this Section 13.5, then Lessee shall provide evidence of the insurance required under Section 13.1(b) hereof not later than ten (10) Business Days after the occurrence of such failure of Lessee’s self-insurance program.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ASUALTY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ONDEMNATION</w:t>
      </w:r>
    </w:p>
    <w:p>
      <w:pPr>
        <w:spacing w:after="0" w:line="21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Section 14.1. Casualty and Condemnation</w:t>
      </w:r>
      <w:r>
        <w:rPr>
          <w:rFonts w:ascii="Arial" w:cs="Arial" w:eastAsia="Arial" w:hAnsi="Arial"/>
          <w:sz w:val="16"/>
          <w:szCs w:val="16"/>
          <w:color w:val="auto"/>
        </w:rPr>
        <w:t>. (a) Subject to the provisions of this Article XIV, if all or any portion of the Leased Property suffers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Casualty during the Term (other than a Significant Casualty as to which a Termination Notice has been given), Lessee shall give notice thereof to Lessor promptly after Lessee has knowledge thereof and Lessee shall control the negotiations with the relevant insurer (unless an Event of Default exists in which case Lessor shall be entitled to control such negotiations) and, except as otherwise provided in this Section 14.1, and any insurance proceeds payable by an insurer with respect to such Casualty up to $50,000,000 individually and $100,000,000 in the aggregate per annum shall be paid directly to the Lessee, or if received by Lessor, the Administrative Agent or the Rent Assignees, shall be paid over to the Lessee and shall be used by Lessee solely for the reconstruction, restoration and repair of such Leased Property, and if the use of, access to, occupancy of or title to the Leased Property or any part thereof is the subject of a Condemnation (other than a Significant Condemnation as to which a Termination Notice has been given), then any award or compensation relating thereto up to $50,000,000 individually and $100,000,000 in the aggregate per annum shall be paid to the Lessee and shall be used by Lessee solely for the restoration of the Leased Property. Lessor hereby agrees to promptly remit to Administrative Agent all insurance proceeds received with respect to a Casualty or Condemnation to the extent not required to be paid over to Lessee under this Section 14.1. Notwithstanding the foregoing, if any Event of Default shall have occurred and be continuing, such award, compensation or insurance proceeds payable by an insurer shall be paid directly to the Administrative Agent or, if received by the Lessee, shall be held in trust for the Participants and shall be paid over by the Lessee to the Administrative Agent. All amounts held by Lessor or Administrative Agent on account of any award, compensation or insurance proceeds either paid directly to Lessor or Administrative Agent or turned over to Lessor or Administrative Agent, to the extent not otherwise required to be paid to the Lessee, shall be held in trust in a segregated account and applied to reimburse the Lessee from time to time during the course of the Lessee’s reconstruction, restoration and/or repair of the Leased Property and compliance with the provisions of Article IX hereof (or to otherwise make payments for any costs and expenses thereof as directed by the Lessee);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each case after the occurrence and during the continuance of an Event of Default such proceeds shall at the option of Lessor (at the direction of the Required Participants) either be (A) paid to the Lessee for the reconstruction, restoration and/or repair of such Leased Property subject to such Casualty or Condemnation in accordance with this clause (A), or (B) applied to the Lease Balance and any other amounts owed by Lessee under the Operative Documents in accordance with Article XVI.</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jc w:val="both"/>
        <w:ind w:firstLine="656"/>
        <w:spacing w:after="0" w:line="269" w:lineRule="auto"/>
        <w:tabs>
          <w:tab w:leader="none" w:pos="110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In the event any part of the Leased Property becomes subject to condemnation or requisition proceedings during the Term, Lessee shall give notice thereof to Lessor promptly after Lessee has knowledge thereof and, to the extent permitted by Applicable Laws, Lessee shall control the negotiations with the relevant Governmental Authority unless an Event of Default exists or such condemnation or requisition could result in a Significant Condemnation in which case Lessor shall be entitled to control such negotiations;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any event, Lessor may participate at Lessor’s expense (or, if an Event of Default exists, Lessor may control or participate at Lessee’s expense) in such negotiations;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all cases, that no settlement will be made without Lessor’s prior written consent (which consent shall not be unreasonably withheld, conditioned or delayed). Lessee shall give to Lessor such information, and copies of such documents, which relate to such proceedings, or which relate to the settlement of amounts due under insurance policies required by Article XIII, and are in the possession of Lessee, as are reasonably requested by Lessor. If the proceedings relate to a Significant Condemnation, Lessee shall act diligently in connection therewith. Nothing contained in this Section 14.1(b) shall diminish Lessor’s rights with respect to condemnation awards and property insurance proceeds under Articles XIII or XIV.</w:t>
      </w:r>
    </w:p>
    <w:p>
      <w:pPr>
        <w:spacing w:after="0" w:line="185" w:lineRule="exact"/>
        <w:rPr>
          <w:rFonts w:ascii="Arial" w:cs="Arial" w:eastAsia="Arial" w:hAnsi="Arial"/>
          <w:sz w:val="17"/>
          <w:szCs w:val="17"/>
          <w:color w:val="auto"/>
        </w:rPr>
      </w:pPr>
    </w:p>
    <w:p>
      <w:pPr>
        <w:ind w:firstLine="656"/>
        <w:spacing w:after="0" w:line="277" w:lineRule="auto"/>
        <w:tabs>
          <w:tab w:leader="none" w:pos="10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no event shall a Casualty or Condemnation affect the Lessee’s obligations to pay Rent pursuant to Section 3.1 or to perform its obligations and pay any amounts due on the Expiration Date or pursuant to Articles XVIII and XXI.</w:t>
      </w:r>
    </w:p>
    <w:p>
      <w:pPr>
        <w:spacing w:after="0" w:line="170" w:lineRule="exact"/>
        <w:rPr>
          <w:rFonts w:ascii="Arial" w:cs="Arial" w:eastAsia="Arial" w:hAnsi="Arial"/>
          <w:sz w:val="18"/>
          <w:szCs w:val="18"/>
          <w:color w:val="auto"/>
        </w:rPr>
      </w:pPr>
    </w:p>
    <w:p>
      <w:pPr>
        <w:jc w:val="both"/>
        <w:ind w:firstLine="656"/>
        <w:spacing w:after="0" w:line="269" w:lineRule="auto"/>
        <w:tabs>
          <w:tab w:leader="none" w:pos="110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If, pursuant to this Article XIV, this Lease shall continue in full force and effect following a Casualty or Condemnation,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of the Administrative Agent and the Participants releases and remits to Lessee all award, compensation or insurance proceeds held by the Administrative Agent or Lessor, as applicable, the Lessee shall, at its sole cost and expense (and, without limitation, if any award, compensation or insurance payment is not sufficient to restore the Leased Property in accordance with this clause (d), Lessee shall pay the shortfall), promptly and diligently repair any damage to the Leased Property caused by such Casualty or Condemnation in conformity with the requirements of Sections 9.1 and 10.1 so as to restore, to the extent practicable, the Leased Property to at least substantially the same condition and value, in each case in all material respects, as existed immediately prior to such Casualty or Condemnation or to another use permitted under Section 8.1;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following completion of such changes and restorations, the value of the Leased Property is not substantially less than the value of the Leased Property immediately prior to such Casualty or Condemnation. In such event, title to the Leased Property shall remain with Lessor subject to the terms of this Lease. Upon completion of restorations with costs in excess of $5,000,000, upon the request of Lessor, the Lessee shall furnish to Lessor a Responsible Officer’s Certificate confirming that such restoration has been completed pursuant to this Lease. Any proceeds remaining after completion of such restoration shall be paid to, or retained by, as applicable, the Lessee.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jc w:val="both"/>
        <w:ind w:firstLine="324"/>
        <w:spacing w:after="0" w:line="279" w:lineRule="auto"/>
        <w:rPr>
          <w:sz w:val="20"/>
          <w:szCs w:val="20"/>
          <w:color w:val="auto"/>
        </w:rPr>
      </w:pPr>
      <w:r>
        <w:rPr>
          <w:rFonts w:ascii="Arial" w:cs="Arial" w:eastAsia="Arial" w:hAnsi="Arial"/>
          <w:sz w:val="17"/>
          <w:szCs w:val="17"/>
          <w:i w:val="1"/>
          <w:iCs w:val="1"/>
          <w:color w:val="auto"/>
        </w:rPr>
        <w:t>Section 14.2. Environmental Matters</w:t>
      </w:r>
      <w:r>
        <w:rPr>
          <w:rFonts w:ascii="Arial" w:cs="Arial" w:eastAsia="Arial" w:hAnsi="Arial"/>
          <w:sz w:val="17"/>
          <w:szCs w:val="17"/>
          <w:color w:val="auto"/>
        </w:rPr>
        <w:t>. During the Term, at Lessee’s sole cost and expense, Lessee shall in a reasonably prompt and diligent manner</w:t>
      </w:r>
      <w:r>
        <w:rPr>
          <w:rFonts w:ascii="Arial" w:cs="Arial" w:eastAsia="Arial" w:hAnsi="Arial"/>
          <w:sz w:val="17"/>
          <w:szCs w:val="17"/>
          <w:i w:val="1"/>
          <w:iCs w:val="1"/>
          <w:color w:val="auto"/>
        </w:rPr>
        <w:t xml:space="preserve"> </w:t>
      </w:r>
      <w:r>
        <w:rPr>
          <w:rFonts w:ascii="Arial" w:cs="Arial" w:eastAsia="Arial" w:hAnsi="Arial"/>
          <w:sz w:val="17"/>
          <w:szCs w:val="17"/>
          <w:color w:val="auto"/>
        </w:rPr>
        <w:t>undertake or cause to be undertaken any investigation, response, clean up, remedial restoration or other action necessary to investigate, remove, clean up, remediate or otherwise address any Environmental Violation to the extent required by Applicable Laws with respect to the Leased Property or at any off-site location impacted by any environmental condition or activities at, on or from the Leased Property.</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Section 14.3. Notice of Environmental Matters</w:t>
      </w:r>
      <w:r>
        <w:rPr>
          <w:rFonts w:ascii="Arial" w:cs="Arial" w:eastAsia="Arial" w:hAnsi="Arial"/>
          <w:sz w:val="17"/>
          <w:szCs w:val="17"/>
          <w:color w:val="auto"/>
        </w:rPr>
        <w:t>. (a) Lessee shall provide to Lessor written notice of any pending or threatened (in writing)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Environmental Claim, action or proceeding involving any Environmental Violation or any Release on, at, under or from the Leased Property, from which violation or Release could reasonably be expected to require in excess of $500,000 in remediation costs, or which could reasonably be expected to result in the imposition of material civil liability or criminal penalties upon Lessor, the Administrative Agent or any Participant (any such Environmental Violation or Release, a </w:t>
      </w:r>
      <w:r>
        <w:rPr>
          <w:rFonts w:ascii="Arial" w:cs="Arial" w:eastAsia="Arial" w:hAnsi="Arial"/>
          <w:sz w:val="17"/>
          <w:szCs w:val="17"/>
          <w:i w:val="1"/>
          <w:iCs w:val="1"/>
          <w:color w:val="auto"/>
        </w:rPr>
        <w:t>“Material Environmental Violation”</w:t>
      </w:r>
      <w:r>
        <w:rPr>
          <w:rFonts w:ascii="Arial" w:cs="Arial" w:eastAsia="Arial" w:hAnsi="Arial"/>
          <w:sz w:val="17"/>
          <w:szCs w:val="17"/>
          <w:color w:val="auto"/>
        </w:rPr>
        <w:t>), as promptly as reasonably practicable after becoming aware of such pending or threatened Environmental Claims. All such notices shall describe in reasonable detail the nature of the Material Environmental Violation, including any Environmental Claims, actions or proceedings in respect thereof, and Lessee’s proposed response thereto. In addition, Lessee shall provide to Lessor and Administrative Agent, within ten (10) Business Days of receipt, copies of all material communications with any Governmental Authority relating to any such Material Environmental Violation. Lessee shall also as promptly as reasonably practicable provide such detailed reports of any such Material Environmental Violations as may reasonably be requested by Lessor or Administrative Agent.</w:t>
      </w:r>
    </w:p>
    <w:p>
      <w:pPr>
        <w:spacing w:after="0" w:line="185" w:lineRule="exact"/>
        <w:rPr>
          <w:sz w:val="20"/>
          <w:szCs w:val="20"/>
          <w:color w:val="auto"/>
        </w:rPr>
      </w:pPr>
    </w:p>
    <w:p>
      <w:pPr>
        <w:jc w:val="both"/>
        <w:ind w:firstLine="656"/>
        <w:spacing w:after="0" w:line="286" w:lineRule="auto"/>
        <w:tabs>
          <w:tab w:leader="none" w:pos="1105" w:val="left"/>
        </w:tabs>
        <w:numPr>
          <w:ilvl w:val="1"/>
          <w:numId w:val="144"/>
        </w:numPr>
        <w:rPr>
          <w:rFonts w:ascii="Arial" w:cs="Arial" w:eastAsia="Arial" w:hAnsi="Arial"/>
          <w:sz w:val="16"/>
          <w:szCs w:val="16"/>
          <w:color w:val="auto"/>
        </w:rPr>
      </w:pPr>
      <w:r>
        <w:rPr>
          <w:rFonts w:ascii="Arial" w:cs="Arial" w:eastAsia="Arial" w:hAnsi="Arial"/>
          <w:sz w:val="16"/>
          <w:szCs w:val="16"/>
          <w:color w:val="auto"/>
        </w:rPr>
        <w:t xml:space="preserve">In the event that any Material Environmental Violation (x) could reasonably be expected to require remediation costs of $1,000,000 or more as determined by Lessor acting in its reasonable discretion, or (y) could reasonably be expected to result in the imposition of material civil liability or criminal penalties upon Lessor, the Administrative Agent or any Participant, of $1,000,000 or more, as determined by such party acting in its reasonable discretion (such a Material Environmental Violation shall be referred to herein as a </w:t>
      </w:r>
      <w:r>
        <w:rPr>
          <w:rFonts w:ascii="Arial" w:cs="Arial" w:eastAsia="Arial" w:hAnsi="Arial"/>
          <w:sz w:val="16"/>
          <w:szCs w:val="16"/>
          <w:i w:val="1"/>
          <w:iCs w:val="1"/>
          <w:color w:val="auto"/>
        </w:rPr>
        <w:t>“Specified Material Environmental Violation”</w:t>
      </w:r>
      <w:r>
        <w:rPr>
          <w:rFonts w:ascii="Arial" w:cs="Arial" w:eastAsia="Arial" w:hAnsi="Arial"/>
          <w:sz w:val="16"/>
          <w:szCs w:val="16"/>
          <w:color w:val="auto"/>
        </w:rPr>
        <w:t>), Lessee shall</w:t>
      </w:r>
    </w:p>
    <w:p>
      <w:pPr>
        <w:spacing w:after="0" w:line="1" w:lineRule="exact"/>
        <w:rPr>
          <w:rFonts w:ascii="Arial" w:cs="Arial" w:eastAsia="Arial" w:hAnsi="Arial"/>
          <w:sz w:val="16"/>
          <w:szCs w:val="16"/>
          <w:color w:val="auto"/>
        </w:rPr>
      </w:pPr>
    </w:p>
    <w:p>
      <w:pPr>
        <w:jc w:val="both"/>
        <w:ind w:firstLine="8"/>
        <w:spacing w:after="0" w:line="281" w:lineRule="auto"/>
        <w:tabs>
          <w:tab w:leader="none" w:pos="25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promptly cause a report by an environmental consultant selected by Lessee and reasonably acceptable to Lessor to be delivered to Lessor, which report shall (i) describe the Specified Material Environmental Violation and the remedial actions to be taken by Lessee (or its agents) in response to such Specified Material Environmental Violation (and including the anticipated time period in which such Specified Material Environmental Violation is capable of being remedied assuming Lessee (or its agents) are diligently performing such remediation), (ii) contain an estimate for all remediation expenses (including any fines and/or related costs) and the duration of such remedial actions and (iii) contain a statement by such consultant that such Specified Material Environmental Violation would be remedied in compliance in all material respects with applicable Environmental Law after the completion of such remedial actions described in such report and (2) provide evidence, reasonably satisfactory to Lessor, of sufficient financial means to pay for (i) all remediation expenses (including any fines and/or related costs) in the amounts set forth in such consultant’s report and (ii) all indemnification obligations of Lessee arising under this Lease or any other Operative Documents (including, without limitation, any legal defense costs of a pending, threatened, and/or anticipated civil or criminal proceeding), or, if not reasonably satisfactory to Lessor, Lessee shall post collateral in such amount as reasonably determined by the Lessor. Lessor shall have the right to terminate this Lease due to such Specified Material Environmental Violation, pursuant to the terms of Article XV hereof, if (x) Lessor reasonably determines that such environmental consultant’s report delivered in connection with such Specified Material Environmental Violation contains manifest error and based upon such error, Lessor determines that the remedial actions described in such report would not result in such Specified Material Environmental Violation being remedied (1) in compliance in all material respects with applicable Environmental Law,</w:t>
      </w:r>
    </w:p>
    <w:p>
      <w:pPr>
        <w:spacing w:after="0" w:line="8" w:lineRule="exact"/>
        <w:rPr>
          <w:rFonts w:ascii="Arial" w:cs="Arial" w:eastAsia="Arial" w:hAnsi="Arial"/>
          <w:sz w:val="16"/>
          <w:szCs w:val="16"/>
          <w:color w:val="auto"/>
        </w:rPr>
      </w:pPr>
    </w:p>
    <w:p>
      <w:pPr>
        <w:jc w:val="both"/>
        <w:ind w:firstLine="8"/>
        <w:spacing w:after="0" w:line="251" w:lineRule="auto"/>
        <w:tabs>
          <w:tab w:leader="none" w:pos="25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for the costs set forth in such consultant’s report or (3) within the time period set forth in such consultant’s report or (y) the Lessee has failed to provide evidence (or, in the alternative, the posting of collateral), reasonably satisfactory to Lessor, of sufficient financial means to pay for (i) all remediation expenses (including any fines and/or related costs) and (ii) all indemnification obligations of Lessee arising under this Lease or any other Operative Documents (including, without limitation, any legal defense costs of a pending, threatened, and/or anticipated civil or criminal proceeding), in each case, in such amounts as have been reasonably determined by the Required Participants, after consultation, at Lessee’s sole cost and expense, with such environmental consultant;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subclause (y), only if such failure continues beyond a period to be agreed after written notification to the Lessee of such amounts so determined by the Required Participants and, if applicable, that previously delivered evidence is not reasonably satisfactory to Lessor.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both"/>
        <w:ind w:firstLine="656"/>
        <w:spacing w:after="0" w:line="255" w:lineRule="auto"/>
        <w:tabs>
          <w:tab w:leader="none" w:pos="10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Lessee shall diligently perform, or cause to be diligently performed, all investigative and remedial actions necessary to cause any Material Environmental Violation to be remediated in compliance in all material respects with applicable Environmental Law and, upon completion of remedial action of any Material Environmental Violation by Lessee, Lessee shall cause to be prepared by an environmental consultant reasonably acceptable to Lessor a report describing the Material Environmental Violation and the actions taken by Lessee (or its agents) in response to such Material Environmental Violation, and a statement by the consultant that the Material Environmental Violation has been remedied in compliance in all material respects with applicable Environmental Law.</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1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such Material Environmental Violation shall be remedied prior to the Expiration Date unless all, but not less than all, of the Leased Property has been purchased by Lessee in accordance with Article XV or Article XVIII. Nothing in this Article XIV shall reduce or limit Lessee’s obligations elsewhere in this Lease or under the Participation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w:t>
      </w:r>
    </w:p>
    <w:p>
      <w:pPr>
        <w:spacing w:after="0" w:line="21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Section 15.1. Termination upon Certain Events</w:t>
      </w:r>
      <w:r>
        <w:rPr>
          <w:rFonts w:ascii="Arial" w:cs="Arial" w:eastAsia="Arial" w:hAnsi="Arial"/>
          <w:sz w:val="16"/>
          <w:szCs w:val="16"/>
          <w:color w:val="auto"/>
        </w:rPr>
        <w:t>. (a) If an Event of Loss or Specified Significant Environmental Event occurs during the Term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 to the Leased Property, then Lessor may elect to terminate this Lease by giving written notice (a </w:t>
      </w:r>
      <w:r>
        <w:rPr>
          <w:rFonts w:ascii="Arial" w:cs="Arial" w:eastAsia="Arial" w:hAnsi="Arial"/>
          <w:sz w:val="16"/>
          <w:szCs w:val="16"/>
          <w:i w:val="1"/>
          <w:iCs w:val="1"/>
          <w:color w:val="auto"/>
        </w:rPr>
        <w:t>“Termination Notice”</w:t>
      </w:r>
      <w:r>
        <w:rPr>
          <w:rFonts w:ascii="Arial" w:cs="Arial" w:eastAsia="Arial" w:hAnsi="Arial"/>
          <w:sz w:val="16"/>
          <w:szCs w:val="16"/>
          <w:color w:val="auto"/>
        </w:rPr>
        <w:t>) to the Lessee (within sixty</w:t>
      </w:r>
    </w:p>
    <w:p>
      <w:pPr>
        <w:jc w:val="both"/>
        <w:ind w:firstLine="8"/>
        <w:spacing w:after="0" w:line="253" w:lineRule="auto"/>
        <w:tabs>
          <w:tab w:leader="none" w:pos="35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days of Lessor obtaining actual knowledge of the Event of Loss or Specified Significant Environmental Event), with such termination to be effective on the Payment Date specified in Section 15.1(b). If Lessor fails to elect to terminate this Lease as provided in this Section 15.1(a), Lessor shall be deemed to have elected to require Lessee to restore, rebuild or remediate the Leased Property pursuant to Section 14.1(d) or Section 14.3, as applicable, and Lessee shall undertake and diligently pursue such restoration, rebuilding or remediation.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jc w:val="both"/>
        <w:ind w:firstLine="656"/>
        <w:spacing w:after="0" w:line="263" w:lineRule="auto"/>
        <w:tabs>
          <w:tab w:leader="none" w:pos="110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Following Lessee’s receipt of the Termination Notice, the Lessee shall be obligated to purchase Lessor’s interest in all, but not less than all, of the Leased Property on the date occurring ninety (90) days from the date Lessee receives the Termination Notice (or the next occurring Business Day) by paying an amount equal to the Purchase Amount to the Administrative Agent.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Section 15.2. Termination Procedures</w:t>
      </w:r>
      <w:r>
        <w:rPr>
          <w:rFonts w:ascii="Arial" w:cs="Arial" w:eastAsia="Arial" w:hAnsi="Arial"/>
          <w:sz w:val="18"/>
          <w:szCs w:val="18"/>
          <w:color w:val="auto"/>
        </w:rPr>
        <w:t>. On the date of the payment by the Lessee of the Purchase Amount in accordance with Section 15.1(b)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date, the </w:t>
      </w:r>
      <w:r>
        <w:rPr>
          <w:rFonts w:ascii="Arial" w:cs="Arial" w:eastAsia="Arial" w:hAnsi="Arial"/>
          <w:sz w:val="18"/>
          <w:szCs w:val="18"/>
          <w:i w:val="1"/>
          <w:iCs w:val="1"/>
          <w:color w:val="auto"/>
        </w:rPr>
        <w:t>“Termination Date”</w:t>
      </w:r>
      <w:r>
        <w:rPr>
          <w:rFonts w:ascii="Arial" w:cs="Arial" w:eastAsia="Arial" w:hAnsi="Arial"/>
          <w:sz w:val="18"/>
          <w:szCs w:val="18"/>
          <w:color w:val="auto"/>
        </w:rPr>
        <w:t>), this Lease shall terminate and, concurrent with the Administrative Agent’s (or, as applicable, Lessor’s) receipt of such payment:</w:t>
      </w:r>
    </w:p>
    <w:p>
      <w:pPr>
        <w:spacing w:after="0" w:line="184" w:lineRule="exact"/>
        <w:rPr>
          <w:sz w:val="20"/>
          <w:szCs w:val="20"/>
          <w:color w:val="auto"/>
        </w:rPr>
      </w:pPr>
    </w:p>
    <w:p>
      <w:pPr>
        <w:ind w:left="1720" w:hanging="416"/>
        <w:spacing w:after="0"/>
        <w:tabs>
          <w:tab w:leader="none" w:pos="17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Lessor and Lessee shall comply with the provisions of Sections 21.1(i) through 21.1(iv); and</w:t>
      </w:r>
    </w:p>
    <w:p>
      <w:pPr>
        <w:spacing w:after="0" w:line="225" w:lineRule="exact"/>
        <w:rPr>
          <w:rFonts w:ascii="Arial" w:cs="Arial" w:eastAsia="Arial" w:hAnsi="Arial"/>
          <w:sz w:val="18"/>
          <w:szCs w:val="18"/>
          <w:color w:val="auto"/>
        </w:rPr>
      </w:pPr>
    </w:p>
    <w:p>
      <w:pPr>
        <w:jc w:val="both"/>
        <w:ind w:left="660" w:firstLine="644"/>
        <w:spacing w:after="0" w:line="272" w:lineRule="auto"/>
        <w:tabs>
          <w:tab w:leader="none" w:pos="177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Lessor, the Administrative Agent and each of the Participants shall convey to the Lessee any net proceeds (that is, after deducting all reasonable and documented costs and expenses incurred by Lessor, Administrative Agent or any Participant incident to collecting any such proceeds of the Event of Loss or Specified Significant Environmental Event, including, without limitation, reasonable fees and expenses for counsel, subject to the limitations set forth in Section 15.17 of the Participation Agreement) with respect to the Event of Loss or Specified Significant Environmental Event giving rise to the termination of this Lease theretofore received by Lessor, the Administrative Agent or such Participant, as applicable, or, at the request of the Lessee, to the extent actually received and if acceptable to Lessor in its sole judgment, Lessor shall apply such amounts against sums due hereunder.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w:t>
      </w:r>
    </w:p>
    <w:p>
      <w:pPr>
        <w:spacing w:after="0" w:line="21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18"/>
          <w:szCs w:val="18"/>
          <w:i w:val="1"/>
          <w:iCs w:val="1"/>
          <w:color w:val="auto"/>
        </w:rPr>
        <w:t>Section 16.1.</w:t>
      </w:r>
      <w:r>
        <w:rPr>
          <w:sz w:val="20"/>
          <w:szCs w:val="20"/>
          <w:color w:val="auto"/>
        </w:rPr>
        <w:tab/>
      </w:r>
      <w:r>
        <w:rPr>
          <w:rFonts w:ascii="Arial" w:cs="Arial" w:eastAsia="Arial" w:hAnsi="Arial"/>
          <w:sz w:val="17"/>
          <w:szCs w:val="17"/>
          <w:i w:val="1"/>
          <w:iCs w:val="1"/>
          <w:color w:val="auto"/>
        </w:rPr>
        <w:t>Events of Default</w:t>
      </w:r>
      <w:r>
        <w:rPr>
          <w:rFonts w:ascii="Arial" w:cs="Arial" w:eastAsia="Arial" w:hAnsi="Arial"/>
          <w:sz w:val="17"/>
          <w:szCs w:val="17"/>
          <w:color w:val="auto"/>
        </w:rPr>
        <w:t>. The occurrence and continuation of any one or more of the following events shall constitute an</w:t>
      </w:r>
      <w:r>
        <w:rPr>
          <w:rFonts w:ascii="Arial" w:cs="Arial" w:eastAsia="Arial" w:hAnsi="Arial"/>
          <w:sz w:val="17"/>
          <w:szCs w:val="17"/>
          <w:i w:val="1"/>
          <w:iCs w:val="1"/>
          <w:color w:val="auto"/>
        </w:rPr>
        <w:t xml:space="preserve"> “Event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Default”</w:t>
      </w:r>
      <w:r>
        <w:rPr>
          <w:rFonts w:ascii="Arial" w:cs="Arial" w:eastAsia="Arial" w:hAnsi="Arial"/>
          <w:sz w:val="18"/>
          <w:szCs w:val="18"/>
          <w:color w:val="auto"/>
        </w:rPr>
        <w:t>:</w:t>
      </w:r>
    </w:p>
    <w:p>
      <w:pPr>
        <w:spacing w:after="0" w:line="211" w:lineRule="exact"/>
        <w:rPr>
          <w:sz w:val="20"/>
          <w:szCs w:val="20"/>
          <w:color w:val="auto"/>
        </w:rPr>
      </w:pPr>
    </w:p>
    <w:p>
      <w:pPr>
        <w:ind w:left="1760" w:hanging="456"/>
        <w:spacing w:after="0"/>
        <w:tabs>
          <w:tab w:leader="none" w:pos="17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occurrence of a Payment Default;</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Lessee shall fail to maintain insurance as required by Section 13.1 and Section 13.2 of this Lease;</w:t>
      </w:r>
    </w:p>
    <w:p>
      <w:pPr>
        <w:spacing w:after="0" w:line="225" w:lineRule="exact"/>
        <w:rPr>
          <w:rFonts w:ascii="Arial" w:cs="Arial" w:eastAsia="Arial" w:hAnsi="Arial"/>
          <w:sz w:val="18"/>
          <w:szCs w:val="18"/>
          <w:color w:val="auto"/>
        </w:rPr>
      </w:pPr>
    </w:p>
    <w:p>
      <w:pPr>
        <w:jc w:val="both"/>
        <w:ind w:left="660" w:firstLine="644"/>
        <w:spacing w:after="0" w:line="255" w:lineRule="auto"/>
        <w:tabs>
          <w:tab w:leader="none" w:pos="17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the Lessee shall fail to observe or perform any covenant, condition or agreement applicable to it (or its Subsidiaries, to the extent applicable) contained in Sections 9.1 of the Participation Agreement (solely with respect to Lessee’s existence) or (ii) any Guarantor shall fail to observe or perform any covenant, condition or agreement applicable to it (or its Subsidiaries, to the extent applicable) contained in Sections 8(b)(i) of the Guaranty, 8(c) of the Guaranty (solely with respect to the existence of Lessee, the Parent Guarantor or any other Guarantor that is also a borrower under the Bank Credit Agreement), 8(h) of the Guaranty or Section 9 of the Guaranty (other than clause (y) of Section 9(b) of the Guaranty);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jc w:val="both"/>
        <w:ind w:left="-460" w:firstLine="644"/>
        <w:spacing w:after="0" w:line="279" w:lineRule="auto"/>
        <w:tabs>
          <w:tab w:leader="none" w:pos="64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any representation, warranty or statement made or deemed to be made by or on behalf of Lessee or any Guarantor, as applicable, in or in connection with any Operative Document to which it is a party or in any report, certificate, financial statement or other document furnished pursuant to or in connection with this Lease or any other Operative Document (including any amendment or modification thereof or waiver thereunder) shall prove to have been incorrect in any material respect when made or deemed made;</w:t>
      </w:r>
    </w:p>
    <w:p>
      <w:pPr>
        <w:spacing w:after="0" w:line="171" w:lineRule="exact"/>
        <w:rPr>
          <w:rFonts w:ascii="Arial" w:cs="Arial" w:eastAsia="Arial" w:hAnsi="Arial"/>
          <w:sz w:val="17"/>
          <w:szCs w:val="17"/>
          <w:color w:val="auto"/>
        </w:rPr>
      </w:pPr>
    </w:p>
    <w:p>
      <w:pPr>
        <w:jc w:val="both"/>
        <w:ind w:left="-460" w:firstLine="644"/>
        <w:spacing w:after="0" w:line="254" w:lineRule="auto"/>
        <w:tabs>
          <w:tab w:leader="none" w:pos="63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Lessee or any Guarantor, as applicable, shall fail to observe or perform any covenant, condition or agreement applicable to it contained in the Operative Documents (other than those specified in clause (a), (b) or (c) of this Section 16.1) or any other Operative Document, and such failure shall continue unremedied for a period of thirty (30) days after notice thereof from the Administrative Agent or the Lessor to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failure is capable of cure but cannot be cured by diligent efforts within such thirty (30) day period but such diligent efforts shall be properly commenced within such thirty (30) day cure period and the Lessee or a Guarantor is diligently pursuing, and shall continue to pursue diligently, remedy of such failure, the cure period shall be extended for an additional ninety (90) days, but not to extend beyond the Expiration Date;</w:t>
      </w:r>
    </w:p>
    <w:p>
      <w:pPr>
        <w:spacing w:after="0" w:line="194" w:lineRule="exact"/>
        <w:rPr>
          <w:rFonts w:ascii="Arial" w:cs="Arial" w:eastAsia="Arial" w:hAnsi="Arial"/>
          <w:sz w:val="18"/>
          <w:szCs w:val="18"/>
          <w:color w:val="auto"/>
        </w:rPr>
      </w:pPr>
    </w:p>
    <w:p>
      <w:pPr>
        <w:jc w:val="both"/>
        <w:ind w:left="-460" w:firstLine="644"/>
        <w:spacing w:after="0" w:line="263" w:lineRule="auto"/>
        <w:tabs>
          <w:tab w:leader="none" w:pos="61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Lessee, any Guarantor or any Material Subsidiary shall fail to make any payment (whether of principal or interest and regardless of amount) in respect of any Material Indebtedness of Lessee, such Guarantor or Material Subsidiary, as applicable, when and as the same shall become due and payable, which is not cured within any applicable grace period therefor;</w:t>
      </w:r>
    </w:p>
    <w:p>
      <w:pPr>
        <w:spacing w:after="0" w:line="183" w:lineRule="exact"/>
        <w:rPr>
          <w:rFonts w:ascii="Arial" w:cs="Arial" w:eastAsia="Arial" w:hAnsi="Arial"/>
          <w:sz w:val="18"/>
          <w:szCs w:val="18"/>
          <w:color w:val="auto"/>
        </w:rPr>
      </w:pPr>
    </w:p>
    <w:p>
      <w:pPr>
        <w:jc w:val="both"/>
        <w:ind w:left="-460" w:firstLine="644"/>
        <w:spacing w:after="0" w:line="285" w:lineRule="auto"/>
        <w:tabs>
          <w:tab w:leader="none" w:pos="62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after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(g)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the Operative Documents), (ii) any Material Indebtedness that becomes due as a result of a refinancing or replacement thereof not otherwise prohibited by Section 9(a) of the Guaranty, (iii) any reimbursement obligation in respect of a letter of credit, 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repurchase, conversion or settlement with respect to any Permitted Convertible Notes pursuant to their terms unless such redemption, repurchase, conversion or settlement results from a default thereunder or an event of the type that constitutes an Event of Default and (vi) any early payment requirement or unwinding or termination with respect to any Permitted Call Spread Swap Agreement;</w:t>
      </w:r>
    </w:p>
    <w:p>
      <w:pPr>
        <w:spacing w:after="0" w:line="39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9" w:name="page170"/>
    <w:bookmarkEnd w:id="169"/>
    <w:p>
      <w:pPr>
        <w:jc w:val="both"/>
        <w:ind w:left="-460" w:firstLine="644"/>
        <w:spacing w:after="0" w:line="293" w:lineRule="auto"/>
        <w:tabs>
          <w:tab w:leader="none" w:pos="62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examinership, reorganization or other relief in respect of Lessee, any Guarantor or any Material Subsidiary or any of their debts, or of a substantial part of any of their assets, under any federal, state or foreign bankruptcy, insolvency, examinership, receivership or similar law in effect as of the Restatement Date or thereafter or (ii) the appointment of a receiver, trustee, custodian, examiner, sequestrator, conservator or similar official for Lessee, any Guarantor or any Material Subsidiary or for a substantial part of its assets, and, in any such case, such proceeding or petition shall continue undismissed, undischarged or unstayed for sixty (60) days or an order or decree approving or ordering any of the foregoing shall be entered;</w:t>
      </w:r>
    </w:p>
    <w:p>
      <w:pPr>
        <w:spacing w:after="0" w:line="164" w:lineRule="exact"/>
        <w:rPr>
          <w:rFonts w:ascii="Arial" w:cs="Arial" w:eastAsia="Arial" w:hAnsi="Arial"/>
          <w:sz w:val="16"/>
          <w:szCs w:val="16"/>
          <w:color w:val="auto"/>
        </w:rPr>
      </w:pPr>
    </w:p>
    <w:p>
      <w:pPr>
        <w:jc w:val="both"/>
        <w:ind w:left="-460" w:firstLine="644"/>
        <w:spacing w:after="0" w:line="272" w:lineRule="auto"/>
        <w:tabs>
          <w:tab w:leader="none" w:pos="60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Lessee, any Guarantor or any Material Subsidiary shall (i) voluntarily commence any proceeding or file any petition seeking liquidation, reorganization or other relief under any federal, state or foreign bankruptcy, insolvency, examinership, receivership or similar law in effect as of the Restatement Date or thereafter, (ii) consent to the institution of, or fail to contest in a timely and appropriate manner, any proceeding or petition described in Section 16.1(h), (iii) apply for or consent to the appointment of a receiver, trustee, custodian, examiner, sequestrator, conservator or similar official for Lessee, any Subsidiary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77" w:lineRule="exact"/>
        <w:rPr>
          <w:rFonts w:ascii="Arial" w:cs="Arial" w:eastAsia="Arial" w:hAnsi="Arial"/>
          <w:sz w:val="17"/>
          <w:szCs w:val="17"/>
          <w:color w:val="auto"/>
        </w:rPr>
      </w:pPr>
    </w:p>
    <w:p>
      <w:pPr>
        <w:ind w:left="-460" w:firstLine="644"/>
        <w:spacing w:after="0" w:line="277" w:lineRule="auto"/>
        <w:tabs>
          <w:tab w:leader="none" w:pos="60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Lessee, any Guarantor or any Material Subsidiary shall become unable, admit in writing its inability or fail generally to pay its debts as they become due;</w:t>
      </w:r>
    </w:p>
    <w:p>
      <w:pPr>
        <w:spacing w:after="0" w:line="170" w:lineRule="exact"/>
        <w:rPr>
          <w:rFonts w:ascii="Arial" w:cs="Arial" w:eastAsia="Arial" w:hAnsi="Arial"/>
          <w:sz w:val="18"/>
          <w:szCs w:val="18"/>
          <w:color w:val="auto"/>
        </w:rPr>
      </w:pPr>
    </w:p>
    <w:p>
      <w:pPr>
        <w:jc w:val="both"/>
        <w:ind w:left="-460" w:firstLine="644"/>
        <w:spacing w:after="0" w:line="255" w:lineRule="auto"/>
        <w:tabs>
          <w:tab w:leader="none" w:pos="62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$100,000,000 (to the extent not paid, fully bonded or covered by an unaffiliated insurer that has not denied coverage) shall be rendered against Lessee, any Guarantor, any Material Subsidiary or any combination thereof and the same shall remain unpaid, undischarged, unvacated or undismissed for a period of sixty (60) consecutive days during which execution shall not be effectively stayed (by reason of pending appeal or otherwise), or any action shall be legally taken by a judgment creditor to attach or levy upon any assets of Lessee, any Guarantor or any Material Subsidiary to enforce any such judgment and such action shall not have been effectively stayed;</w:t>
      </w:r>
    </w:p>
    <w:p>
      <w:pPr>
        <w:spacing w:after="0" w:line="200" w:lineRule="exact"/>
        <w:rPr>
          <w:sz w:val="20"/>
          <w:szCs w:val="20"/>
          <w:color w:val="auto"/>
        </w:rPr>
      </w:pPr>
    </w:p>
    <w:p>
      <w:pPr>
        <w:spacing w:after="0" w:line="20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0" w:name="page171"/>
    <w:bookmarkEnd w:id="170"/>
    <w:p>
      <w:pPr>
        <w:ind w:left="-460" w:firstLine="644"/>
        <w:spacing w:after="0" w:line="277" w:lineRule="auto"/>
        <w:tabs>
          <w:tab w:leader="none" w:pos="60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w:t>
      </w:r>
    </w:p>
    <w:p>
      <w:pPr>
        <w:spacing w:after="0" w:line="170" w:lineRule="exact"/>
        <w:rPr>
          <w:rFonts w:ascii="Arial" w:cs="Arial" w:eastAsia="Arial" w:hAnsi="Arial"/>
          <w:sz w:val="18"/>
          <w:szCs w:val="18"/>
          <w:color w:val="auto"/>
        </w:rPr>
      </w:pPr>
    </w:p>
    <w:p>
      <w:pPr>
        <w:ind w:left="640" w:hanging="456"/>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jc w:val="both"/>
        <w:ind w:left="-460" w:firstLine="644"/>
        <w:spacing w:after="0" w:line="271" w:lineRule="auto"/>
        <w:tabs>
          <w:tab w:leader="none" w:pos="62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 any Operative Document to which Lessee or a Guarantor is a party, after execution thereof and for any reason other than as expressly permitted hereunder or thereunder or in satisfaction in full of the Obligations, ceases to be valid, binding and enforceable against the Lessee or any Guarantors party thereto in accordance with its terms in all material respects (or Lessee or any Guarantor shall challenge the enforceability of any Operative Document or shall assert in writing, or engage in any action or inaction based on any such assertion, that any material provision of any of the Operative Documents has ceased to be or otherwise is not valid, binding and enforceable in accordance with its terms in any material respect, other than as expressly permitted hereunder or thereunder or in satisfaction in full in cash of the Obligations then due and payable) or (ii) the security interest and lien securing Lessee’s obligations under the Operative Documents, in whole or in part, ceases to be a perfected first priority security interest and lien (subject only to Permitted Liens);</w:t>
      </w:r>
    </w:p>
    <w:p>
      <w:pPr>
        <w:spacing w:after="0" w:line="178" w:lineRule="exact"/>
        <w:rPr>
          <w:rFonts w:ascii="Arial" w:cs="Arial" w:eastAsia="Arial" w:hAnsi="Arial"/>
          <w:sz w:val="17"/>
          <w:szCs w:val="17"/>
          <w:color w:val="auto"/>
        </w:rPr>
      </w:pPr>
    </w:p>
    <w:p>
      <w:pPr>
        <w:jc w:val="both"/>
        <w:ind w:left="-460" w:firstLine="644"/>
        <w:spacing w:after="0" w:line="259" w:lineRule="auto"/>
        <w:tabs>
          <w:tab w:leader="none" w:pos="62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authorization or approval or other action by any Governmental Authority or regulatory body required for the execution, delivery or performance of the Participation Agreement or any other Operative Document by Lessee or any Guarantor shall fail to have been obtained or be terminated, revoked or rescinded or shall otherwise no longer be in full force and effect, to the extent the foregoing could reasonably be expected to have a Material Adverse Effect; or</w:t>
      </w:r>
    </w:p>
    <w:p>
      <w:pPr>
        <w:spacing w:after="0" w:line="186" w:lineRule="exact"/>
        <w:rPr>
          <w:rFonts w:ascii="Arial" w:cs="Arial" w:eastAsia="Arial" w:hAnsi="Arial"/>
          <w:sz w:val="18"/>
          <w:szCs w:val="18"/>
          <w:color w:val="auto"/>
        </w:rPr>
      </w:pPr>
    </w:p>
    <w:p>
      <w:pPr>
        <w:jc w:val="both"/>
        <w:ind w:left="-460" w:firstLine="644"/>
        <w:spacing w:after="0" w:line="293" w:lineRule="auto"/>
        <w:tabs>
          <w:tab w:leader="none" w:pos="62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a judicial or nonjudicial forfeiture or seizure proceeding is commenced by a Governmental Authority and remains pending with respect to the Leased Property, on the grounds that the Leased Property or any part thereof had been used to commit or facilitate the commission of a criminal offense by any Person, including any tenant, pursuant to any Law, including under the Controlled Substances Act or the Civil Asset Forfeiture Reform Act, regardless of whether or not the Leased Property or the Consolidated Mortgage shall become subject to forfeiture or seizure in connection therewith;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Event of Default shall occur under this Section 16.1(p) unless Lessee fails to have the enforcement action stayed (so long as such stay is not lifted) or resolved within sixty (60) days after the commencement of such proceedings.</w:t>
      </w:r>
    </w:p>
    <w:p>
      <w:pPr>
        <w:spacing w:after="0" w:line="3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1" w:name="page172"/>
    <w:bookmarkEnd w:id="171"/>
    <w:p>
      <w:pPr>
        <w:jc w:val="both"/>
        <w:ind w:firstLine="324"/>
        <w:spacing w:after="0" w:line="259" w:lineRule="auto"/>
        <w:rPr>
          <w:sz w:val="20"/>
          <w:szCs w:val="20"/>
          <w:color w:val="auto"/>
        </w:rPr>
      </w:pPr>
      <w:r>
        <w:rPr>
          <w:rFonts w:ascii="Arial" w:cs="Arial" w:eastAsia="Arial" w:hAnsi="Arial"/>
          <w:sz w:val="18"/>
          <w:szCs w:val="18"/>
          <w:i w:val="1"/>
          <w:iCs w:val="1"/>
          <w:color w:val="auto"/>
        </w:rPr>
        <w:t>Section 16.2. Remedies</w:t>
      </w:r>
      <w:r>
        <w:rPr>
          <w:rFonts w:ascii="Arial" w:cs="Arial" w:eastAsia="Arial" w:hAnsi="Arial"/>
          <w:sz w:val="18"/>
          <w:szCs w:val="18"/>
          <w:color w:val="auto"/>
        </w:rPr>
        <w:t>. Upon the occurrence of any Event of Default and at any time thereafter, Lessor may, so long as such Event of Default is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do one or more of the following as Lessor in its sole discretion shall determine, without limiting any other right or remedy Lessor may have on account of such Event of Default, but subject to the rights of the Lessee to purchase the Leased Property pursuant to the terms and within the time periods as set forth in Section 18.1:</w:t>
      </w:r>
    </w:p>
    <w:p>
      <w:pPr>
        <w:spacing w:after="0" w:line="187" w:lineRule="exact"/>
        <w:rPr>
          <w:sz w:val="20"/>
          <w:szCs w:val="20"/>
          <w:color w:val="auto"/>
        </w:rPr>
      </w:pPr>
    </w:p>
    <w:p>
      <w:pPr>
        <w:jc w:val="both"/>
        <w:ind w:left="660" w:firstLine="644"/>
        <w:spacing w:after="0" w:line="293" w:lineRule="auto"/>
        <w:tabs>
          <w:tab w:leader="none" w:pos="173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subject to Lessee’s rights under Section 18.1, Lessor may, by notice to the Lessee, rescind or terminate this Lease as to any or all of the Leased Property as of the date specified in such notice;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 no reletting or taking of possession of the Leased Property (or any portion thereof) by Lessor will be construed as an election on Lessor’s part to terminate this Lease unless a written notice of such intention is given to the Lessee, (ii) notwithstanding any reletting or taking of possession, Lessor may at any time thereafter elect to terminate this Lease for a continuing Event of Default and (iii) no act or thing done by Lessor or any of its agents, representatives or employees and no agreement accepting a surrender of the Leased Property shall be valid unless the same be made in writing and executed by Lessor;</w:t>
      </w:r>
    </w:p>
    <w:p>
      <w:pPr>
        <w:spacing w:after="0" w:line="164" w:lineRule="exact"/>
        <w:rPr>
          <w:rFonts w:ascii="Arial" w:cs="Arial" w:eastAsia="Arial" w:hAnsi="Arial"/>
          <w:sz w:val="16"/>
          <w:szCs w:val="16"/>
          <w:color w:val="auto"/>
        </w:rPr>
      </w:pPr>
    </w:p>
    <w:p>
      <w:pPr>
        <w:jc w:val="both"/>
        <w:ind w:left="660" w:firstLine="644"/>
        <w:spacing w:after="0" w:line="286" w:lineRule="auto"/>
        <w:tabs>
          <w:tab w:leader="none" w:pos="174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Lessor may (i) demand that the Lessee, and the Lessee shall upon the written demand of Lessor, return the Leased Property promptly to Lessor in the manner and condition required by, and otherwise in accordance with all of the provisions of the Participation Agreement and Article IX and Sections 8.2 and 14.2 hereof, and Lessee shall comply with the requirements of Section 15.2 to the extent requested by Lessor, as if the Leased Property were being returned at the end of the Term, and Lessor shall not be liable for the reimbursement of the Lessee for any costs and expenses incurred by the Lessee in connection therewith and (ii) without prejudice to any other remedy which Lessor may have for possession of the Leased Property, and to the extent and in the manner permitted by Applicable Laws, enter upon the Site and take immediate possession of (to the exclusion of the Lessee) the Leased Property or any part thereof and expel or remove the Lessee, by summary proceedings or otherwise, all without liability to the Lessee for or by reason of such entry or taking of possession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Lessor shall remain liable for actual damages caused by its gross negligence or willful misconduct), whether for the restoration of damage to property caused by such taking or otherwise and, in addition to Lessor’s other damages, the Lessee shall be responsible for all actual and documented costs and expenses (which costs and expenses shall be reasonable if within the control of Lessor) incurred by Lessor and the Participants in connection with any reletting, including, without limitation, reasonable brokers’ fees and all actual costs of any reasonable alterations or repairs made by Lessor that are required to maintain the Leased Property in the condition required by this Lease;</w:t>
      </w:r>
    </w:p>
    <w:p>
      <w:pPr>
        <w:spacing w:after="0" w:line="173" w:lineRule="exact"/>
        <w:rPr>
          <w:rFonts w:ascii="Arial" w:cs="Arial" w:eastAsia="Arial" w:hAnsi="Arial"/>
          <w:sz w:val="16"/>
          <w:szCs w:val="16"/>
          <w:color w:val="auto"/>
        </w:rPr>
      </w:pPr>
    </w:p>
    <w:p>
      <w:pPr>
        <w:jc w:val="both"/>
        <w:ind w:left="660" w:firstLine="644"/>
        <w:spacing w:after="0" w:line="286" w:lineRule="auto"/>
        <w:tabs>
          <w:tab w:leader="none" w:pos="1732" w:val="left"/>
        </w:tabs>
        <w:numPr>
          <w:ilvl w:val="0"/>
          <w:numId w:val="154"/>
        </w:numPr>
        <w:rPr>
          <w:rFonts w:ascii="Arial" w:cs="Arial" w:eastAsia="Arial" w:hAnsi="Arial"/>
          <w:sz w:val="17"/>
          <w:szCs w:val="17"/>
          <w:color w:val="auto"/>
        </w:rPr>
      </w:pPr>
      <w:r>
        <w:rPr>
          <w:rFonts w:ascii="Arial" w:cs="Arial" w:eastAsia="Arial" w:hAnsi="Arial"/>
          <w:sz w:val="17"/>
          <w:szCs w:val="17"/>
          <w:color w:val="auto"/>
        </w:rPr>
        <w:t>Lessor may sell all or any part of the Leased Property at public or private sale, as Lessor may determine, free and clear of any rights of the Lessee with respect thereto (except to the extent required below if Lessor shall elect to exercise its rights thereunder) in which event the Lessee’s obligation to pay Basic Rent hereunder for periods commencing after the date of such sale shall be terminated;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jc w:val="both"/>
        <w:ind w:left="-460" w:firstLine="644"/>
        <w:spacing w:after="0" w:line="269" w:lineRule="auto"/>
        <w:tabs>
          <w:tab w:leader="none" w:pos="623" w:val="left"/>
        </w:tabs>
        <w:numPr>
          <w:ilvl w:val="0"/>
          <w:numId w:val="155"/>
        </w:numPr>
        <w:rPr>
          <w:rFonts w:ascii="Arial" w:cs="Arial" w:eastAsia="Arial" w:hAnsi="Arial"/>
          <w:sz w:val="17"/>
          <w:szCs w:val="17"/>
          <w:color w:val="auto"/>
        </w:rPr>
      </w:pPr>
      <w:r>
        <w:rPr>
          <w:rFonts w:ascii="Arial" w:cs="Arial" w:eastAsia="Arial" w:hAnsi="Arial"/>
          <w:sz w:val="17"/>
          <w:szCs w:val="17"/>
          <w:color w:val="auto"/>
        </w:rPr>
        <w:t>Lessor may, at its option, (i) elect not to terminate this Lease with respect to the Leased Property and continue to collect all Basic Rent, Supplemental Rent and all other amounts due Lessor (together with all costs of collection) and enforce the Lessee’s obligations under this Lease as and when the same become due, or are to be performed, and (ii) upon any abandonment of the Leased Property by the Lessee, Lessor may, in its sole and absolute discretion, elect not to terminate this Lease and may make the necessary repairs (and the Lessee shall pay the reasonable costs of such repairs) in order to relet the Leased Property, and relet the Leased Property or any part thereof (in place, if so elected by Lessor) for such term or terms (which may be for a term extending beyond the Term of this Lease) and at such rental or rentals and upon such other terms and conditions as Lessor in its reasonable discretion may deem advisable; and upon each such reletting all rentals actually received by Lessor from such reletting shall be applied to the Lessee’s obligations hereunder and the other Operative Documents in such order, proportion and priority as Lessor may elect in Lessor’s sole and absolute discretion. If such rentals received from such reletting during any period are less than the Rent with respect to the Leased Property to be paid during that period by the Lessee hereunder, the Lessee shall pay any deficiency, as calculated by Lessor, to Lessor on the next Payment Date;</w:t>
      </w:r>
    </w:p>
    <w:p>
      <w:pPr>
        <w:spacing w:after="0" w:line="181" w:lineRule="exact"/>
        <w:rPr>
          <w:rFonts w:ascii="Arial" w:cs="Arial" w:eastAsia="Arial" w:hAnsi="Arial"/>
          <w:sz w:val="17"/>
          <w:szCs w:val="17"/>
          <w:color w:val="auto"/>
        </w:rPr>
      </w:pPr>
    </w:p>
    <w:p>
      <w:pPr>
        <w:jc w:val="both"/>
        <w:ind w:left="-460" w:firstLine="644"/>
        <w:spacing w:after="0" w:line="271" w:lineRule="auto"/>
        <w:tabs>
          <w:tab w:leader="none" w:pos="61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Lessor may demand, by written notice to the Lessee, that the Lessee pay to Lessor within ten (10) Business Days after receipt of such notice an amount equal to the Lease Balance and all other amounts owing by Lessee to the Administrative Agent, if any, and/or the Participants under the Operative Documents (including, but without duplication, accrued and unpaid Rent), then upon Lessor’s receipt of the Lease Balance and all other amounts owing by Lessee to the Administrative Agent, if any, and/or the Participants under the Operative Documents (including, but without duplication, accrued and unpaid Rent), Lessor shall convey the Leased Property, the other Collateral and the Parcel D Ground Leased Property to the Lessee in accordance with Article XXI. Lessor acknowledges and agrees that upon the declaration of an Event of Default, to the maximum extent permitted by law, the Lessee waives any right to contest that the payment of the amount described in the preceding sentence constitutes the correct liquidated recourse sum due upon acceleration of this instrument;</w:t>
      </w:r>
    </w:p>
    <w:p>
      <w:pPr>
        <w:spacing w:after="0" w:line="178" w:lineRule="exact"/>
        <w:rPr>
          <w:rFonts w:ascii="Arial" w:cs="Arial" w:eastAsia="Arial" w:hAnsi="Arial"/>
          <w:sz w:val="17"/>
          <w:szCs w:val="17"/>
          <w:color w:val="auto"/>
        </w:rPr>
      </w:pPr>
    </w:p>
    <w:p>
      <w:pPr>
        <w:jc w:val="both"/>
        <w:ind w:left="-460" w:firstLine="644"/>
        <w:spacing w:after="0" w:line="257" w:lineRule="auto"/>
        <w:tabs>
          <w:tab w:leader="none" w:pos="61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Lessor may exercise any other right or remedy that may be available to it under Applicable Laws, or proceed by appropriate court action (legal or equitable) to enforce the terms hereof or to recover damages for the breach hereof. Separate suits may be brought to collect any such damages for any period(s), and such suits shall not in any manner prejudice Lessor’s right to collect any such damages for any subsequent period(s), or Lessor may defer any such suit until after the expiration of the Term, in which event such suit shall be deemed not to have accrued until the expiration of the Term;</w:t>
      </w:r>
    </w:p>
    <w:p>
      <w:pPr>
        <w:spacing w:after="0" w:line="187" w:lineRule="exact"/>
        <w:rPr>
          <w:rFonts w:ascii="Arial" w:cs="Arial" w:eastAsia="Arial" w:hAnsi="Arial"/>
          <w:sz w:val="18"/>
          <w:szCs w:val="18"/>
          <w:color w:val="auto"/>
        </w:rPr>
      </w:pPr>
    </w:p>
    <w:p>
      <w:pPr>
        <w:jc w:val="both"/>
        <w:ind w:left="-460" w:firstLine="644"/>
        <w:spacing w:after="0" w:line="255" w:lineRule="auto"/>
        <w:tabs>
          <w:tab w:leader="none" w:pos="62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Lessor may retain and apply against the Lease Balance and all other amounts due and owing by the Lessee under the Operative Documents, in accordance with Section 5.3 of the Participation Agreement, all sums which Lessor would, absent such Event of Default, be required to pay to, or turn over to, the Lessee pursuant to the terms of this Lease and upon payment in full of the Lease Balance and all such amounts described above in this clause (g), the Leased Property, other Collateral and Parcel D Ground Leased Property shall be conveyed to Lessee in accordance with Section 21.1 of this Lease (except to the extent the Leased Property and other Collateral has been sold pursuant to this Section 16.2);</w:t>
      </w:r>
    </w:p>
    <w:p>
      <w:pPr>
        <w:spacing w:after="0" w:line="200" w:lineRule="exact"/>
        <w:rPr>
          <w:sz w:val="20"/>
          <w:szCs w:val="20"/>
          <w:color w:val="auto"/>
        </w:rPr>
      </w:pPr>
    </w:p>
    <w:p>
      <w:pPr>
        <w:spacing w:after="0" w:line="20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3" w:name="page174"/>
    <w:bookmarkEnd w:id="173"/>
    <w:p>
      <w:pPr>
        <w:jc w:val="both"/>
        <w:ind w:left="660" w:firstLine="644"/>
        <w:spacing w:after="0" w:line="255" w:lineRule="auto"/>
        <w:tabs>
          <w:tab w:leader="none" w:pos="174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an Event of Default pursuant to Section 16.1(h) or (i) shall have occurred and be continuing with respect to the Lessee or the Parent Guarantor, Lessor, as a matter of right and with notice to the Lessee, shall have the right to apply to any court having jurisdiction to appoint a receiver or receivers of the Leased Property, and the Lessee hereby irrevocably consents to any such appointment. Any such receiver(s) shall have all of the usual powers and duties of receivers in like or similar cases and all of the powers and duties of Lessor in case of entry onto the Site, and shall continue as such and exercise such powers until the date of confirmation of the sale of the Leased Property or the other Collateral unless such receivership is sooner terminated; or</w:t>
      </w:r>
    </w:p>
    <w:p>
      <w:pPr>
        <w:spacing w:after="0" w:line="192" w:lineRule="exact"/>
        <w:rPr>
          <w:rFonts w:ascii="Arial" w:cs="Arial" w:eastAsia="Arial" w:hAnsi="Arial"/>
          <w:sz w:val="18"/>
          <w:szCs w:val="18"/>
          <w:color w:val="auto"/>
        </w:rPr>
      </w:pPr>
    </w:p>
    <w:p>
      <w:pPr>
        <w:jc w:val="both"/>
        <w:ind w:left="660" w:firstLine="644"/>
        <w:spacing w:after="0" w:line="255" w:lineRule="auto"/>
        <w:tabs>
          <w:tab w:leader="none" w:pos="172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upon the occurrence of the Event of Default described in Section 16.1(h) or (i) with respect to the Lessee or the Parent Guarantor, whether or not another Event of Default described in one or more other clauses of Section 16.1 shall have been or thereafter is declared, this Lease shall terminate immediately without notice and Lessee shall immediately pay to the Administrative Agent, on behalf of Lessor, as and for liquidated damages and without limitation on any other remedies provided for herein, an amount equal to the Lease Balance and all other amounts owing by Lessee to the Administrative Agent, if any, and/or the Participants under the Operative Documents (including, but without duplication, accrued and unpaid Rent).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maximum extent permitted by law, the Lessee hereby waives (x) the benefit of any appraisement, valuation, stay, extension, reinstatement and redemption laws in force as of the Restatement Date or thereafter and all rights of marshaling in the event of any sale of the Leased Property or the other Collateral or any interest therein and (y) any rights as of the Restatement Date or in the future conferred by statute or otherwise which may require Lessor to sell, lease or otherwise use the Leased Property in mitigation of Lessor’s damages or which may otherwise limit or modify any remedy of damages.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Lessor shall be entitled to enforce payment and the performance of the obligations secured hereby and to exercise all rights and powers under this instrument or under any of the other Operative Documents or other agreements or any laws in force as of the Restatement Date or thereafter, notwithstanding some or all of the obligations secured hereby may be otherwise secured as of the Restatement Date or thereafter, whether by mortgage, security agreement, pledge, lien, assignment or otherwise. Neither the acceptance of this instrument nor its enforcement, shall prejudice or in any manner affect Lessor’s right to realize upon or enforce any other security held by Lessor as of the Restatement Date or thereafter, it being agreed that Lessor shall be entitled to enforce this instrument and any other security held by Lessor as of the Restatement Date or thereafter in such order and manner as Lessor may determine in its absolute discretion. No remedy herein conferred upon or reserved to Lessor is intended to be exclusive of any other remedy herein or by law provided or permitted, but each shall be cumulative and shall be in addition to every other remedy given hereunder or existing as of the Restatement Date or thereafter at law or in equity or by statute. Every power or remedy given by any of the Operative Documents to Lessor or to which it may otherwise be entitled, may be exercised, concurrently or independently, from time to time and as often as may be deemed expedient by Lessor. Without limiting the foregoing, each of the powers, rights and remedies as set forth or otherwise permitted pursuant to this Article XVI are independent of the provisions of Article XIII of the Participation Agreement and shall not be affected by any exclusion set forth in Section 13.1(b) of the Participation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jc w:val="both"/>
        <w:ind w:firstLine="648"/>
        <w:spacing w:after="0" w:line="257" w:lineRule="auto"/>
        <w:rPr>
          <w:sz w:val="20"/>
          <w:szCs w:val="20"/>
          <w:color w:val="auto"/>
        </w:rPr>
      </w:pPr>
      <w:r>
        <w:rPr>
          <w:rFonts w:ascii="Arial" w:cs="Arial" w:eastAsia="Arial" w:hAnsi="Arial"/>
          <w:sz w:val="18"/>
          <w:szCs w:val="18"/>
          <w:color w:val="auto"/>
        </w:rPr>
        <w:t>The proceeds derived from any sale of Leased Property and other amounts recovered pursuant to the foregoing remedies after an Event of Default shall be distributed pursuant to Section 5.3(f) of the Participation Agreement. The amount realized by Lessor upon a sale of the Leased Property shall be net of Lessor’s sale expenses and other expenses reasonably and customarily incurred by Lessor in connection with Lessor holding and owning such Leased Property until such time as the Leased Property is sold. The obligations in Section 5.3(f) of the Participation Agreement shall survive the termination of this Lease.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Notwithstanding anything herein to the contrary, and except for Lessee’s obligation to pay Nonconformance Amounts, there shall not be any personal recourse against the Lessee (and Lessor shall have recourse only against the Leased Property) pursuant to this Section 16.2 for any amount in excess of the Lease Balance and all other amounts owing by Lessee to the Administrative Agent, if any, and/or the Participants under the Operative Documents (including, but without duplication, accrued and unpaid 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Lessee does not pay the Lease Balance and all other amounts owing by Lessee to the Administrative Agent, if any, and/or the Participants under the Operative Documents (including, but without duplication, accrued and unpaid Rent) in full, Lessee shall not be entitled to the Leased Property and Lessor shall be entitled to receive the outstanding Lease Balance and all other amounts owing by Lessee to the Administrative Agent, if any, and/or the Participants under the Operative Documents (including, but without duplication, accrued and unpaid Rent) from the sale, lease or other disposition of the Leased Property.</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Section 16.3. Waiver of Certain Rights</w:t>
      </w:r>
      <w:r>
        <w:rPr>
          <w:rFonts w:ascii="Arial" w:cs="Arial" w:eastAsia="Arial" w:hAnsi="Arial"/>
          <w:sz w:val="17"/>
          <w:szCs w:val="17"/>
          <w:color w:val="auto"/>
        </w:rPr>
        <w:t>. If this Lease shall be terminated pursuant to Section 16.2, the Lessee waives, to the fullest extent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by law, (a) any notice of legal proceedings to obtain possession; (b) any right of redemption or repossession; (c) the benefit of any laws in force as of the Restatement Date or thereafter exempting property from liability for rent or for debt or limiting Lessor with respect to the election of remedies; and (d) any other rights which might otherwise limit or modify any of Lessor’s rights or remedies under this Article XVI.</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ESSOR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URE</w:t>
      </w:r>
    </w:p>
    <w:p>
      <w:pPr>
        <w:spacing w:after="0" w:line="2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Section 17.1. The Lessor’s Right to Cure the Lessee’s Defaults</w:t>
      </w:r>
      <w:r>
        <w:rPr>
          <w:rFonts w:ascii="Arial" w:cs="Arial" w:eastAsia="Arial" w:hAnsi="Arial"/>
          <w:sz w:val="16"/>
          <w:szCs w:val="16"/>
          <w:color w:val="auto"/>
        </w:rPr>
        <w:t>. Lessor, without waiving or releasing any obligation or Event of Default, may (but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under no obligation to), upon five (5) Business Days’ prior notice to the Lessee, remedy any Event of Default for the account and at the sole cost and expense of the Lessee, including the failure by the Lessee to maintain the insurance required by Article XIII, and may, to the fullest extent permitted by law, and notwithstanding any right of quiet enjoyment in favor of the Lessee, enter upon the Leased Property and the Site, for such purpose and take all such action thereon as may be necessary or appropriate therefor. No such entry shall be deemed an eviction of Lessee. All reasonable out-of-pocket costs and expenses so incurred by the Lessor (including reasonable and documented fees and expenses of counsel), together with interest thereon at the Overdue Rate from the date on which such sums or expenses are paid by Lessor, shall be paid by the Lessee to Lessor on demand as Supplemental Rent.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ROVISIONS</w:t>
      </w:r>
    </w:p>
    <w:p>
      <w:pPr>
        <w:spacing w:after="0" w:line="21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Section 18.1. Early and End of Term Purchase Options</w:t>
      </w:r>
      <w:r>
        <w:rPr>
          <w:rFonts w:ascii="Arial" w:cs="Arial" w:eastAsia="Arial" w:hAnsi="Arial"/>
          <w:sz w:val="16"/>
          <w:szCs w:val="16"/>
          <w:color w:val="auto"/>
        </w:rPr>
        <w:t>. Subject to the conditions contained herein, on (a) (i) any Business Day during the Term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(ii) on the Expiration Date in accordance with Section 19.1(b);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Lessee has not elected the Sale Option, or (b) any Business Day after the occurrence and during the continuance of an Event of Default (other than an Insolvency Event), Lessee may, at its option, purchase (or cause a designee to purchase) all, but not less than all, of the Leased Property, other Collateral and Parcel D Ground Leased Property (the </w:t>
      </w:r>
      <w:r>
        <w:rPr>
          <w:rFonts w:ascii="Arial" w:cs="Arial" w:eastAsia="Arial" w:hAnsi="Arial"/>
          <w:sz w:val="16"/>
          <w:szCs w:val="16"/>
          <w:i w:val="1"/>
          <w:iCs w:val="1"/>
          <w:color w:val="auto"/>
        </w:rPr>
        <w:t>“Early Termination Option”</w:t>
      </w:r>
      <w:r>
        <w:rPr>
          <w:rFonts w:ascii="Arial" w:cs="Arial" w:eastAsia="Arial" w:hAnsi="Arial"/>
          <w:sz w:val="16"/>
          <w:szCs w:val="16"/>
          <w:color w:val="auto"/>
        </w:rPr>
        <w:t>) at a price equal to the Purchase Amount. Lessee’s right to purchase all of the Leased Property, other Collateral and Parcel D Ground Leased Property pursuant to this Section 18.1 shall terminate automatically and without notice upon the occurrence of an Event of Default arising as a result of an Insolvency Event. After the occurrence and during the continuance of any other Event of Default, unless all of the Leased Property, other Collateral and Parcel D Ground Leased Property has been sold, or is subject to a binding commitment to be sold, in its entirety pursuant to Section 16.2, Lessee shall be permitted to purchase the Leased Property, other Collateral and Parcel D Ground Leased Property (or, as applicable, all remaining Leased Property, other Collateral and Parcel D Ground Leased Property not yet sold pursuant to Section 16.2(c)), so long as Lessee (i) delivers a written Purchase Notice irrevocably electing to exercise the Early Termination Option not more than thirty (30) days after the occurrence of such Event of Default and (ii) pays the Administrative Agent or Lessor the Purchase Amount and executes such documents as are necessary to consummate such purchase within ten (10) Business Days after the date of such Purchase Notice (and, unless an Insolvency Event occurs, Lessor shall not terminate this Lease during such period). In order to exercise its option to purchase the Leased Property, other Collateral and Parcel D Ground Leased Property pursuant to this Section 18.1 and except as otherwise provided above in connection with an Event of Default, Lessee shall give to Lessor not less than thirty (30) days’ prior written notice of such election to exercise, which election shall be irrevocable when made. If the Lessee exercises its option pursuant to this Section 18.1, then, upon Administrative Agent’s receipt of all amounts due in connection therewith, Lessor shall transfer to the Lessee all of Lessor’s right, title and interest in and to the Leased Property, other Collateral and Parcel D Ground Leased Property in accordance with the procedures set forth in Section 21.1, such transfer to be effective as of the date specified in the Purchase Notice. Lessor agrees that it shall cooperate with the Lessee in effecting any transfer to a designee of the Lessee pursuant to this Section 18.1.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ND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Section 19.1. End of Term Options</w:t>
      </w:r>
      <w:r>
        <w:rPr>
          <w:rFonts w:ascii="Arial" w:cs="Arial" w:eastAsia="Arial" w:hAnsi="Arial"/>
          <w:sz w:val="18"/>
          <w:szCs w:val="18"/>
          <w:color w:val="auto"/>
        </w:rPr>
        <w:t>. At least one hundred eighty (180) days before the Expiration Date of the Term, but not more than three hundred</w:t>
      </w:r>
      <w:r>
        <w:rPr>
          <w:rFonts w:ascii="Arial" w:cs="Arial" w:eastAsia="Arial" w:hAnsi="Arial"/>
          <w:sz w:val="18"/>
          <w:szCs w:val="18"/>
          <w:i w:val="1"/>
          <w:iCs w:val="1"/>
          <w:color w:val="auto"/>
        </w:rPr>
        <w:t xml:space="preserve"> </w:t>
      </w:r>
      <w:r>
        <w:rPr>
          <w:rFonts w:ascii="Arial" w:cs="Arial" w:eastAsia="Arial" w:hAnsi="Arial"/>
          <w:sz w:val="18"/>
          <w:szCs w:val="18"/>
          <w:color w:val="auto"/>
        </w:rPr>
        <w:t>and sixty-five (365) days prior to the Expiration Date of the Term, Lessee shall, by delivery of written notice to Lessor and the Administrative Agent, exercise one of the following options:</w:t>
      </w:r>
    </w:p>
    <w:p>
      <w:pPr>
        <w:spacing w:after="0" w:line="184" w:lineRule="exact"/>
        <w:rPr>
          <w:sz w:val="20"/>
          <w:szCs w:val="20"/>
          <w:color w:val="auto"/>
        </w:rPr>
      </w:pPr>
    </w:p>
    <w:p>
      <w:pPr>
        <w:jc w:val="both"/>
        <w:ind w:left="660" w:firstLine="644"/>
        <w:spacing w:after="0" w:line="275" w:lineRule="auto"/>
        <w:tabs>
          <w:tab w:leader="none" w:pos="1732"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Request to renew this Lease with respect to the Leased Property for an additional five-year Lease Renewal Term after the First Renewal Term (the </w:t>
      </w:r>
      <w:r>
        <w:rPr>
          <w:rFonts w:ascii="Arial" w:cs="Arial" w:eastAsia="Arial" w:hAnsi="Arial"/>
          <w:sz w:val="17"/>
          <w:szCs w:val="17"/>
          <w:i w:val="1"/>
          <w:iCs w:val="1"/>
          <w:color w:val="auto"/>
        </w:rPr>
        <w:t>“Renewal Option”</w:t>
      </w:r>
      <w:r>
        <w:rPr>
          <w:rFonts w:ascii="Arial" w:cs="Arial" w:eastAsia="Arial" w:hAnsi="Arial"/>
          <w:sz w:val="17"/>
          <w:szCs w:val="17"/>
          <w:color w:val="auto"/>
        </w:rPr>
        <w:t xml:space="preserve">) on the terms and conditions set forth herein and in the other Operative Documents to which Lessee or an Affiliate of Lessee is a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Renewal Option shall be available at the end of the Term only if the conditions to the Renewal Option set forth herein and in Section 4.7 of the Participation Agreement are satisfied;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Renewal Option shall not be exercisable for a total of more than one (1) Lease Renewal Term after the First Renewal Term;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both"/>
        <w:ind w:left="-460" w:firstLine="644"/>
        <w:spacing w:after="0" w:line="287" w:lineRule="auto"/>
        <w:tabs>
          <w:tab w:leader="none" w:pos="66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Purchase for an amount in immediately available funds equal to the Purchase Amount all, but not less than all, of the Leased Property, other Collateral and Parcel D Ground Leased Property on or before the last day of the Term (the </w:t>
      </w:r>
      <w:r>
        <w:rPr>
          <w:rFonts w:ascii="Arial" w:cs="Arial" w:eastAsia="Arial" w:hAnsi="Arial"/>
          <w:sz w:val="16"/>
          <w:szCs w:val="16"/>
          <w:i w:val="1"/>
          <w:iCs w:val="1"/>
          <w:color w:val="auto"/>
        </w:rPr>
        <w:t>“Purchase Option”</w:t>
      </w:r>
      <w:r>
        <w:rPr>
          <w:rFonts w:ascii="Arial" w:cs="Arial" w:eastAsia="Arial" w:hAnsi="Arial"/>
          <w:sz w:val="16"/>
          <w:szCs w:val="16"/>
          <w:color w:val="auto"/>
        </w:rPr>
        <w:t xml:space="preserve">); and if Lessee shall have elected to purchase the Leased Property, other Collateral and Parcel D Ground Leased Property, (1) Lessee may (A) assign its right to purchase the Leased Property, other Collateral and Parcel D Ground Leased Property hereunder to a third party, in which case such third party shall consummate the purchase of the Leased Property, other Collateral and Parcel D Ground Leased Property on or before the last day of the Term;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third party fails to consummate the purchase of the Leased Property, other Collateral and Parcel D Ground Leased Property on or before the last day of the Term, Lessee shall consummate the purchase of the Leased Property, other Collateral and Parcel D Ground Leased Property on the last day of the Term or (B) designate a third party to acquire title to the Leased Property, other Collateral and Parcel D Ground Leased Property, without assigning Lessee’s rights to purchase the Leased Property, other Collateral and Parcel D Ground Leased Property hereunder and (2) Lessor shall, upon the payment to Administrative Agent of the Purchase Amount then due and payable by Lessee under the Operative Documents, transfer all of Lessor’s right, title and interest in and to the Leased Property, other Collateral and Parcel D Ground Leased Property to Lessee or such other party designated by Lessee pursuant to Section 21.1; or</w:t>
      </w:r>
    </w:p>
    <w:p>
      <w:pPr>
        <w:spacing w:after="0" w:line="167" w:lineRule="exact"/>
        <w:rPr>
          <w:rFonts w:ascii="Arial" w:cs="Arial" w:eastAsia="Arial" w:hAnsi="Arial"/>
          <w:sz w:val="16"/>
          <w:szCs w:val="16"/>
          <w:color w:val="auto"/>
        </w:rPr>
      </w:pPr>
    </w:p>
    <w:p>
      <w:pPr>
        <w:jc w:val="both"/>
        <w:ind w:left="-460" w:firstLine="644"/>
        <w:spacing w:after="0" w:line="287" w:lineRule="auto"/>
        <w:tabs>
          <w:tab w:leader="none" w:pos="65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Commit to sell on behalf of Lessor for cash to a single purchaser not in any way affiliated with Lessee or any of its Subsidiaries all, but not less than all, of the Leased Property, other Collateral and Parcel D Ground Leased Property on the last day of the Term (the </w:t>
      </w:r>
      <w:r>
        <w:rPr>
          <w:rFonts w:ascii="Arial" w:cs="Arial" w:eastAsia="Arial" w:hAnsi="Arial"/>
          <w:sz w:val="16"/>
          <w:szCs w:val="16"/>
          <w:i w:val="1"/>
          <w:iCs w:val="1"/>
          <w:color w:val="auto"/>
        </w:rPr>
        <w:t>“Sale</w:t>
      </w:r>
      <w:r>
        <w:rPr>
          <w:rFonts w:ascii="Arial" w:cs="Arial" w:eastAsia="Arial" w:hAnsi="Arial"/>
          <w:sz w:val="16"/>
          <w:szCs w:val="16"/>
          <w:color w:val="auto"/>
        </w:rPr>
        <w:t xml:space="preserve"> </w:t>
      </w:r>
      <w:r>
        <w:rPr>
          <w:rFonts w:ascii="Arial" w:cs="Arial" w:eastAsia="Arial" w:hAnsi="Arial"/>
          <w:sz w:val="16"/>
          <w:szCs w:val="16"/>
          <w:i w:val="1"/>
          <w:iCs w:val="1"/>
          <w:color w:val="auto"/>
        </w:rPr>
        <w:t>Option”</w:t>
      </w:r>
      <w:r>
        <w:rPr>
          <w:rFonts w:ascii="Arial" w:cs="Arial" w:eastAsia="Arial" w:hAnsi="Arial"/>
          <w:sz w:val="16"/>
          <w:szCs w:val="16"/>
          <w:color w:val="auto"/>
        </w:rPr>
        <w:t>). Lessee’s right to sell the Leased Property, other Collateral and Parcel D Ground Leased Property pursuant to the Sale Option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conditioned upon and subject to the fulfillment by Lessee of each of the terms and conditions applicable to Lessee set forth in Article XX (unless waived in accordance with the terms set forth therein). In addition, such sale shall be subject to all subleases with respect to the Leased Property to Persons who are not Affiliates or Subsidiaries of Parent Guarantor, the Home Depot Ground Lease and the Parcel D Ground Lease. Lessee shall not enter into any additional subleases or renew any subleases (other than on market terms or otherwise pursuant to express rights therefor under the existing subleases) with respect to the Leased Property following Lessee’s election of the Sale Option. Following Lessee’s election of the Sale Option, Lessee shall not remove any Modifications or commence any voluntary Modifications under Section 10.1(a)(ii) (other than Required Modifications) without the consent of the Required Participants (which consent shall not be unreasonably withheld, conditioned or delayed) unless required to comply with Applicable Laws or avoid or address an emergency.</w:t>
      </w:r>
    </w:p>
    <w:p>
      <w:pPr>
        <w:spacing w:after="0" w:line="38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177" w:name="page178"/>
    <w:bookmarkEnd w:id="177"/>
    <w:p>
      <w:pPr>
        <w:jc w:val="both"/>
        <w:ind w:firstLine="324"/>
        <w:spacing w:after="0" w:line="283" w:lineRule="auto"/>
        <w:rPr>
          <w:sz w:val="20"/>
          <w:szCs w:val="20"/>
          <w:color w:val="auto"/>
        </w:rPr>
      </w:pPr>
      <w:r>
        <w:rPr>
          <w:rFonts w:ascii="Arial" w:cs="Arial" w:eastAsia="Arial" w:hAnsi="Arial"/>
          <w:sz w:val="16"/>
          <w:szCs w:val="16"/>
          <w:i w:val="1"/>
          <w:iCs w:val="1"/>
          <w:color w:val="auto"/>
        </w:rPr>
        <w:t>Section 19.2. Election of Options</w:t>
      </w:r>
      <w:r>
        <w:rPr>
          <w:rFonts w:ascii="Arial" w:cs="Arial" w:eastAsia="Arial" w:hAnsi="Arial"/>
          <w:sz w:val="16"/>
          <w:szCs w:val="16"/>
          <w:color w:val="auto"/>
        </w:rPr>
        <w:t>. Unless (i) Lessee shall have affirmatively elected the Sale Option within the time period provided for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19.1 and satisfied each of the requirements in Articles XX and XXI (unless waived in accordance with the terms set forth therein), (ii) Lessee shall have elected to purchase all, but not less than all, of the Leased Property pursuant to Article XVIII or (iii) Lessee shall have elected the Renewal Option and a renewal pursuant to such Renewal Option shall have become effective in accordance with Section 4.7 of the Participation Agreement and all other conditions to such renewal set forth in Section 4.7 of the Participation Agreement and Section 19.3 hereof have been satisfied, Lessee shall be deemed to have elected the Purchase Option. In addition, the Sale Option shall automatically be revoked if there exists an Event of Default, Significant Environmental Event or an Event of Loss at any time after the Sale Option is properly elected or the Lessee fails to pay the Sale Option Recourse Amount to the Administrative Agent by not later than the last day of the Term then in effect (unless this Lease is renewed for an additional Lease Renewal Term after the Restatement Date in accordance with the terms hereof). In the event of any such automatic revocation of the Sale Option (i) as a result of an Event of Default, Lessor shall be entitled to exercise all rights and remedies provided in Article XVI (subject to the Lessee’s rights set forth in Section 18.1), and</w:t>
      </w:r>
    </w:p>
    <w:p>
      <w:pPr>
        <w:spacing w:after="0" w:line="5" w:lineRule="exact"/>
        <w:rPr>
          <w:sz w:val="20"/>
          <w:szCs w:val="20"/>
          <w:color w:val="auto"/>
        </w:rPr>
      </w:pPr>
    </w:p>
    <w:p>
      <w:pPr>
        <w:jc w:val="both"/>
        <w:ind w:firstLine="8"/>
        <w:spacing w:after="0" w:line="253" w:lineRule="auto"/>
        <w:tabs>
          <w:tab w:leader="none" w:pos="27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 a result of an Event of Loss or Specified Significant Environmental Event, Lessor shall be entitled to exercise all rights and remedies provided in Article XV. Lessee may not elect the Sale Option or the Renewal Option if there exists on the date the election is made an Event of Default, Significant Environmental Event or an Event of Loss. Any election by Lessee of the Purchase Option pursuant to Section 19.1(b) shall be irrevocable at the time made. The election of the Sale Option shall not limit any remedies of Lessor under Article XVI.</w:t>
      </w:r>
    </w:p>
    <w:p>
      <w:pPr>
        <w:spacing w:after="0" w:line="193"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i w:val="1"/>
          <w:iCs w:val="1"/>
          <w:color w:val="auto"/>
        </w:rPr>
        <w:t>Section 19.3.</w:t>
      </w:r>
      <w:r>
        <w:rPr>
          <w:sz w:val="20"/>
          <w:szCs w:val="20"/>
          <w:color w:val="auto"/>
        </w:rPr>
        <w:tab/>
      </w:r>
      <w:r>
        <w:rPr>
          <w:rFonts w:ascii="Arial" w:cs="Arial" w:eastAsia="Arial" w:hAnsi="Arial"/>
          <w:sz w:val="16"/>
          <w:szCs w:val="16"/>
          <w:i w:val="1"/>
          <w:iCs w:val="1"/>
          <w:color w:val="auto"/>
        </w:rPr>
        <w:t>Renewal Options</w:t>
      </w:r>
      <w:r>
        <w:rPr>
          <w:rFonts w:ascii="Arial" w:cs="Arial" w:eastAsia="Arial" w:hAnsi="Arial"/>
          <w:sz w:val="16"/>
          <w:szCs w:val="16"/>
          <w:color w:val="auto"/>
        </w:rPr>
        <w:t>. The exercise of any Renewal Option by Lessee shall be subject to satisfaction of the following conditions:</w:t>
      </w:r>
    </w:p>
    <w:p>
      <w:pPr>
        <w:spacing w:after="0" w:line="225" w:lineRule="exact"/>
        <w:rPr>
          <w:sz w:val="20"/>
          <w:szCs w:val="20"/>
          <w:color w:val="auto"/>
        </w:rPr>
      </w:pPr>
    </w:p>
    <w:p>
      <w:pPr>
        <w:ind w:left="660" w:firstLine="644"/>
        <w:spacing w:after="0" w:line="308" w:lineRule="auto"/>
        <w:tabs>
          <w:tab w:leader="none" w:pos="177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on the Expiration Date then in effect no Default or Event of Default shall have occurred and be continuing, and on the date Lessee gives written notice of its exercise of the Renewal Option, no Default or Event of Default shall have occurred and be continuing;</w:t>
      </w:r>
    </w:p>
    <w:p>
      <w:pPr>
        <w:spacing w:after="0" w:line="146" w:lineRule="exact"/>
        <w:rPr>
          <w:rFonts w:ascii="Arial" w:cs="Arial" w:eastAsia="Arial" w:hAnsi="Arial"/>
          <w:sz w:val="17"/>
          <w:szCs w:val="17"/>
          <w:color w:val="auto"/>
        </w:rPr>
      </w:pPr>
    </w:p>
    <w:p>
      <w:pPr>
        <w:ind w:left="1800" w:hanging="496"/>
        <w:spacing w:after="0"/>
        <w:tabs>
          <w:tab w:leader="none" w:pos="18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Lessee shall not have exercised the Sale Option or the Purchase Option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82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of the other conditions for the Renewal Option set forth in Section 4.7(a) of the Participation Agreement and in Section 19.2(iii) hereof have been satisfied.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Lessee’s exercise of a Renewal Option shall be deemed to be a representation by Lessee that on both the Expiration Date then in effect and the date Lessee gives notice of its exercise of the Renewal Option, no Default or Event of Default shall have occurred and be continuing.</w:t>
      </w:r>
    </w:p>
    <w:p>
      <w:pPr>
        <w:spacing w:after="0" w:line="1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XX</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ALE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Section 20.1. Sale Option Procedures</w:t>
      </w:r>
      <w:r>
        <w:rPr>
          <w:rFonts w:ascii="Arial" w:cs="Arial" w:eastAsia="Arial" w:hAnsi="Arial"/>
          <w:sz w:val="18"/>
          <w:szCs w:val="18"/>
          <w:color w:val="auto"/>
        </w:rPr>
        <w:t>. The Lessee’s effective exercise and consummation of the Sale Option with respect to the Leased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Collateral and Parcel D Ground Leased Property shall be subject to the due and timely fulfillment of each of the following provisions as to the Leased Property as of the dates set forth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ind w:left="-460" w:right="20" w:firstLine="644"/>
        <w:spacing w:after="0" w:line="277" w:lineRule="auto"/>
        <w:tabs>
          <w:tab w:leader="none" w:pos="65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Lessee shall have given to Lessor and Administrative Agent written notice of the Lessee’s exercise of the Sale Option in accordance with Section 19.1.</w:t>
      </w:r>
    </w:p>
    <w:p>
      <w:pPr>
        <w:spacing w:after="0" w:line="170" w:lineRule="exact"/>
        <w:rPr>
          <w:rFonts w:ascii="Arial" w:cs="Arial" w:eastAsia="Arial" w:hAnsi="Arial"/>
          <w:sz w:val="18"/>
          <w:szCs w:val="18"/>
          <w:color w:val="auto"/>
        </w:rPr>
      </w:pPr>
    </w:p>
    <w:p>
      <w:pPr>
        <w:jc w:val="both"/>
        <w:ind w:left="-460" w:firstLine="644"/>
        <w:spacing w:after="0" w:line="268" w:lineRule="auto"/>
        <w:tabs>
          <w:tab w:leader="none" w:pos="66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Prior to the Expiration Date, Lessee shall furnish to Lessor and the Administrative Agent (who shall promptly distribute the same to the Rent Assignees) and, if the Leased Property is to be sold on the Expiration Date, the independent purchaser hereunder a reasonably current Environmental Audit dated no earlier than one hundred twenty (120) days prior to the Expiration Date (or such later date approved in writing by Lessor) and addressed to the Lessor (or accompanied by a letter from the consultant performing such Environmental Audit which allows the Lessor to rely on such report). Such Environmental Audit shall be prepared by an environmental consultant selected by Lessee subject to Lessor’s reasonable approval and shall contain conclusions reasonably satisfactory to the Lessor, the Participants and such purchaser as to the environmental status of the Leased Property. If any such Environmental Audit indicates any recognized environmental conditions with respect to the Leased Property not rising to the level of a Significant Environmental Event, Lessee shall take (at Lessee’s sole cost and expense) such investigative, remedial or other actions as shall be necessary to cure any such recognized environmental condition to the extent required by Environmental Laws and this Lease, and Lessee shall cause to be delivered (at Lessee’s sole cost and expense) prior to the Expiration Date for the Leased Property a written statement by such environmental consultant detailing all such actions and indicating in his or her opinion that, to the extent required by this Lease, all remedial actions indicated in such Environmental Audit have been undertaken and completed in compliance with Applicable Laws.</w:t>
      </w:r>
    </w:p>
    <w:p>
      <w:pPr>
        <w:spacing w:after="0" w:line="186" w:lineRule="exact"/>
        <w:rPr>
          <w:rFonts w:ascii="Arial" w:cs="Arial" w:eastAsia="Arial" w:hAnsi="Arial"/>
          <w:sz w:val="17"/>
          <w:szCs w:val="17"/>
          <w:color w:val="auto"/>
        </w:rPr>
      </w:pPr>
    </w:p>
    <w:p>
      <w:pPr>
        <w:ind w:left="-460" w:firstLine="644"/>
        <w:spacing w:after="0" w:line="277" w:lineRule="auto"/>
        <w:tabs>
          <w:tab w:leader="none" w:pos="65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Event of Default, Significant Environmental Event or Event of Loss shall have occurred and be continuing on or at any time following the date of Lessee’s notice of exercise of the Sale Option.</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66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Upon surrender of the Leased Property, (i) the Leased Property shall be in the condition required by Section 9.1, (ii) there shall be no deferred maintenance in respect of the Leased Property, and (iii) Lessee shall have remediated any Environmental Violation, and taken all other actions necessary to fully address any outstanding Environmental Claim with respect to the Leased Property, each in accordance with the terms of this Lease and at Lessee’s sole cost and expense.</w:t>
      </w:r>
    </w:p>
    <w:p>
      <w:pPr>
        <w:spacing w:after="0" w:line="186" w:lineRule="exact"/>
        <w:rPr>
          <w:rFonts w:ascii="Arial" w:cs="Arial" w:eastAsia="Arial" w:hAnsi="Arial"/>
          <w:sz w:val="18"/>
          <w:szCs w:val="18"/>
          <w:color w:val="auto"/>
        </w:rPr>
      </w:pPr>
    </w:p>
    <w:p>
      <w:pPr>
        <w:jc w:val="both"/>
        <w:ind w:left="-460" w:firstLine="644"/>
        <w:spacing w:after="0" w:line="271" w:lineRule="auto"/>
        <w:tabs>
          <w:tab w:leader="none" w:pos="65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The Lessee shall, as nonexclusive agent for Lessor, use commercially reasonable efforts to obtain the highest cash purchase price for the Leased Property. The Lessee will be responsible for hiring brokers and making the Leased Property available for inspection by prospective purchasers. The Lessee shall (i) upon reasonable notice during normal business hours (subject to Lessee’s customary security and safety measures), upon request, permit inspection of the Leased Property and any Leased Property Records by Lessor, the Administrative Agent and any potential purchasers;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limitations on inspections and the rights of the Lessee set forth in Section 4.2 shall apply to this Section 20.1, </w:t>
      </w:r>
      <w:r>
        <w:rPr>
          <w:rFonts w:ascii="Arial" w:cs="Arial" w:eastAsia="Arial" w:hAnsi="Arial"/>
          <w:sz w:val="17"/>
          <w:szCs w:val="17"/>
          <w:i w:val="1"/>
          <w:iCs w:val="1"/>
          <w:color w:val="auto"/>
        </w:rPr>
        <w:t>mutatis mutandis</w:t>
      </w:r>
      <w:r>
        <w:rPr>
          <w:rFonts w:ascii="Arial" w:cs="Arial" w:eastAsia="Arial" w:hAnsi="Arial"/>
          <w:sz w:val="17"/>
          <w:szCs w:val="17"/>
          <w:color w:val="auto"/>
        </w:rPr>
        <w:t>, and (ii) otherwise do all things reasonably necessary to sell and deliver possession of the Leased Property to any purchaser (subject to all subleases with respect to the Leased Property to Persons who are not Affiliates or Subsidiaries of Parent Guarantor, the Home Depot Ground Lease and the Parcel D Ground Lease).</w:t>
      </w:r>
    </w:p>
    <w:p>
      <w:pPr>
        <w:spacing w:after="0" w:line="3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9" w:name="page180"/>
    <w:bookmarkEnd w:id="179"/>
    <w:p>
      <w:pPr>
        <w:jc w:val="both"/>
        <w:ind w:left="4" w:firstLine="644"/>
        <w:spacing w:after="0" w:line="263" w:lineRule="auto"/>
        <w:tabs>
          <w:tab w:leader="none" w:pos="112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Lessee shall use commercially reasonable efforts to procure bids from one or more bona fide prospective purchasers to purchase the Leased Property, which shall include Lessor and its Affiliates. No such purchaser shall be the Lessee or any Subsidiary of the Lessee (except as set forth in the last paragraph of this Section 20.1).</w:t>
      </w:r>
    </w:p>
    <w:p>
      <w:pPr>
        <w:spacing w:after="0" w:line="183" w:lineRule="exact"/>
        <w:rPr>
          <w:rFonts w:ascii="Arial" w:cs="Arial" w:eastAsia="Arial" w:hAnsi="Arial"/>
          <w:sz w:val="18"/>
          <w:szCs w:val="18"/>
          <w:color w:val="auto"/>
        </w:rPr>
      </w:pPr>
    </w:p>
    <w:p>
      <w:pPr>
        <w:jc w:val="both"/>
        <w:ind w:left="4" w:firstLine="644"/>
        <w:spacing w:after="0" w:line="283" w:lineRule="auto"/>
        <w:tabs>
          <w:tab w:leader="none" w:pos="1131"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Lessee shall submit all bids to Lessor and the Administrative Agent (who shall promptly distribute the same to the Rent Assignees), and Lessor will have the right to review the same and to submit any one or more bids. All bids shall be on an all-cash basis unless Lessor and the Participants shall otherwise agree in their sole discretion. The Lessee shall use commercially reasonable efforts to deliver to Lessor and the Required Participants not less than ninety (90) days prior to the Expiration Date a binding written unconditional (except as set forth below), irrevocable offer by such purchaser or purchasers offering the highest all-cash bid to purchase all, but not less than all, of the Leased Property, other Collateral and Parcel D Ground Leased Property (unless otherwise agreed to by Lessor and the Required Participants). If Lessor in the exercise of its reasonable judgment believes that the Gross Proceeds to be paid to Lessor pursuant to clause (l) below from a proposed bid which the Lessee desires to accept is less than the Fair Market Value, then Lessor shall promptly provide written notice thereof to Lessee and Lessee’s rights hereunder shall be further conditioned upon Lessor’s receipt of an appraisal demonstrating that such proposed bid is for an amount at least equal to the Fair Market Value of the Leased Property as established by such appraisal. In such case then Lessor shall, promptly following the receipt of such notice from Lessor, engage an appraiser, reasonably satisfactory to Lessor and Lessee, at Lessee’s expense, to determine (by appraisal methods reasonably satisfactory to Lessor and the Required Participants) the Fair Market Value of the Leased Property as of the Expiration Date. A copy of such appraisal shall be delivered to Lessor and the Administrative Agent (who shall promptly distribute the same to the Rent Assignees) not later than five (5) Business Days prior to the Expiration Date. The appraiser will be instructed to assume that the Leased Property is in the condition required by and has been maintained in accordance with this Lease. Notwithstanding anything contained in this clause</w:t>
      </w:r>
    </w:p>
    <w:p>
      <w:pPr>
        <w:jc w:val="both"/>
        <w:ind w:left="4" w:hanging="4"/>
        <w:spacing w:after="0" w:line="270" w:lineRule="auto"/>
        <w:tabs>
          <w:tab w:leader="none" w:pos="267"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to the contrary, in the event Lessor received a bona fide all cash offer which the Lessee desires to accept from a credit worthy offeror (which shall include Lessor and any Affiliate thereof) for an amount equal to the Lease Balance and all other amounts owing by Lessee to the Administrative Agent, if any, and/or the Participants under the Operative Documents (including, but without duplication, accrued and unpaid Rent) (after deduction of all sales costs, expenses and related taxes), Lessor must sell the Leased Property, other Collateral and Parcel D Ground Leased Property for such amount to the extent the conditions therefor are satisfied and Lessor shall have no right to require an appraisal demonstrating that such proposed bid is for an amount at least equal to the Fair Market Value of the Leased Property.</w:t>
      </w:r>
    </w:p>
    <w:p>
      <w:pPr>
        <w:spacing w:after="0" w:line="394"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80" w:name="page181"/>
    <w:bookmarkEnd w:id="180"/>
    <w:p>
      <w:pPr>
        <w:jc w:val="both"/>
        <w:ind w:left="-460" w:firstLine="644"/>
        <w:spacing w:after="0" w:line="269" w:lineRule="auto"/>
        <w:tabs>
          <w:tab w:leader="none" w:pos="66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connection with any such sale of the Leased Property, other Collateral and Parcel D Ground Leased Property, the Lessee will provide to the purchaser all customary “seller’s” indemnities, representations and warranties, customary representations and warranties regarding title and the absence of Liens (except (i) in the case of the Leased Property and other Collateral, Lessor Liens and Permitted Liens of the type described in clauses (a) (excluding Liens relating to the interest or rights of Lessee), (b), (c), (f), (g), (h), (i), (j), (k) or (m) of the definition of “Permitted Liens” and (ii) in the case of the Parcel D Ground Leased Property, Liens permitted by the Parcel D Ground Lease) and the condition of such Leased Property. The Lessee shall have obtained or caused to be obtained, at its cost and expense, all required governmental and regulatory consents and approvals and shall have made all filings as required by Applicable Laws in order to carry out and complete the transfer of the Leased Property, other Collateral and Parcel D Ground Leased Property. As to Lessor, any such sale shall be made on an “as is, where is, with all faults” basis without representation or warranty by Lessor, other than the absence of Lessor Liens. Any agreement as to such sale shall be in form and substance satisfactory to Lessor.</w:t>
      </w:r>
    </w:p>
    <w:p>
      <w:pPr>
        <w:spacing w:after="0" w:line="185" w:lineRule="exact"/>
        <w:rPr>
          <w:rFonts w:ascii="Arial" w:cs="Arial" w:eastAsia="Arial" w:hAnsi="Arial"/>
          <w:sz w:val="17"/>
          <w:szCs w:val="17"/>
          <w:color w:val="auto"/>
        </w:rPr>
      </w:pPr>
    </w:p>
    <w:p>
      <w:pPr>
        <w:jc w:val="both"/>
        <w:ind w:left="-460" w:firstLine="644"/>
        <w:spacing w:after="0" w:line="255" w:lineRule="auto"/>
        <w:tabs>
          <w:tab w:leader="none" w:pos="65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All costs, Impositions and expenses of or arising from the sale of the Leased Property, other Collateral and Parcel D Ground Leased Property, incurred by the Participants, Administrative Agent or the Lessee, including the cost of all title searches, surveys, environmental audits, appraisals, transfer taxes, Lessor’s reasonable attorneys’ fees, the Lessee’s attorneys’ fees, commissions, escrow fees, recording fees, and all applicable documentary and other transfer and document taxes and Impositions shall be paid out of the sale proceeds as set forth in Section 5.3 of the Participation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Lessee shall pay directly any such amounts incurred by Lessee in excess of amounts Lessor, acting in good faith, deems reasonable.</w:t>
      </w:r>
    </w:p>
    <w:p>
      <w:pPr>
        <w:spacing w:after="0" w:line="192" w:lineRule="exact"/>
        <w:rPr>
          <w:rFonts w:ascii="Arial" w:cs="Arial" w:eastAsia="Arial" w:hAnsi="Arial"/>
          <w:sz w:val="18"/>
          <w:szCs w:val="18"/>
          <w:color w:val="auto"/>
        </w:rPr>
      </w:pPr>
    </w:p>
    <w:p>
      <w:pPr>
        <w:jc w:val="both"/>
        <w:ind w:left="-460" w:firstLine="644"/>
        <w:spacing w:after="0" w:line="255" w:lineRule="auto"/>
        <w:tabs>
          <w:tab w:leader="none" w:pos="65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Whether or not a sale of the Leased Property, other Collateral and Parcel D Ground Leased Property is completed on the Expiration Date, Lessee shall pay, or cause to be paid, to Lessor on or prior to the Expiration Date (or, if earlier, the date on which a sale of the Leased Property, other Collateral and Parcel D Ground Leased Property is consummated), (or in the case of Supplemental Rent, to the Person entitled thereto) an amount equal to, without duplication, (i) the Sale Option Recourse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accrued and unpaid Rent (including Supplemental Rent, if any) and all other amounts hereunder which have accrued or will accrue prior to or as of the Expiration Date in the type of funds specified in Section 3.4 hereof.</w:t>
      </w:r>
    </w:p>
    <w:p>
      <w:pPr>
        <w:spacing w:after="0" w:line="192" w:lineRule="exact"/>
        <w:rPr>
          <w:rFonts w:ascii="Arial" w:cs="Arial" w:eastAsia="Arial" w:hAnsi="Arial"/>
          <w:sz w:val="18"/>
          <w:szCs w:val="18"/>
          <w:color w:val="auto"/>
        </w:rPr>
      </w:pPr>
    </w:p>
    <w:p>
      <w:pPr>
        <w:ind w:left="-460" w:firstLine="644"/>
        <w:spacing w:after="0" w:line="277" w:lineRule="auto"/>
        <w:tabs>
          <w:tab w:leader="none" w:pos="66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Lessee shall pay to Lessor on or prior to the Expiration Date the amounts, if any, required to be paid pursuant to Article XIII of the Participation Agreement.</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65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If a sale of the Leased Property, other Collateral and Parcel D Ground Leased Property is consummated on or before the Expiration Date, Lessee shall pay, or cause to be paid, directly to Lessor the gross proceeds (the </w:t>
      </w:r>
      <w:r>
        <w:rPr>
          <w:rFonts w:ascii="Arial" w:cs="Arial" w:eastAsia="Arial" w:hAnsi="Arial"/>
          <w:sz w:val="18"/>
          <w:szCs w:val="18"/>
          <w:i w:val="1"/>
          <w:iCs w:val="1"/>
          <w:color w:val="auto"/>
        </w:rPr>
        <w:t>“Gross Proceeds”</w:t>
      </w:r>
      <w:r>
        <w:rPr>
          <w:rFonts w:ascii="Arial" w:cs="Arial" w:eastAsia="Arial" w:hAnsi="Arial"/>
          <w:sz w:val="18"/>
          <w:szCs w:val="18"/>
          <w:color w:val="auto"/>
        </w:rPr>
        <w:t>) of such sale (</w:t>
      </w:r>
      <w:r>
        <w:rPr>
          <w:rFonts w:ascii="Arial" w:cs="Arial" w:eastAsia="Arial" w:hAnsi="Arial"/>
          <w:sz w:val="18"/>
          <w:szCs w:val="18"/>
          <w:i w:val="1"/>
          <w:iCs w:val="1"/>
          <w:color w:val="auto"/>
        </w:rPr>
        <w:t>i.e.</w:t>
      </w:r>
      <w:r>
        <w:rPr>
          <w:rFonts w:ascii="Arial" w:cs="Arial" w:eastAsia="Arial" w:hAnsi="Arial"/>
          <w:sz w:val="18"/>
          <w:szCs w:val="18"/>
          <w:color w:val="auto"/>
        </w:rPr>
        <w:t>, without deduction for any marketing, closing or other costs, prorations or commissions); and such Gross Proceeds shall be applied as set forth in Section 5.3(d) of the Participation Agreement and Section 20.1(i) above.</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1" w:name="page182"/>
    <w:bookmarkEnd w:id="181"/>
    <w:p>
      <w:pPr>
        <w:jc w:val="both"/>
        <w:ind w:left="660" w:firstLine="644"/>
        <w:spacing w:after="0" w:line="259" w:lineRule="auto"/>
        <w:tabs>
          <w:tab w:leader="none" w:pos="181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Lessee shall, to the extent permitted by Applicable Laws, assign, and shall cooperate with all reasonable requests of Lessor or the purchaser for obtaining any and all licenses, permits, approvals and consents of any Governmental Authorities or other Persons that are or will be required to be obtained by Lessor or such purchaser in connection with its use, operation, control or maintenance of the Leased Property and Parcel D Ground Leased Property in compliance with Applicable Laws.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after the exercise by the Lessee of the Sale Option, one or more of the foregoing provisions of this Section 20.1 shall not be fulfilled as of the date set forth therein (and, other than in the case of Section 20.1(c) and any provision required to be fulfilled on the Expiration Date or on the date of a consummation of a sale, Lessor or the Administrative Agent shall have delivered written notice thereof to the Lessee and any such provision is not fulfilled within five (5) Business Days of such notice), then Lessor shall declare by written notice to the Lessee the exercise of the Sale Option to be null and void, in which event all of the Lessee’s rights under this Section 20.1 shall immediately terminate and the Lessee shall be obligated to purchase the Leased Property, other Collateral and Parcel D Ground Leased Property pursuant to Section 19.1(b) on the Expiration Date.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expressly set forth herein, the Lessee shall have no right, power or authority to bind Lessor in connection with any proposed sale of the Leased Property, the other Collateral or Parcel D Ground Leased Property.</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anything contained herein to the contrary, if the Leased Property, other Collateral and Parcel D Ground Leased Property has not been sold to a third party purchaser by the Expiration Date, then the Lessee shall pay to the Administrative Agent on or before the Expiration Date the Sale Option Recourse Amount, the Lessee shall have been deemed to have purchased the Leased Property, other Collateral and Parcel D Ground Leased Property, and Lessor shall transfer title to the Leased Property, other Collateral and Parcel D Ground Leased Property to the Lessee pursuant to Section 21.1(iv) of this Lease and the Lessee shall accept title to the Leased Property, other Collateral and Parcel D Ground Leased Property as a result of such deemed purchase. Lessor agrees that it shall cooperate with the Lessee in effecting any transfer to a designee of the Lessee pursuant to this paragraph.</w:t>
      </w:r>
    </w:p>
    <w:p>
      <w:pPr>
        <w:spacing w:after="0" w:line="1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Section 20.2. Certain Obligations Continue</w:t>
      </w:r>
      <w:r>
        <w:rPr>
          <w:rFonts w:ascii="Arial" w:cs="Arial" w:eastAsia="Arial" w:hAnsi="Arial"/>
          <w:sz w:val="18"/>
          <w:szCs w:val="18"/>
          <w:color w:val="auto"/>
        </w:rPr>
        <w:t>. During the period following Lessee’s exercise of the Sale Option and until and including the Expiration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(or, if earlier, the date on which a sale is consummated), the obligation of the Lessee to pay Rent with respect to the Leased Property (including the installment of Rent due on the Expiration Date (or, if earlier, the date on which a sale is consummated)) shall continue undiminished. Lessor shall have the right, but shall be under no duty, to solicit bids, to inquire into the efforts of the Lessee to obtain bids or otherwise to take action in connection with any such sale, other than as expressly provided in this Article XX.</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ROCEDURES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ELATING 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 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ALE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p>
    <w:p>
      <w:pPr>
        <w:spacing w:after="0" w:line="2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Section 21.1. Provisions Relating to Conveyance of the Leased Property Upon Purchase by the Lessee, Sales or Certain Other Events</w:t>
      </w:r>
      <w:r>
        <w:rPr>
          <w:rFonts w:ascii="Arial" w:cs="Arial" w:eastAsia="Arial" w:hAnsi="Arial"/>
          <w:sz w:val="16"/>
          <w:szCs w:val="16"/>
          <w:color w:val="auto"/>
        </w:rPr>
        <w:t>.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any termination of this Lease pursuant to the terms of Article XV, any purchase of all, but not less than all, of the Leased Property, other Collateral and Parcel D Ground Leased Property in accordance with Article XVIII or in connection with the Lessee’s obligations under Section 16.2(e) or any other conveyance or purchase of the Leased Property made pursuant to the terms of this Lease, then, upon the date on which this Lease is to terminate with respect to the Leased Property and upon tender by the Lessee of the amounts set forth in Article XV, Sections 16.2(e) or Article XVIII as applicable:</w:t>
      </w:r>
    </w:p>
    <w:p>
      <w:pPr>
        <w:spacing w:after="0" w:line="161" w:lineRule="exact"/>
        <w:rPr>
          <w:sz w:val="20"/>
          <w:szCs w:val="20"/>
          <w:color w:val="auto"/>
        </w:rPr>
      </w:pPr>
    </w:p>
    <w:p>
      <w:pPr>
        <w:jc w:val="both"/>
        <w:ind w:left="660" w:firstLine="644"/>
        <w:spacing w:after="0" w:line="259" w:lineRule="auto"/>
        <w:tabs>
          <w:tab w:leader="none" w:pos="177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Except in connection with the Sale Option, Lessor shall, at Lessee’s cost and expense, execute and deliver to the Lessee (or to the Lessee’s designee) a FIRPTA affidavit, a bill of sale and a special warranty deed (in recordable form and otherwise in conformity with local custom) in respect of Lessor’s interest in the Leased Property, the other Collateral and the Parcel D Ground Leased Property without representation and warranty except as to the absence of any Lessor Liens attributable to Lessor;</w:t>
      </w:r>
    </w:p>
    <w:p>
      <w:pPr>
        <w:spacing w:after="0" w:line="186" w:lineRule="exact"/>
        <w:rPr>
          <w:rFonts w:ascii="Arial" w:cs="Arial" w:eastAsia="Arial" w:hAnsi="Arial"/>
          <w:sz w:val="18"/>
          <w:szCs w:val="18"/>
          <w:color w:val="auto"/>
        </w:rPr>
      </w:pPr>
    </w:p>
    <w:p>
      <w:pPr>
        <w:ind w:left="660" w:right="20" w:firstLine="644"/>
        <w:spacing w:after="0" w:line="277" w:lineRule="auto"/>
        <w:tabs>
          <w:tab w:leader="none" w:pos="179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Except in connection with the Sale Option, the Leased Property, the other Collateral and the Parcel D Ground Leased Property shall be conveyed to the Lessee (or to the Lessee’s designee) “A</w:t>
      </w:r>
      <w:r>
        <w:rPr>
          <w:rFonts w:ascii="Arial" w:cs="Arial" w:eastAsia="Arial" w:hAnsi="Arial"/>
          <w:sz w:val="12"/>
          <w:szCs w:val="12"/>
          <w:color w:val="auto"/>
        </w:rPr>
        <w:t>S</w:t>
      </w:r>
      <w:r>
        <w:rPr>
          <w:rFonts w:ascii="Arial" w:cs="Arial" w:eastAsia="Arial" w:hAnsi="Arial"/>
          <w:sz w:val="18"/>
          <w:szCs w:val="18"/>
          <w:color w:val="auto"/>
        </w:rPr>
        <w:t xml:space="preserve"> I</w:t>
      </w:r>
      <w:r>
        <w:rPr>
          <w:rFonts w:ascii="Arial" w:cs="Arial" w:eastAsia="Arial" w:hAnsi="Arial"/>
          <w:sz w:val="12"/>
          <w:szCs w:val="12"/>
          <w:color w:val="auto"/>
        </w:rPr>
        <w:t>S</w:t>
      </w:r>
      <w:r>
        <w:rPr>
          <w:rFonts w:ascii="Arial" w:cs="Arial" w:eastAsia="Arial" w:hAnsi="Arial"/>
          <w:sz w:val="18"/>
          <w:szCs w:val="18"/>
          <w:color w:val="auto"/>
        </w:rPr>
        <w:t>, W</w:t>
      </w:r>
      <w:r>
        <w:rPr>
          <w:rFonts w:ascii="Arial" w:cs="Arial" w:eastAsia="Arial" w:hAnsi="Arial"/>
          <w:sz w:val="12"/>
          <w:szCs w:val="12"/>
          <w:color w:val="auto"/>
        </w:rPr>
        <w:t>HERE</w:t>
      </w:r>
      <w:r>
        <w:rPr>
          <w:rFonts w:ascii="Arial" w:cs="Arial" w:eastAsia="Arial" w:hAnsi="Arial"/>
          <w:sz w:val="18"/>
          <w:szCs w:val="18"/>
          <w:color w:val="auto"/>
        </w:rPr>
        <w:t xml:space="preserve"> I</w:t>
      </w:r>
      <w:r>
        <w:rPr>
          <w:rFonts w:ascii="Arial" w:cs="Arial" w:eastAsia="Arial" w:hAnsi="Arial"/>
          <w:sz w:val="12"/>
          <w:szCs w:val="12"/>
          <w:color w:val="auto"/>
        </w:rPr>
        <w:t>S</w:t>
      </w:r>
      <w:r>
        <w:rPr>
          <w:rFonts w:ascii="Arial" w:cs="Arial" w:eastAsia="Arial" w:hAnsi="Arial"/>
          <w:sz w:val="18"/>
          <w:szCs w:val="18"/>
          <w:color w:val="auto"/>
        </w:rPr>
        <w:t>” and in its then present physical condition;</w:t>
      </w:r>
    </w:p>
    <w:p>
      <w:pPr>
        <w:spacing w:after="0" w:line="170" w:lineRule="exact"/>
        <w:rPr>
          <w:rFonts w:ascii="Arial" w:cs="Arial" w:eastAsia="Arial" w:hAnsi="Arial"/>
          <w:sz w:val="18"/>
          <w:szCs w:val="18"/>
          <w:color w:val="auto"/>
        </w:rPr>
      </w:pPr>
    </w:p>
    <w:p>
      <w:pPr>
        <w:jc w:val="both"/>
        <w:ind w:left="660" w:firstLine="644"/>
        <w:spacing w:after="0" w:line="301" w:lineRule="auto"/>
        <w:tabs>
          <w:tab w:leader="none" w:pos="182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Lessor shall cause all Lessor Liens to be released and execute and deliver to Lessee (or to the Lessee’s designee) a statement of termination of this Lease and shall use its best efforts to cause the Administrative Agent to execute and deliver releases of any Liens created by or pursuant to the Operative Documents attributable to the Administrative Agent, and termination statements for any financing statements which are then of record naming the Administrative Agent or Lessor as the secured party, all at Lessee’s sole cost and expense;</w:t>
      </w:r>
    </w:p>
    <w:p>
      <w:pPr>
        <w:spacing w:after="0" w:line="157" w:lineRule="exact"/>
        <w:rPr>
          <w:rFonts w:ascii="Arial" w:cs="Arial" w:eastAsia="Arial" w:hAnsi="Arial"/>
          <w:sz w:val="16"/>
          <w:szCs w:val="16"/>
          <w:color w:val="auto"/>
        </w:rPr>
      </w:pPr>
    </w:p>
    <w:p>
      <w:pPr>
        <w:jc w:val="both"/>
        <w:ind w:left="660" w:firstLine="644"/>
        <w:spacing w:after="0" w:line="284" w:lineRule="auto"/>
        <w:tabs>
          <w:tab w:leader="none" w:pos="181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If the Lessee properly exercises the Sale Option, then the Lessee shall, upon a sale thereunder, transfer or cause to be transferred possession of the Leased Property, other Collateral and Parcel D Ground Leased Property to the purchaser(s) thereof, in each case by surrendering the same into the possession of Lessor or such purchaser, as the case may be, free and clear of all Liens (except (x) in the case of the Leased Property and other Collateral, Lessor Liens and Permitted Liens of the type described in clauses (a) (excluding Liens relating to the interest or rights of Lessee), (b), (c), (f), (g), (h), (i), (j), (k) or (m) of the definition of “Permitted Liens” and (y) in the case of the Parcel D Ground Leased Property, Liens permitted by the Parcel D Ground Lease), in good condition (as modified by Modifications permitted by this Lease), ordinary wear and tear excepted, and in compliance in all material respects with Applicable Laws and the provisions of this Lease, and the Lessee shall execute and deliver to the purchaser a bill of sale and deed with respect to its interest in the Leased Property, other Collateral and Parcel D Ground Leased Property, in each case in recordable form and otherwise in conformity with local custom and Section 20.1(h); the Lessee shall execute and deliver to the purchaser and the purchaser’s title insurance company an affidavit as to the absence of any Liens (other than (x) in the case of the Leased Property and other Collateral, Permitted Liens and (y) in the case of the Parcel D Ground Leased Property, Liens permitted by the Parcel D Ground Lease), and such other affidavits and certificates reasonably requested by any title insurance company insuring title to the Leased Property or Parcel D Ground Leased Property, as well as a FIRPTA affidavit, and an instrument in recordable form declaring this Lease to be terminated on the date of closing of the sale of the Leased Property and Lessor shall execute and deliver to purchaser a FIRPTA affidavit and a special warranty deed in recordable form, without recourse, representation or warranty, except as to the absence of Lessor Liens. The Lessee shall cooperate reasonably with Lessor and the purchaser of the Leased Property in order to facilitate the purchase and use by such purchaser of the Leased Property, which cooperation shall include the following, all of which the Lessee shall do on or before the Expiration Date: providing all Leased Property Records and all know-how, data and technical information relating thereto, providing a copy of any current plans and specifications with respect to the Leased Property in Lessee’s possession, granting or assigning (to the extent assignable) all licenses necessary for the operation and maintenance of the Leased Property, and cooperating reasonably in seeking and obtaining all necessary Governmental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otherwise agreed in the purchase agreement governing the sale of the Leased Property, such cooperation shall be at the expense of the purchaser. The obligations of the Lessee under this paragraph shall survive the expiration or termination of this Lease.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left="660" w:firstLine="644"/>
        <w:spacing w:after="0" w:line="263" w:lineRule="auto"/>
        <w:tabs>
          <w:tab w:leader="none" w:pos="178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reasonable costs, expenses and related taxes related to the sale of the Leased Property, other Collateral and Parcel D Ground Leased Property shall be payable through the proceeds of the sale thereof. Any such amounts incurred by Lessee in excess of what Lessor, acting in good faith, deems reasonable shall be paid by Lessee.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CCEPTANCE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URRENDER</w:t>
      </w:r>
    </w:p>
    <w:p>
      <w:pPr>
        <w:spacing w:after="0" w:line="211"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i w:val="1"/>
          <w:iCs w:val="1"/>
          <w:color w:val="auto"/>
        </w:rPr>
        <w:t>Section 22.1. Acceptance of Surrender</w:t>
      </w:r>
      <w:r>
        <w:rPr>
          <w:rFonts w:ascii="Arial" w:cs="Arial" w:eastAsia="Arial" w:hAnsi="Arial"/>
          <w:sz w:val="16"/>
          <w:szCs w:val="16"/>
          <w:color w:val="auto"/>
        </w:rPr>
        <w:t>. No surrender to Lessor of this Lease or of the Leased Property or of any part of any thereof or of any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therein shall be valid or effective unless agreed to and accepted in writing by Lessor and, prior to the payment or performance of all obligations under the Rent Assignment Agreement and termination of the Commitments, the Rent Assignees, and no act by Lessor or the Rent Assignees, or any representative or agent of Lessor or the Rent Assignees, other than a written acceptance, shall constitute an acceptance of any such surrender.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ITLE</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Section 23.1. No Merger of Title</w:t>
      </w:r>
      <w:r>
        <w:rPr>
          <w:rFonts w:ascii="Arial" w:cs="Arial" w:eastAsia="Arial" w:hAnsi="Arial"/>
          <w:sz w:val="18"/>
          <w:szCs w:val="18"/>
          <w:color w:val="auto"/>
        </w:rPr>
        <w:t>. There shall be no merger of this Lease or of the leasehold estate created hereby or thereby by reason of the fact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Person may acquire, own or hold, directly or indirectly, in whole or in part, (a) this Lease or the leasehold estates created hereby or any interest in this Lease or such leasehold estate, (b) title to the Leased Property or (c) a beneficial interest in Lessor.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jc w:val="center"/>
        <w:ind w:right="3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XXIV</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NTENT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ARTIES</w:t>
      </w:r>
    </w:p>
    <w:p>
      <w:pPr>
        <w:spacing w:after="0" w:line="21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i w:val="1"/>
          <w:iCs w:val="1"/>
          <w:color w:val="auto"/>
        </w:rPr>
        <w:t>Section 24.1.</w:t>
      </w:r>
      <w:r>
        <w:rPr>
          <w:sz w:val="20"/>
          <w:szCs w:val="20"/>
          <w:color w:val="auto"/>
        </w:rPr>
        <w:tab/>
      </w:r>
      <w:r>
        <w:rPr>
          <w:rFonts w:ascii="Arial" w:cs="Arial" w:eastAsia="Arial" w:hAnsi="Arial"/>
          <w:sz w:val="16"/>
          <w:szCs w:val="16"/>
          <w:i w:val="1"/>
          <w:iCs w:val="1"/>
          <w:color w:val="auto"/>
        </w:rPr>
        <w:t>Nature of Transaction</w:t>
      </w:r>
      <w:r>
        <w:rPr>
          <w:rFonts w:ascii="Arial" w:cs="Arial" w:eastAsia="Arial" w:hAnsi="Arial"/>
          <w:sz w:val="16"/>
          <w:szCs w:val="16"/>
          <w:color w:val="auto"/>
        </w:rPr>
        <w:t>. It is the intention of the parties that:</w:t>
      </w:r>
    </w:p>
    <w:p>
      <w:pPr>
        <w:spacing w:after="0" w:line="225" w:lineRule="exact"/>
        <w:rPr>
          <w:sz w:val="20"/>
          <w:szCs w:val="20"/>
          <w:color w:val="auto"/>
        </w:rPr>
      </w:pPr>
    </w:p>
    <w:p>
      <w:pPr>
        <w:jc w:val="both"/>
        <w:ind w:left="320" w:firstLine="644"/>
        <w:spacing w:after="0" w:line="263" w:lineRule="auto"/>
        <w:tabs>
          <w:tab w:leader="none" w:pos="143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 all purposes, including GAAP, federal and all state and local income and transfer taxes, bankruptcy, insolvency, conservatorships and receiverships (including the substantive law upon which bankruptcy, conservatorship and insolvency and receivership proceedings are based), real estate and commercial law and UCC purposes:</w:t>
      </w:r>
    </w:p>
    <w:p>
      <w:pPr>
        <w:spacing w:after="0" w:line="183" w:lineRule="exact"/>
        <w:rPr>
          <w:rFonts w:ascii="Arial" w:cs="Arial" w:eastAsia="Arial" w:hAnsi="Arial"/>
          <w:sz w:val="18"/>
          <w:szCs w:val="18"/>
          <w:color w:val="auto"/>
        </w:rPr>
      </w:pPr>
    </w:p>
    <w:p>
      <w:pPr>
        <w:jc w:val="both"/>
        <w:ind w:left="960" w:firstLine="652"/>
        <w:spacing w:after="0" w:line="271" w:lineRule="auto"/>
        <w:tabs>
          <w:tab w:leader="none" w:pos="207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Overall Transaction constitutes a secured lending transaction by the Participants to Lessee and preserves beneficial ownership in the Leased Property in Lessee, Lessor holds only legal title to the Leased Property within the meaning of 11 U.S.C. Section 541(d), Lessee (and not the Lessor, the Administrative Agent or the other Participants) will be entitled to all tax benefits with respect to the Leased Property and other Collateral available to the owner of the Leased Property for tax purposes, the obligations of Lessee to pay Basic Rent shall be treated as payments of interest to the Participants, the payment by Lessee of any amounts in respect of the Lease Balance (other than Basic Rent) shall be treated as payments of principal to the Participants and, in the event Lessee purchases the Leased Property pursuant to the terms hereof and pays in full the Lease Balance and all other amounts outstanding under the Operative Documents, legal title to the Leased Property shall automatically vest in the Lessee; and</w:t>
      </w:r>
    </w:p>
    <w:p>
      <w:pPr>
        <w:spacing w:after="0" w:line="178" w:lineRule="exact"/>
        <w:rPr>
          <w:rFonts w:ascii="Arial" w:cs="Arial" w:eastAsia="Arial" w:hAnsi="Arial"/>
          <w:sz w:val="17"/>
          <w:szCs w:val="17"/>
          <w:color w:val="auto"/>
        </w:rPr>
      </w:pPr>
    </w:p>
    <w:p>
      <w:pPr>
        <w:jc w:val="both"/>
        <w:ind w:left="960" w:firstLine="652"/>
        <w:spacing w:after="0" w:line="301" w:lineRule="auto"/>
        <w:tabs>
          <w:tab w:leader="none" w:pos="2098"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in order to secure the secured lending obligations of Lessee now existing or hereafter arising under this Lease or any of the other Operative Documents, this Lease, together with the other Security Instruments, creates a first priority (subject to Permitted Liens) security interest in or a lien on the Site, the Leased Property and the other Collateral in favor of the Lessor or Administrative Agent, as applicable, and for the benefit of the Participants to secure Lessee’s payment and performance of the Obligations.</w:t>
      </w:r>
    </w:p>
    <w:p>
      <w:pPr>
        <w:spacing w:after="0" w:line="157" w:lineRule="exact"/>
        <w:rPr>
          <w:sz w:val="20"/>
          <w:szCs w:val="20"/>
          <w:color w:val="auto"/>
        </w:rPr>
      </w:pPr>
    </w:p>
    <w:p>
      <w:pPr>
        <w:jc w:val="both"/>
        <w:ind w:left="320" w:firstLine="648"/>
        <w:spacing w:after="0" w:line="259" w:lineRule="auto"/>
        <w:rPr>
          <w:sz w:val="20"/>
          <w:szCs w:val="20"/>
          <w:color w:val="auto"/>
        </w:rPr>
      </w:pPr>
      <w:r>
        <w:rPr>
          <w:rFonts w:ascii="Arial" w:cs="Arial" w:eastAsia="Arial" w:hAnsi="Arial"/>
          <w:sz w:val="18"/>
          <w:szCs w:val="18"/>
          <w:color w:val="auto"/>
        </w:rPr>
        <w:t>Nevertheless, each of the parties hereto acknowledges and agrees that none of Lessee, Lessor, the Administrative Agent, any Participant or the Arranger have made any representations or warranties concerning the tax, accounting or legal characteristics of the Operative Documents or any aspect of the Overall Transaction and that such party has obtained and relied upon such tax, accounting and legal advice concerning the Operative Documents and the Overall Transaction as such party deems appropriate.</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85" w:name="page186"/>
    <w:bookmarkEnd w:id="185"/>
    <w:p>
      <w:pPr>
        <w:jc w:val="both"/>
        <w:ind w:firstLine="656"/>
        <w:spacing w:after="0" w:line="284" w:lineRule="auto"/>
        <w:tabs>
          <w:tab w:leader="none" w:pos="1127" w:val="left"/>
        </w:tabs>
        <w:numPr>
          <w:ilvl w:val="1"/>
          <w:numId w:val="169"/>
        </w:numPr>
        <w:rPr>
          <w:rFonts w:ascii="Arial" w:cs="Arial" w:eastAsia="Arial" w:hAnsi="Arial"/>
          <w:sz w:val="16"/>
          <w:szCs w:val="16"/>
          <w:color w:val="auto"/>
        </w:rPr>
      </w:pPr>
      <w:r>
        <w:rPr>
          <w:rFonts w:ascii="Arial" w:cs="Arial" w:eastAsia="Arial" w:hAnsi="Arial"/>
          <w:sz w:val="16"/>
          <w:szCs w:val="16"/>
          <w:color w:val="auto"/>
        </w:rPr>
        <w:t>Specifically, but without limiting the generality of subsection (b) of this Section 24.1, Lessor and the Lessee further intend and agree that for the purpose of securing the Lessee’s obligations for the repayment or performance of the Obligations, (i) this Lease shall also be deemed to be a security agreement and financing statement within the meaning of Article 9 of the UCC; (ii) the conveyance provided for hereby shall be deemed to be a grant by the Lessee to Lessor, for the benefit of the Participants, of a Lien on and security interest in all of the Lessee’s present and future right, title and interest in and to the Site, the Leased Property and the other Collateral, including but not limited to the Lessee’s leasehold estate therein and all proceeds of the conversion, voluntary or involuntary, of the foregoing into cash, investments, securities or other property, whether in the form of cash, investments, securities or other property to secure all advances made by the Participants pursuant to the Operative Documents and the other Obligations, effective on the Restatement Date, to have and to hold such interests in the Site, the Leased Property and the other Collateral unto Lessor, for the benefit of the Participants;</w:t>
      </w:r>
    </w:p>
    <w:p>
      <w:pPr>
        <w:jc w:val="both"/>
        <w:ind w:firstLine="8"/>
        <w:spacing w:after="0" w:line="287" w:lineRule="auto"/>
        <w:tabs>
          <w:tab w:leader="none" w:pos="32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possession by Lessor of notes and such other items of property as constitute instruments, money, negotiable documents or chattel paper shall be deemed to be “possession by the secured party” for purposes of perfecting the security interest pursuant to Section 9-313 of the UCC; and (iv) notifications to Persons holding such property, and acknowledgments, receipts or confirmations from financial intermediaries, bankers or agents (as applicable) of the Lessee shall be deemed to have been given for the purpose of perfecting such security interest under Applicable Laws. Lessor and the Lessee shall, to the extent consistent with this Lease, take such actions and execute, deliver, file and record such other documents, financing statements, mortgages and deeds of trust as may be necessary to ensure that, if this Lease were deemed to create a security interest in the Site, the Leased Property and the other Collateral in accordance with this Section, such security interest would be deemed to be a perfected security interest in the Site, the Leased Property and the other Collateral with priority over all Liens, other than Permitted Liens, under Applicable Laws and will be maintained as such throughout the Term.</w:t>
      </w:r>
    </w:p>
    <w:p>
      <w:pPr>
        <w:spacing w:after="0" w:line="170" w:lineRule="exact"/>
        <w:rPr>
          <w:sz w:val="20"/>
          <w:szCs w:val="20"/>
          <w:color w:val="auto"/>
        </w:rPr>
      </w:pPr>
    </w:p>
    <w:p>
      <w:pPr>
        <w:ind w:left="340"/>
        <w:spacing w:after="0"/>
        <w:tabs>
          <w:tab w:leader="none" w:pos="1460" w:val="left"/>
        </w:tabs>
        <w:rPr>
          <w:sz w:val="20"/>
          <w:szCs w:val="20"/>
          <w:color w:val="auto"/>
        </w:rPr>
      </w:pPr>
      <w:r>
        <w:rPr>
          <w:rFonts w:ascii="Arial" w:cs="Arial" w:eastAsia="Arial" w:hAnsi="Arial"/>
          <w:sz w:val="18"/>
          <w:szCs w:val="18"/>
          <w:i w:val="1"/>
          <w:iCs w:val="1"/>
          <w:color w:val="auto"/>
        </w:rPr>
        <w:t>Section 24.2.</w:t>
      </w:r>
      <w:r>
        <w:rPr>
          <w:sz w:val="20"/>
          <w:szCs w:val="20"/>
          <w:color w:val="auto"/>
        </w:rPr>
        <w:tab/>
      </w:r>
      <w:r>
        <w:rPr>
          <w:rFonts w:ascii="Arial" w:cs="Arial" w:eastAsia="Arial" w:hAnsi="Arial"/>
          <w:sz w:val="16"/>
          <w:szCs w:val="16"/>
          <w:i w:val="1"/>
          <w:iCs w:val="1"/>
          <w:color w:val="auto"/>
        </w:rPr>
        <w:t xml:space="preserve">Lessee Grant of Liens and Security Interests. </w:t>
      </w:r>
      <w:r>
        <w:rPr>
          <w:rFonts w:ascii="Arial" w:cs="Arial" w:eastAsia="Arial" w:hAnsi="Arial"/>
          <w:sz w:val="16"/>
          <w:szCs w:val="16"/>
          <w:color w:val="auto"/>
        </w:rPr>
        <w:t>(a) For the purposes of the creation and enforcement of this Lease as a mortgage and</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security agreement, the Lessee hereby </w:t>
      </w:r>
      <w:r>
        <w:rPr>
          <w:rFonts w:ascii="Arial" w:cs="Arial" w:eastAsia="Arial" w:hAnsi="Arial"/>
          <w:sz w:val="12"/>
          <w:szCs w:val="12"/>
          <w:color w:val="auto"/>
        </w:rPr>
        <w:t>GRANTS</w:t>
      </w:r>
      <w:r>
        <w:rPr>
          <w:rFonts w:ascii="Arial" w:cs="Arial" w:eastAsia="Arial" w:hAnsi="Arial"/>
          <w:sz w:val="18"/>
          <w:szCs w:val="18"/>
          <w:color w:val="auto"/>
        </w:rPr>
        <w:t xml:space="preserve">, </w:t>
      </w:r>
      <w:r>
        <w:rPr>
          <w:rFonts w:ascii="Arial" w:cs="Arial" w:eastAsia="Arial" w:hAnsi="Arial"/>
          <w:sz w:val="12"/>
          <w:szCs w:val="12"/>
          <w:color w:val="auto"/>
        </w:rPr>
        <w:t>BARGAINS</w:t>
      </w:r>
      <w:r>
        <w:rPr>
          <w:rFonts w:ascii="Arial" w:cs="Arial" w:eastAsia="Arial" w:hAnsi="Arial"/>
          <w:sz w:val="18"/>
          <w:szCs w:val="18"/>
          <w:color w:val="auto"/>
        </w:rPr>
        <w:t xml:space="preserve">, </w:t>
      </w:r>
      <w:r>
        <w:rPr>
          <w:rFonts w:ascii="Arial" w:cs="Arial" w:eastAsia="Arial" w:hAnsi="Arial"/>
          <w:sz w:val="12"/>
          <w:szCs w:val="12"/>
          <w:color w:val="auto"/>
        </w:rPr>
        <w:t>SELLS</w:t>
      </w:r>
      <w:r>
        <w:rPr>
          <w:rFonts w:ascii="Arial" w:cs="Arial" w:eastAsia="Arial" w:hAnsi="Arial"/>
          <w:sz w:val="18"/>
          <w:szCs w:val="18"/>
          <w:color w:val="auto"/>
        </w:rPr>
        <w:t xml:space="preserve">, </w:t>
      </w:r>
      <w:r>
        <w:rPr>
          <w:rFonts w:ascii="Arial" w:cs="Arial" w:eastAsia="Arial" w:hAnsi="Arial"/>
          <w:sz w:val="12"/>
          <w:szCs w:val="12"/>
          <w:color w:val="auto"/>
        </w:rPr>
        <w:t>WARRANTS</w:t>
      </w:r>
      <w:r>
        <w:rPr>
          <w:rFonts w:ascii="Arial" w:cs="Arial" w:eastAsia="Arial" w:hAnsi="Arial"/>
          <w:sz w:val="18"/>
          <w:szCs w:val="18"/>
          <w:color w:val="auto"/>
        </w:rPr>
        <w:t xml:space="preserve">, </w:t>
      </w:r>
      <w:r>
        <w:rPr>
          <w:rFonts w:ascii="Arial" w:cs="Arial" w:eastAsia="Arial" w:hAnsi="Arial"/>
          <w:sz w:val="12"/>
          <w:szCs w:val="12"/>
          <w:color w:val="auto"/>
        </w:rPr>
        <w:t>CONVEYS</w:t>
      </w:r>
      <w:r>
        <w:rPr>
          <w:rFonts w:ascii="Arial" w:cs="Arial" w:eastAsia="Arial" w:hAnsi="Arial"/>
          <w:sz w:val="18"/>
          <w:szCs w:val="18"/>
          <w:color w:val="auto"/>
        </w:rPr>
        <w:t xml:space="preserve">, </w:t>
      </w:r>
      <w:r>
        <w:rPr>
          <w:rFonts w:ascii="Arial" w:cs="Arial" w:eastAsia="Arial" w:hAnsi="Arial"/>
          <w:sz w:val="12"/>
          <w:szCs w:val="12"/>
          <w:color w:val="auto"/>
        </w:rPr>
        <w:t>ALIENS</w:t>
      </w:r>
      <w:r>
        <w:rPr>
          <w:rFonts w:ascii="Arial" w:cs="Arial" w:eastAsia="Arial" w:hAnsi="Arial"/>
          <w:sz w:val="18"/>
          <w:szCs w:val="18"/>
          <w:color w:val="auto"/>
        </w:rPr>
        <w:t xml:space="preserve">, </w:t>
      </w:r>
      <w:r>
        <w:rPr>
          <w:rFonts w:ascii="Arial" w:cs="Arial" w:eastAsia="Arial" w:hAnsi="Arial"/>
          <w:sz w:val="12"/>
          <w:szCs w:val="12"/>
          <w:color w:val="auto"/>
        </w:rPr>
        <w:t>REMISES</w:t>
      </w:r>
      <w:r>
        <w:rPr>
          <w:rFonts w:ascii="Arial" w:cs="Arial" w:eastAsia="Arial" w:hAnsi="Arial"/>
          <w:sz w:val="18"/>
          <w:szCs w:val="18"/>
          <w:color w:val="auto"/>
        </w:rPr>
        <w:t xml:space="preserve">, </w:t>
      </w:r>
      <w:r>
        <w:rPr>
          <w:rFonts w:ascii="Arial" w:cs="Arial" w:eastAsia="Arial" w:hAnsi="Arial"/>
          <w:sz w:val="12"/>
          <w:szCs w:val="12"/>
          <w:color w:val="auto"/>
        </w:rPr>
        <w:t>RELEASES</w:t>
      </w:r>
      <w:r>
        <w:rPr>
          <w:rFonts w:ascii="Arial" w:cs="Arial" w:eastAsia="Arial" w:hAnsi="Arial"/>
          <w:sz w:val="18"/>
          <w:szCs w:val="18"/>
          <w:color w:val="auto"/>
        </w:rPr>
        <w:t xml:space="preserve">, </w:t>
      </w:r>
      <w:r>
        <w:rPr>
          <w:rFonts w:ascii="Arial" w:cs="Arial" w:eastAsia="Arial" w:hAnsi="Arial"/>
          <w:sz w:val="12"/>
          <w:szCs w:val="12"/>
          <w:color w:val="auto"/>
        </w:rPr>
        <w:t>ASSIGNS</w:t>
      </w:r>
      <w:r>
        <w:rPr>
          <w:rFonts w:ascii="Arial" w:cs="Arial" w:eastAsia="Arial" w:hAnsi="Arial"/>
          <w:sz w:val="18"/>
          <w:szCs w:val="18"/>
          <w:color w:val="auto"/>
        </w:rPr>
        <w:t xml:space="preserve">, </w:t>
      </w:r>
      <w:r>
        <w:rPr>
          <w:rFonts w:ascii="Arial" w:cs="Arial" w:eastAsia="Arial" w:hAnsi="Arial"/>
          <w:sz w:val="12"/>
          <w:szCs w:val="12"/>
          <w:color w:val="auto"/>
        </w:rPr>
        <w:t>SETS OVER AND CONFIRMS</w:t>
      </w:r>
      <w:r>
        <w:rPr>
          <w:rFonts w:ascii="Arial" w:cs="Arial" w:eastAsia="Arial" w:hAnsi="Arial"/>
          <w:sz w:val="18"/>
          <w:szCs w:val="18"/>
          <w:color w:val="auto"/>
        </w:rPr>
        <w:t xml:space="preserve"> a security interest in the Site, the Leased Property and the other Collateral (consisting of a mortgage with respect to the Site and the Leased Property) all </w:t>
      </w:r>
      <w:r>
        <w:rPr>
          <w:rFonts w:ascii="Arial" w:cs="Arial" w:eastAsia="Arial" w:hAnsi="Arial"/>
          <w:sz w:val="12"/>
          <w:szCs w:val="12"/>
          <w:color w:val="auto"/>
        </w:rPr>
        <w:t>WITH POWER</w:t>
      </w:r>
      <w:r>
        <w:rPr>
          <w:rFonts w:ascii="Arial" w:cs="Arial" w:eastAsia="Arial" w:hAnsi="Arial"/>
          <w:sz w:val="18"/>
          <w:szCs w:val="18"/>
          <w:color w:val="auto"/>
        </w:rPr>
        <w:t xml:space="preserve"> </w:t>
      </w:r>
      <w:r>
        <w:rPr>
          <w:rFonts w:ascii="Arial" w:cs="Arial" w:eastAsia="Arial" w:hAnsi="Arial"/>
          <w:sz w:val="12"/>
          <w:szCs w:val="12"/>
          <w:color w:val="auto"/>
        </w:rPr>
        <w:t xml:space="preserve">OF SALE </w:t>
      </w:r>
      <w:r>
        <w:rPr>
          <w:rFonts w:ascii="Arial" w:cs="Arial" w:eastAsia="Arial" w:hAnsi="Arial"/>
          <w:sz w:val="17"/>
          <w:szCs w:val="17"/>
          <w:color w:val="auto"/>
        </w:rPr>
        <w:t>to the Lessor and its successors and permitted assigns to secure all advances made by the Participants pursuant to the Operative Documents and the</w:t>
      </w:r>
      <w:r>
        <w:rPr>
          <w:rFonts w:ascii="Arial" w:cs="Arial" w:eastAsia="Arial" w:hAnsi="Arial"/>
          <w:sz w:val="12"/>
          <w:szCs w:val="12"/>
          <w:color w:val="auto"/>
        </w:rPr>
        <w:t xml:space="preserve"> </w:t>
      </w:r>
      <w:r>
        <w:rPr>
          <w:rFonts w:ascii="Arial" w:cs="Arial" w:eastAsia="Arial" w:hAnsi="Arial"/>
          <w:sz w:val="17"/>
          <w:szCs w:val="17"/>
          <w:color w:val="auto"/>
        </w:rPr>
        <w:t>other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both"/>
        <w:ind w:firstLine="656"/>
        <w:spacing w:after="0" w:line="282" w:lineRule="auto"/>
        <w:tabs>
          <w:tab w:leader="none" w:pos="1127"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Specifically, but without limiting the foregoing or the generality of Section 24.1, Lessee hereby grants, bargains, sells, warrants, conveys, aliens, remises, releases, assigns, sets over and confirms to the Lessor and its successors and permitted assigns, all of Lessee’s right, title, and interest in and to the following (collectively, the </w:t>
      </w:r>
      <w:r>
        <w:rPr>
          <w:rFonts w:ascii="Arial" w:cs="Arial" w:eastAsia="Arial" w:hAnsi="Arial"/>
          <w:sz w:val="16"/>
          <w:szCs w:val="16"/>
          <w:i w:val="1"/>
          <w:iCs w:val="1"/>
          <w:color w:val="auto"/>
        </w:rPr>
        <w:t>“Security Property”</w:t>
      </w:r>
      <w:r>
        <w:rPr>
          <w:rFonts w:ascii="Arial" w:cs="Arial" w:eastAsia="Arial" w:hAnsi="Arial"/>
          <w:sz w:val="16"/>
          <w:szCs w:val="16"/>
          <w:color w:val="auto"/>
        </w:rPr>
        <w:t xml:space="preserve">): (i) the Site, the Leased Property and Appurtenant Rights relating thereto and all proceeds, both cash and noncash thereof; (ii) all easements, rights-of-way, strips and gores of Site, vaults, streets, ways, alleys, passages, sewer rights, waters, water courses, water rights, minerals, flowers, shrubs, crops, trees, timber and other emblements now or hereafter located on the Site or under or above the same or any part or parcel thereof, and all estates, rights, titles, interests, tenements, hereditaments and appurtenances, reversions and remainders whatsoever, in any way belonging, relating or appertaining to the Leased Property or any part thereof, or which hereafter shall in any way belong, relate or be appurtenant thereto, whether now owned or hereafter acquired by Lessee; (iii) all right, title and interest of Lessee in all Goods (as such term is defined in the UCC (as defined below)) which are or are to become fixtures (as such term is defined in the UCC (as defined below)) located on the real property described in Exhibit A hereto or now, heretofore or hereafter acquired with any proceeds of the Obligations and now, heretofore or hereafter (A) arising out of or related to the ownership of the Leased Property, (B) located in, on or about the Leased Property, or (C) used or intended to be used with or in connection with the use, operation or enjoyment of the Leased Property; (iv) all right, title and interest of Lessee in any and all leases, rental agreements and arrangements of any sort now or hereafter affecting the Leased Property or any portion thereof and providing for or resulting in the payment of money to Lessee for the use of the Leased Property or any portion thereof, whether the user enjoys the Leased Property or any portion thereof as tenant for years, licensee, tenant at sufferance or otherwise, and irrespective of whether such leases, rental agreements and arrangements be oral or written, and including any and all extensions, renewals and modifications thereof (the </w:t>
      </w:r>
      <w:r>
        <w:rPr>
          <w:rFonts w:ascii="Arial" w:cs="Arial" w:eastAsia="Arial" w:hAnsi="Arial"/>
          <w:sz w:val="16"/>
          <w:szCs w:val="16"/>
          <w:i w:val="1"/>
          <w:iCs w:val="1"/>
          <w:color w:val="auto"/>
        </w:rPr>
        <w:t>“Subject Leases”</w:t>
      </w:r>
      <w:r>
        <w:rPr>
          <w:rFonts w:ascii="Arial" w:cs="Arial" w:eastAsia="Arial" w:hAnsi="Arial"/>
          <w:sz w:val="16"/>
          <w:szCs w:val="16"/>
          <w:color w:val="auto"/>
        </w:rPr>
        <w:t xml:space="preserve">) and guaranties of the performance or obligations of any tenants or lessees thereunder, together with all income, rents, issues, profits and revenues from the Subject Leases (including all tenant security deposits and all other tenant deposits, whether held by Lessee or in a trust account, and all other deposits and escrow funds relating to any Subject Leases), and all the estate, right, title, interest, property, possession, claim and demand whatsoever at law, as well as in equity, of Lessee of, in and to the same;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although this Lease contains (and it is hereby agreed that this Lease contains) a present, current, unconditional and absolute assignment of all of said income, rents, issues, profits and revenues, Lessee shall collect and enjoy such rental payments and revenues as except as expressly provided otherwise in this Lease and the other Operative Documents; (v) all right, title and interest of Lessee in, to and under all franchise agreements, management contracts, consents, authorizations, certificates and other rights of every kind and character of any Governmental Authority affecting the Leased Property, to the extent the same are transferable, service contracts, utility contracts, leases of equipment, documents and agreements relating to the construction of any Modifications (including any and all construction contracts, architectural contracts, engineering contracts, designs, plans, specifications, drawings, surveys, tests, reports, bonds and governmental approvals) and all other contracts, licenses and permits now or hereafter affecting the Leased Property or any part thereof and all guaranties and warranties with respect to any of the foregoing (the </w:t>
      </w:r>
      <w:r>
        <w:rPr>
          <w:rFonts w:ascii="Arial" w:cs="Arial" w:eastAsia="Arial" w:hAnsi="Arial"/>
          <w:sz w:val="16"/>
          <w:szCs w:val="16"/>
          <w:i w:val="1"/>
          <w:iCs w:val="1"/>
          <w:color w:val="auto"/>
        </w:rPr>
        <w:t>“Subject Contracts”</w:t>
      </w:r>
      <w:r>
        <w:rPr>
          <w:rFonts w:ascii="Arial" w:cs="Arial" w:eastAsia="Arial" w:hAnsi="Arial"/>
          <w:sz w:val="16"/>
          <w:szCs w:val="16"/>
          <w:color w:val="auto"/>
        </w:rPr>
        <w:t>); (vi) all of the right, power and authority of Lessee to alter, modify or change the terms, conditions and provisions of any Subject Lease or Subject Contract, to consent to any request made by a party pursuant thereto, or to surrender, cancel or terminate the same or to accept any surrender, cancellation or termination of the same, together with all of the options, rights, powers and privileges of Lessee under any Subject Lease or Subject Contract, whether heretofore or hereafter existing; (vii) all present and future right, title and interest of Lessee in and to (1) all refunds, tax abatement agreements, rebates, reserves, deferred payments, deposits, cost savings, awards and payments of any kind due from or payable by (a) any Governmental Authority, or (b) any insurance or utility company, in each case under clause (a) or (b) above in respect of the Site and the other Leased Property and, in the case of any insurance policy of the Lessee, to the extent such insurance policy is required to be maintained under the Operative Documents, and (2) all refunds, rebates and payments of any kind due from or payable by any Governmental Authority for any taxes, assessments, or governmental or quasi-governmental charges or levies imposed upon Lessee in respect of the Site and other Leased Property;</w:t>
      </w:r>
    </w:p>
    <w:p>
      <w:pPr>
        <w:spacing w:after="0" w:line="7" w:lineRule="exact"/>
        <w:rPr>
          <w:rFonts w:ascii="Arial" w:cs="Arial" w:eastAsia="Arial" w:hAnsi="Arial"/>
          <w:sz w:val="16"/>
          <w:szCs w:val="16"/>
          <w:color w:val="auto"/>
        </w:rPr>
      </w:pPr>
    </w:p>
    <w:p>
      <w:pPr>
        <w:jc w:val="both"/>
        <w:ind w:firstLine="8"/>
        <w:spacing w:after="0" w:line="285" w:lineRule="auto"/>
        <w:tabs>
          <w:tab w:leader="none" w:pos="43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all right, title and interest of Lessee in any insurance policies or binders now or hereafter relating to the Leased Property and required to be maintained under the Operative Documents, including any unearned premiums thereon, as further provided in this Lease; (ix) all right, title and interest of Lessee in any and all awards, payments, proceeds and the right to receive the same, either before or after any foreclosure hereunder, as a result of any temporary or permanent injury or damage to, taking of or decrease in the value of the Leased Property by reason of casualty, any exercise of the right of eminent domain or deed in lieu thereof, condemnation or otherwise as further provided in this Lease; (x) all right, title and interest of Lessee in all utility, escrow and all other deposits (and all letters of credit, certificates of deposit, negotiable instruments and other rights and evidence of rights to cash) now or hereafter relating to the Leased Property or the purchase, construction or operation thereof; (xi) all claims and causes of action arising from or otherwise related to any of the foregoing, and all rights and judgments related to any legal actions in connection with such claims or causes of action; (xii) all of right, title and interest of Lessee in and to the other Collateral; and (xiii) all Modifications, extensions, additions, improvements, betterments, renewals and replacements, substitutions, or proceeds of any of the foregoing, all of which foregoing items are hereby declared and shall be deemed to be a portion of the security for the indebtedness and Obligations herein described, a portion of the above described collateral being located upon the Site.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ind w:left="660"/>
        <w:spacing w:after="0"/>
        <w:rPr>
          <w:sz w:val="20"/>
          <w:szCs w:val="20"/>
          <w:color w:val="auto"/>
        </w:rPr>
      </w:pPr>
      <w:r>
        <w:rPr>
          <w:rFonts w:ascii="Arial" w:cs="Arial" w:eastAsia="Arial" w:hAnsi="Arial"/>
          <w:sz w:val="17"/>
          <w:szCs w:val="17"/>
          <w:color w:val="auto"/>
        </w:rPr>
        <w:t>Notwithstanding anything to the contrary in this Article XXIV, (a) unless (i) an Event of Default (other than as set forth in Section 16.1(h) or</w:t>
      </w:r>
    </w:p>
    <w:p>
      <w:pPr>
        <w:spacing w:after="0" w:line="35" w:lineRule="exact"/>
        <w:rPr>
          <w:sz w:val="20"/>
          <w:szCs w:val="20"/>
          <w:color w:val="auto"/>
        </w:rPr>
      </w:pPr>
    </w:p>
    <w:p>
      <w:pPr>
        <w:jc w:val="both"/>
        <w:ind w:firstLine="8"/>
        <w:spacing w:after="0" w:line="281" w:lineRule="auto"/>
        <w:tabs>
          <w:tab w:leader="none" w:pos="21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with respect to the Lessee or the Parent Guarantor) has occurred and is continuing and Lessee receives written notice from Lessor or the Administrative Agent directing Lessee to pay to the Administrative Agent any rents, payments, issues, revenues, profits or other income (including any rents or other amounts payable under any other sublease and all deposits of money as advanced rent or for security) received by Lessee relating to the Leased Property or</w:t>
      </w:r>
    </w:p>
    <w:p>
      <w:pPr>
        <w:spacing w:after="0" w:line="1" w:lineRule="exact"/>
        <w:rPr>
          <w:rFonts w:ascii="Arial" w:cs="Arial" w:eastAsia="Arial" w:hAnsi="Arial"/>
          <w:sz w:val="16"/>
          <w:szCs w:val="16"/>
          <w:color w:val="auto"/>
        </w:rPr>
      </w:pPr>
    </w:p>
    <w:p>
      <w:pPr>
        <w:jc w:val="both"/>
        <w:ind w:firstLine="8"/>
        <w:spacing w:after="0" w:line="277" w:lineRule="auto"/>
        <w:tabs>
          <w:tab w:leader="none" w:pos="27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an Event of Default set forth in Section 16.1(h) or (i) has occurred with respect to the Lessee or the Parent Guarantor, Lessee shall have the right to retain, use and enjoy such rents, payments, issues, revenues, profits and other income and (b) Security Property shall not include any Excluded Property (other than goods owned by the Lessee that are or are to become fixtures located on the real property described in Exhibit A).</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Without limiting the generality of the foregoing, Lessor and the Lessee shall take such actions and execute, deliver, file and record such other documents and financing statements as may be necessary to ensure that, if this Lease was deemed to create a security interest in the Leased Property in accordance with this Section, such security interest would be deemed to be a perfected first priority security interest (subject only to Permitted Liens) and will be maintained as such throughout the Term. Lessee hereby authorizes Lessor and the Administrative Agent to file any and all financing statements covering the Security Property or any part thereof that Lessor or the Required Participants may require. Certain of the personal property covered by this Lease is or will become fixtures on the real property which is a part of the Security Property, and this Lease (or a memorandum thereof) upon being filed for record in the real estate records of the county wherein such fixtures are situated shall operate also as a financing statement filed as a fixture filing in accordance with the applicable provisions of the UCC upon such of the property which are or may become fixtures. The mailing address of Lessee (as debtor) and the address of Lessor (as secured party) from which information may be obtained are set forth in the introductory paragraph of this Lease. The Lessee has an interest of record in such real property.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both"/>
        <w:ind w:firstLine="656"/>
        <w:spacing w:after="0" w:line="285" w:lineRule="auto"/>
        <w:tabs>
          <w:tab w:leader="none" w:pos="1117"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 xml:space="preserve">Power of Sale. </w:t>
      </w:r>
      <w:r>
        <w:rPr>
          <w:rFonts w:ascii="Arial" w:cs="Arial" w:eastAsia="Arial" w:hAnsi="Arial"/>
          <w:sz w:val="16"/>
          <w:szCs w:val="16"/>
          <w:color w:val="auto"/>
        </w:rPr>
        <w:t>Without limiting any other remedies set forth herein, in the event that a court of competent jurisdiction rules that this Lease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constitutes a mortgage, deed of trust or other secured financing with respect to the Leased Property as is the intent of the parties pursuant to Section 24 hereof, then Lessor and the Lessee agree that (i) the Lessee hereby grants to the Lessor and its successor and permitted assigns a Lien against the Leased Property (including the estate therein) </w:t>
      </w:r>
      <w:r>
        <w:rPr>
          <w:rFonts w:ascii="Arial" w:cs="Arial" w:eastAsia="Arial" w:hAnsi="Arial"/>
          <w:sz w:val="11"/>
          <w:szCs w:val="11"/>
          <w:color w:val="auto"/>
        </w:rPr>
        <w:t>WITH</w:t>
      </w:r>
      <w:r>
        <w:rPr>
          <w:rFonts w:ascii="Arial" w:cs="Arial" w:eastAsia="Arial" w:hAnsi="Arial"/>
          <w:sz w:val="16"/>
          <w:szCs w:val="16"/>
          <w:color w:val="auto"/>
        </w:rPr>
        <w:t xml:space="preserve"> P</w:t>
      </w:r>
      <w:r>
        <w:rPr>
          <w:rFonts w:ascii="Arial" w:cs="Arial" w:eastAsia="Arial" w:hAnsi="Arial"/>
          <w:sz w:val="11"/>
          <w:szCs w:val="11"/>
          <w:color w:val="auto"/>
        </w:rPr>
        <w:t>OWER OF</w:t>
      </w:r>
      <w:r>
        <w:rPr>
          <w:rFonts w:ascii="Arial" w:cs="Arial" w:eastAsia="Arial" w:hAnsi="Arial"/>
          <w:sz w:val="16"/>
          <w:szCs w:val="16"/>
          <w:color w:val="auto"/>
        </w:rPr>
        <w:t xml:space="preserve"> S</w:t>
      </w:r>
      <w:r>
        <w:rPr>
          <w:rFonts w:ascii="Arial" w:cs="Arial" w:eastAsia="Arial" w:hAnsi="Arial"/>
          <w:sz w:val="11"/>
          <w:szCs w:val="11"/>
          <w:color w:val="auto"/>
        </w:rPr>
        <w:t>ALE</w:t>
      </w:r>
      <w:r>
        <w:rPr>
          <w:rFonts w:ascii="Arial" w:cs="Arial" w:eastAsia="Arial" w:hAnsi="Arial"/>
          <w:sz w:val="16"/>
          <w:szCs w:val="16"/>
          <w:color w:val="auto"/>
        </w:rPr>
        <w:t xml:space="preserve"> to the extent permitted by law, and (ii) upon the occurrence and during the continuance of any Event of Default (but subject to the rights of the Lessee to purchase the Leased Property pursuant to the terms and within the time periods as set forth in Section 18.1, if any), Lessor may, and is hereby irrevocably empowered to, with or without entry, and to the extent permitted by Applicable Law, sell or cause the sale of the Leased Property or the other Collateral or any part or parts thereof at one or more public auctions as an entirety or in parcels as the Lessor may elect free from any equity of redemption for cash, on credit, or for other property, for immediate or future delivery, and on such terms as the Lessor shall deem advantageous and proper, such sale or sales to be made in such manner and upon such notice and advertisement as may be required by Applicable Law, or in the absence of any such requirements, as the Lessor may deem appropriate, and to make conveyance to the purchase or purchasers. Lessor may, if at the time such action may be lawful and always subject to compliance with any mandatory legal requirements, by filing its notice of election and demand for sale to enforce its mortgage and to sell the Security Property, as an entirety or in parcels, by one sale or by several sales, held at one time or at different times, all as the Lessor may elect, each sale to be held at the location set forth in the notice of such proposed sale and the Lessor shall have given notices of the proposed sale in the manner hereinafter set forth, and to make due conveyance to the purchaser or purchasers, with special warranty of title or no warranty of title to such purchaser or purchasers binding upon the Lessee and its heirs, executors, administrators, and successors. Such sale must begin at the time stated in the notice referred to below in this Section or as otherwise permitted by Applicable Law. The Lessee, for itself, its heirs and assigns, and for anyone who may claim by, through or under the Lessee, hereby expressly and specifically waives all rights to a marshaling of the assets of the Lessee, including the Security Property, or to a sale in inverse order of alienation. Lessor may bid and become the purchaser of all or any part of the Leased Property at any such sale, and the amount of Lessor’s successful bid may be credited against the Obligations.</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Lessor (or a person or persons selected by the Lessor) shall promptly comply with all notice and other requirements of the laws of New York then in force with respect to such sales, and shall give any required public notice of the time and place of such sale by advertisement weekly in some newspaper of general circulation then published in the County or City and County in which the Security Property is located. No notice of such sale or sales other than the notices hereinabove provided shall be required to be given to the Lessee (or anyone who may claim by, through or under the Lessee) or any other persons and any other notice (including, without limitation, any notice of acceleration of, or intent to accelerate, the unpaid balance of any Obligation) is expressly waived.</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The provisions of this Section with respect to posting, serving, filing, and giving notices of sale are intended to comply with all Applicable Laws. In the event the requirement for any notice, or the posting, serving, filing, or giving thereof, under any Applicable Law shall be eliminated or the prescribed manner of posting, serving, filing, or giving same is modified by future amendment to such Applicable Law, the requirement for such particular notice shall be stricken from, or the manner of posting, serving, filing, or giving any notice hereunder modified in, this Mortgage in conformity with such amendment. The manner herein prescribed for posting, serving, filing, or giving any notice, other than that to be posted and filed or caused to be posted or filed by the Lessor, shall not be deemed exclusive but such notice or notices may be posted, served, filed, or given in any other manner which may be permitted by Applicable Law. Further, in relation to this Mortgage and the exercise of any power of sale by the Lessor hereunder, if any Applicable Law shall be amended or modified to require any other notice or the posting, filing, serving, or giving thereof or any statute hereafter enacted shall require any other notice or the posting, filing, serving, or giving thereof, the Lessor or the person selected by him is hereby authorized and empowered by the Lessee to give such notice or make such posting, filing, serving, or giving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the Lessee waives such other notice or the posting, filing, serving, or giving thereof to the full extent the Lessee may lawfully so do. Any provisions of this paragraph, or any amendments to or modifications to any Applicable Law to the contrary notwithstanding, the time periods provided for in the immediately preceding paragraph in respect of which the notices provided for in said paragraph are to be given shall not be shortened or eliminated as a result of any such amendment or modification.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jc w:val="both"/>
        <w:ind w:firstLine="648"/>
        <w:spacing w:after="0" w:line="268" w:lineRule="auto"/>
        <w:rPr>
          <w:sz w:val="20"/>
          <w:szCs w:val="20"/>
          <w:color w:val="auto"/>
        </w:rPr>
      </w:pPr>
      <w:r>
        <w:rPr>
          <w:rFonts w:ascii="Arial" w:cs="Arial" w:eastAsia="Arial" w:hAnsi="Arial"/>
          <w:sz w:val="17"/>
          <w:szCs w:val="17"/>
          <w:color w:val="auto"/>
        </w:rPr>
        <w:t xml:space="preserve">In addition to any other remedies granted to Lessor (including specifically, but not limited to, the right to proceed against all the Security Property in accordance with the rights and remedies in respect to those portions of the Collateral which are real property pursuant to Section 9-501(b) of the UCC), upon the occurrence and during the continuance of an Event of Default (but subject to the rights of the Lessee to purchase the Leased Property pursuant to the terms and within the time periods as set forth in Section 18.1, if any) Lessor may (i) proceed by a suit or suits in equity or at law, whether for a foreclosure hereunder, or for the sale of the Leased Property, or against Lessee on a recourse basis for the Lease Balance, or for the specific performance of any covenant or agreement contained in this Lease or in aid of the execution of any power herein granted, or for the appointment of a receiver pending any foreclosure hereunder or the sale of the Leased Property, or for the enforcement of any other appropriate legal or equitable remedy and (ii) proceed under the UCC as to all or any part of the personal property (tangible or intangible) and fixtures included with the Security Property (such portion of the Security Property being referred to herein as the </w:t>
      </w:r>
      <w:r>
        <w:rPr>
          <w:rFonts w:ascii="Arial" w:cs="Arial" w:eastAsia="Arial" w:hAnsi="Arial"/>
          <w:sz w:val="17"/>
          <w:szCs w:val="17"/>
          <w:i w:val="1"/>
          <w:iCs w:val="1"/>
          <w:color w:val="auto"/>
        </w:rPr>
        <w:t>“Personalty”</w:t>
      </w:r>
      <w:r>
        <w:rPr>
          <w:rFonts w:ascii="Arial" w:cs="Arial" w:eastAsia="Arial" w:hAnsi="Arial"/>
          <w:sz w:val="17"/>
          <w:szCs w:val="17"/>
          <w:color w:val="auto"/>
        </w:rPr>
        <w:t>) and shall have and may exercise with respect to the Personalty all the rights, remedies, and powers of a secured party under the UCC, including, without limitation, the right and power to sell, at one or more public or private sales, or otherwise dispose of, lease, or utilize the Personalty and any part or parts thereof in any manner authorized or permitted under the UCC after default by a debtor, and to apply the proceeds thereof toward payment of any costs and expenses and attorney’s fees and legal expenses thereby incurred by Lessor, and toward payment of the Obligations hereby secured in such order or manner as provided herein.</w:t>
      </w:r>
    </w:p>
    <w:p>
      <w:pPr>
        <w:spacing w:after="0" w:line="1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Section 24.3. State Specific Provisions</w:t>
      </w:r>
      <w:r>
        <w:rPr>
          <w:rFonts w:ascii="Arial" w:cs="Arial" w:eastAsia="Arial" w:hAnsi="Arial"/>
          <w:sz w:val="18"/>
          <w:szCs w:val="18"/>
          <w:color w:val="auto"/>
        </w:rPr>
        <w:t>. (a) This Mortgage is given to secure, among other things, and shall secure not only presently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under the Participation Agreement and this Lease. The lien of this Mortgage shall be valid as to all indebtedness hereby secured, including future advances, from the time of its filing for record in the office of the clerk of the superior court of the county in which the Leased Property is located. This Mortgage shall remain in full force and effect as to any further advances under the Participation Agreement and the other Operative Documents made after any such zero balance until the indebtedness secured by this Mortgage is paid in full and satisfied, all agreements of Lessor to make further advances have been terminated and this Mortgage has been cancelled of record. This Mortgage shall be valid and have priority over all subsequent liens and encumbrances, including statutory liens, excepting solely taxes and assessments levied on the Leased Property, to the extent of the maximum amount secured hereby.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ind w:right="20" w:firstLine="656"/>
        <w:spacing w:after="0" w:line="277" w:lineRule="auto"/>
        <w:tabs>
          <w:tab w:leader="none" w:pos="112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the event of any inconsistencies between the terms and conditions of this Section 24.3(b) and the other terms and conditions of this Mortgage, the terms and conditions of this Section 24.3(b) shall control and be binding.</w:t>
      </w:r>
    </w:p>
    <w:p>
      <w:pPr>
        <w:spacing w:after="0" w:line="170" w:lineRule="exact"/>
        <w:rPr>
          <w:rFonts w:ascii="Arial" w:cs="Arial" w:eastAsia="Arial" w:hAnsi="Arial"/>
          <w:sz w:val="18"/>
          <w:szCs w:val="18"/>
          <w:color w:val="auto"/>
        </w:rPr>
      </w:pPr>
    </w:p>
    <w:p>
      <w:pPr>
        <w:jc w:val="both"/>
        <w:ind w:left="660" w:firstLine="644"/>
        <w:spacing w:after="0" w:line="258" w:lineRule="auto"/>
        <w:tabs>
          <w:tab w:leader="none" w:pos="1770"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M</w:t>
      </w:r>
      <w:r>
        <w:rPr>
          <w:rFonts w:ascii="Arial" w:cs="Arial" w:eastAsia="Arial" w:hAnsi="Arial"/>
          <w:sz w:val="12"/>
          <w:szCs w:val="12"/>
          <w:i w:val="1"/>
          <w:iCs w:val="1"/>
          <w:color w:val="auto"/>
        </w:rPr>
        <w:t>AXIMUM</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RINCIPAL</w:t>
      </w:r>
      <w:r>
        <w:rPr>
          <w:rFonts w:ascii="Arial" w:cs="Arial" w:eastAsia="Arial" w:hAnsi="Arial"/>
          <w:sz w:val="18"/>
          <w:szCs w:val="18"/>
          <w:i w:val="1"/>
          <w:iCs w:val="1"/>
          <w:color w:val="auto"/>
        </w:rPr>
        <w:t xml:space="preserve"> S</w:t>
      </w:r>
      <w:r>
        <w:rPr>
          <w:rFonts w:ascii="Arial" w:cs="Arial" w:eastAsia="Arial" w:hAnsi="Arial"/>
          <w:sz w:val="12"/>
          <w:szCs w:val="12"/>
          <w:i w:val="1"/>
          <w:iCs w:val="1"/>
          <w:color w:val="auto"/>
        </w:rPr>
        <w:t>UM</w:t>
      </w:r>
      <w:r>
        <w:rPr>
          <w:rFonts w:ascii="Arial" w:cs="Arial" w:eastAsia="Arial" w:hAnsi="Arial"/>
          <w:sz w:val="18"/>
          <w:szCs w:val="18"/>
          <w:color w:val="auto"/>
        </w:rPr>
        <w:t>. T</w:t>
      </w:r>
      <w:r>
        <w:rPr>
          <w:rFonts w:ascii="Arial" w:cs="Arial" w:eastAsia="Arial" w:hAnsi="Arial"/>
          <w:sz w:val="12"/>
          <w:szCs w:val="12"/>
          <w:color w:val="auto"/>
        </w:rPr>
        <w:t>HE PARTIES HERETO INTEND THAT THIS</w:t>
      </w:r>
      <w:r>
        <w:rPr>
          <w:rFonts w:ascii="Arial" w:cs="Arial" w:eastAsia="Arial" w:hAnsi="Arial"/>
          <w:sz w:val="18"/>
          <w:szCs w:val="18"/>
          <w:i w:val="1"/>
          <w:iCs w:val="1"/>
          <w:color w:val="auto"/>
        </w:rPr>
        <w:t xml:space="preserve"> </w:t>
      </w:r>
      <w:r>
        <w:rPr>
          <w:rFonts w:ascii="Arial" w:cs="Arial" w:eastAsia="Arial" w:hAnsi="Arial"/>
          <w:sz w:val="18"/>
          <w:szCs w:val="18"/>
          <w:color w:val="auto"/>
        </w:rPr>
        <w:t>M</w:t>
      </w:r>
      <w:r>
        <w:rPr>
          <w:rFonts w:ascii="Arial" w:cs="Arial" w:eastAsia="Arial" w:hAnsi="Arial"/>
          <w:sz w:val="12"/>
          <w:szCs w:val="12"/>
          <w:color w:val="auto"/>
        </w:rPr>
        <w:t>ORTGAGE SHALL SECURE UNPAID BALANCES OF THE INDEBTEDNESS SECURED</w:t>
      </w:r>
      <w:r>
        <w:rPr>
          <w:rFonts w:ascii="Arial" w:cs="Arial" w:eastAsia="Arial" w:hAnsi="Arial"/>
          <w:sz w:val="18"/>
          <w:szCs w:val="18"/>
          <w:i w:val="1"/>
          <w:iCs w:val="1"/>
          <w:color w:val="auto"/>
        </w:rPr>
        <w:t xml:space="preserve"> </w:t>
      </w:r>
      <w:r>
        <w:rPr>
          <w:rFonts w:ascii="Arial" w:cs="Arial" w:eastAsia="Arial" w:hAnsi="Arial"/>
          <w:sz w:val="12"/>
          <w:szCs w:val="12"/>
          <w:color w:val="auto"/>
        </w:rPr>
        <w:t xml:space="preserve">HEREBY WHETHER INCURRED BY LESSEE AT THE </w:t>
      </w:r>
      <w:r>
        <w:rPr>
          <w:rFonts w:ascii="Arial" w:cs="Arial" w:eastAsia="Arial" w:hAnsi="Arial"/>
          <w:sz w:val="17"/>
          <w:szCs w:val="17"/>
          <w:color w:val="auto"/>
        </w:rPr>
        <w:t>R</w:t>
      </w:r>
      <w:r>
        <w:rPr>
          <w:rFonts w:ascii="Arial" w:cs="Arial" w:eastAsia="Arial" w:hAnsi="Arial"/>
          <w:sz w:val="12"/>
          <w:szCs w:val="12"/>
          <w:color w:val="auto"/>
        </w:rPr>
        <w:t xml:space="preserve">ESTATEMENT </w:t>
      </w:r>
      <w:r>
        <w:rPr>
          <w:rFonts w:ascii="Arial" w:cs="Arial" w:eastAsia="Arial" w:hAnsi="Arial"/>
          <w:sz w:val="17"/>
          <w:szCs w:val="17"/>
          <w:color w:val="auto"/>
        </w:rPr>
        <w:t>D</w:t>
      </w:r>
      <w:r>
        <w:rPr>
          <w:rFonts w:ascii="Arial" w:cs="Arial" w:eastAsia="Arial" w:hAnsi="Arial"/>
          <w:sz w:val="12"/>
          <w:szCs w:val="12"/>
          <w:color w:val="auto"/>
        </w:rPr>
        <w:t xml:space="preserve">ATE OR AFTER THIS </w:t>
      </w:r>
      <w:r>
        <w:rPr>
          <w:rFonts w:ascii="Arial" w:cs="Arial" w:eastAsia="Arial" w:hAnsi="Arial"/>
          <w:sz w:val="17"/>
          <w:szCs w:val="17"/>
          <w:color w:val="auto"/>
        </w:rPr>
        <w:t>M</w:t>
      </w:r>
      <w:r>
        <w:rPr>
          <w:rFonts w:ascii="Arial" w:cs="Arial" w:eastAsia="Arial" w:hAnsi="Arial"/>
          <w:sz w:val="12"/>
          <w:szCs w:val="12"/>
          <w:color w:val="auto"/>
        </w:rPr>
        <w:t>ORTGAGE IS DELIVERED FOR RECORDATION IN THE OFFICIAL RECORDS OF THE</w:t>
      </w:r>
    </w:p>
    <w:p>
      <w:pPr>
        <w:spacing w:after="0" w:line="1" w:lineRule="exact"/>
        <w:rPr>
          <w:sz w:val="20"/>
          <w:szCs w:val="20"/>
          <w:color w:val="auto"/>
        </w:rPr>
      </w:pPr>
    </w:p>
    <w:p>
      <w:pPr>
        <w:ind w:left="660" w:right="20"/>
        <w:spacing w:after="0" w:line="290" w:lineRule="auto"/>
        <w:rPr>
          <w:sz w:val="20"/>
          <w:szCs w:val="20"/>
          <w:color w:val="auto"/>
        </w:rPr>
      </w:pPr>
      <w:r>
        <w:rPr>
          <w:rFonts w:ascii="Arial" w:cs="Arial" w:eastAsia="Arial" w:hAnsi="Arial"/>
          <w:sz w:val="12"/>
          <w:szCs w:val="12"/>
          <w:color w:val="auto"/>
        </w:rPr>
        <w:t xml:space="preserve">COUNTY IN WHICH THE </w:t>
      </w:r>
      <w:r>
        <w:rPr>
          <w:rFonts w:ascii="Arial" w:cs="Arial" w:eastAsia="Arial" w:hAnsi="Arial"/>
          <w:sz w:val="17"/>
          <w:szCs w:val="17"/>
          <w:color w:val="auto"/>
        </w:rPr>
        <w:t>L</w:t>
      </w:r>
      <w:r>
        <w:rPr>
          <w:rFonts w:ascii="Arial" w:cs="Arial" w:eastAsia="Arial" w:hAnsi="Arial"/>
          <w:sz w:val="12"/>
          <w:szCs w:val="12"/>
          <w:color w:val="auto"/>
        </w:rPr>
        <w:t xml:space="preserve">EASED </w:t>
      </w:r>
      <w:r>
        <w:rPr>
          <w:rFonts w:ascii="Arial" w:cs="Arial" w:eastAsia="Arial" w:hAnsi="Arial"/>
          <w:sz w:val="17"/>
          <w:szCs w:val="17"/>
          <w:color w:val="auto"/>
        </w:rPr>
        <w:t>P</w:t>
      </w:r>
      <w:r>
        <w:rPr>
          <w:rFonts w:ascii="Arial" w:cs="Arial" w:eastAsia="Arial" w:hAnsi="Arial"/>
          <w:sz w:val="12"/>
          <w:szCs w:val="12"/>
          <w:color w:val="auto"/>
        </w:rPr>
        <w:t>ROPERTY IS LOCATED</w:t>
      </w:r>
      <w:r>
        <w:rPr>
          <w:rFonts w:ascii="Arial" w:cs="Arial" w:eastAsia="Arial" w:hAnsi="Arial"/>
          <w:sz w:val="17"/>
          <w:szCs w:val="17"/>
          <w:color w:val="auto"/>
        </w:rPr>
        <w:t>. T</w:t>
      </w:r>
      <w:r>
        <w:rPr>
          <w:rFonts w:ascii="Arial" w:cs="Arial" w:eastAsia="Arial" w:hAnsi="Arial"/>
          <w:sz w:val="12"/>
          <w:szCs w:val="12"/>
          <w:color w:val="auto"/>
        </w:rPr>
        <w:t xml:space="preserve">HE MAXIMUM PRINCIPAL AMOUNT OF INDEBTEDNESS WHICH IS OR UNDER ANY CONTINGENCY MAY BE SECURED AT THE </w:t>
      </w:r>
      <w:r>
        <w:rPr>
          <w:rFonts w:ascii="Arial" w:cs="Arial" w:eastAsia="Arial" w:hAnsi="Arial"/>
          <w:sz w:val="17"/>
          <w:szCs w:val="17"/>
          <w:color w:val="auto"/>
        </w:rPr>
        <w:t>R</w:t>
      </w:r>
      <w:r>
        <w:rPr>
          <w:rFonts w:ascii="Arial" w:cs="Arial" w:eastAsia="Arial" w:hAnsi="Arial"/>
          <w:sz w:val="12"/>
          <w:szCs w:val="12"/>
          <w:color w:val="auto"/>
        </w:rPr>
        <w:t xml:space="preserve">ESTATEMENT </w:t>
      </w:r>
      <w:r>
        <w:rPr>
          <w:rFonts w:ascii="Arial" w:cs="Arial" w:eastAsia="Arial" w:hAnsi="Arial"/>
          <w:sz w:val="17"/>
          <w:szCs w:val="17"/>
          <w:color w:val="auto"/>
        </w:rPr>
        <w:t>D</w:t>
      </w:r>
      <w:r>
        <w:rPr>
          <w:rFonts w:ascii="Arial" w:cs="Arial" w:eastAsia="Arial" w:hAnsi="Arial"/>
          <w:sz w:val="12"/>
          <w:szCs w:val="12"/>
          <w:color w:val="auto"/>
        </w:rPr>
        <w:t xml:space="preserve">ATE OR AT ANY TIME THEREAFTER BY THIS MORTGAGE IS </w:t>
      </w:r>
      <w:r>
        <w:rPr>
          <w:rFonts w:ascii="Arial" w:cs="Arial" w:eastAsia="Arial" w:hAnsi="Arial"/>
          <w:sz w:val="17"/>
          <w:szCs w:val="17"/>
          <w:color w:val="auto"/>
        </w:rPr>
        <w:t>$720,000,000.</w:t>
      </w:r>
    </w:p>
    <w:p>
      <w:pPr>
        <w:spacing w:after="0" w:line="161" w:lineRule="exact"/>
        <w:rPr>
          <w:sz w:val="20"/>
          <w:szCs w:val="20"/>
          <w:color w:val="auto"/>
        </w:rPr>
      </w:pPr>
    </w:p>
    <w:p>
      <w:pPr>
        <w:jc w:val="both"/>
        <w:ind w:left="660" w:firstLine="644"/>
        <w:spacing w:after="0" w:line="255" w:lineRule="auto"/>
        <w:tabs>
          <w:tab w:leader="none" w:pos="1798"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Trust Fund for Advances</w:t>
      </w:r>
      <w:r>
        <w:rPr>
          <w:rFonts w:ascii="Arial" w:cs="Arial" w:eastAsia="Arial" w:hAnsi="Arial"/>
          <w:sz w:val="18"/>
          <w:szCs w:val="18"/>
          <w:color w:val="auto"/>
        </w:rPr>
        <w:t>. In compliance with Section 13 of the Lien Law of the State of New York, Lessee will receive the</w:t>
      </w:r>
      <w:r>
        <w:rPr>
          <w:rFonts w:ascii="Arial" w:cs="Arial" w:eastAsia="Arial" w:hAnsi="Arial"/>
          <w:sz w:val="18"/>
          <w:szCs w:val="18"/>
          <w:i w:val="1"/>
          <w:iCs w:val="1"/>
          <w:color w:val="auto"/>
        </w:rPr>
        <w:t xml:space="preserve"> </w:t>
      </w:r>
      <w:r>
        <w:rPr>
          <w:rFonts w:ascii="Arial" w:cs="Arial" w:eastAsia="Arial" w:hAnsi="Arial"/>
          <w:sz w:val="18"/>
          <w:szCs w:val="18"/>
          <w:color w:val="auto"/>
        </w:rPr>
        <w:t>advances secured by this Mortgage and will hold the right to receive such advances as a trust fund to be applied first for the purpose of paying the cost of the building(s) and other improvements located on the Leased Property before using any part of the total of the same for any other purpose. Lessee will indemnify and hold the Lessor harmless against any loss, liability, cost or expense, including any judgments, attorneys’ fees, costs of appeal bonds or printing costs, arising out of or relating to any proceedings instituted by any claimant alleging a violation by Lessee of Article 3-A of the New York Lien Law.</w:t>
      </w:r>
    </w:p>
    <w:p>
      <w:pPr>
        <w:spacing w:after="0" w:line="192" w:lineRule="exact"/>
        <w:rPr>
          <w:rFonts w:ascii="Arial" w:cs="Arial" w:eastAsia="Arial" w:hAnsi="Arial"/>
          <w:sz w:val="18"/>
          <w:szCs w:val="18"/>
          <w:color w:val="auto"/>
        </w:rPr>
      </w:pPr>
    </w:p>
    <w:p>
      <w:pPr>
        <w:jc w:val="both"/>
        <w:ind w:left="660" w:firstLine="644"/>
        <w:spacing w:after="0" w:line="263" w:lineRule="auto"/>
        <w:tabs>
          <w:tab w:leader="none" w:pos="1825"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New York Real Property Law Article 4-A</w:t>
      </w:r>
      <w:r>
        <w:rPr>
          <w:rFonts w:ascii="Arial" w:cs="Arial" w:eastAsia="Arial" w:hAnsi="Arial"/>
          <w:sz w:val="18"/>
          <w:szCs w:val="18"/>
          <w:color w:val="auto"/>
        </w:rPr>
        <w:t>. If this Mortgage shall be deemed to constitute a “mortgage investment” as defined by</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Real Property Law § 125, then this Mortgage shall and hereby does (i) confer upon the Lessor the powers and (ii) impose upon the Lessor the duties of trustees set forth in New York Real Property Law § 126.</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815"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Statement in Accordance with Section 253.1a(a) of the New York Tax Law</w:t>
      </w:r>
      <w:r>
        <w:rPr>
          <w:rFonts w:ascii="Arial" w:cs="Arial" w:eastAsia="Arial" w:hAnsi="Arial"/>
          <w:sz w:val="18"/>
          <w:szCs w:val="18"/>
          <w:color w:val="auto"/>
        </w:rPr>
        <w:t>. This Mortgage does not cover real property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or to be improved by one or more structures containing in the aggregate not more than six (6) residential dwelling units, each having separate cooking facilities.</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787"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Statement in Accordance with Section 274-a of the New York Real Property Law</w:t>
      </w:r>
      <w:r>
        <w:rPr>
          <w:rFonts w:ascii="Arial" w:cs="Arial" w:eastAsia="Arial" w:hAnsi="Arial"/>
          <w:sz w:val="18"/>
          <w:szCs w:val="18"/>
          <w:color w:val="auto"/>
        </w:rPr>
        <w:t>. The Lessor shall, within fifteen (15) days after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request, provide Lessee with the statement required by Section 274-a of the New York Real Property Law.</w:t>
      </w:r>
    </w:p>
    <w:p>
      <w:pPr>
        <w:spacing w:after="0" w:line="170" w:lineRule="exact"/>
        <w:rPr>
          <w:rFonts w:ascii="Arial" w:cs="Arial" w:eastAsia="Arial" w:hAnsi="Arial"/>
          <w:sz w:val="18"/>
          <w:szCs w:val="18"/>
          <w:color w:val="auto"/>
        </w:rPr>
      </w:pPr>
    </w:p>
    <w:p>
      <w:pPr>
        <w:jc w:val="both"/>
        <w:ind w:left="660" w:firstLine="644"/>
        <w:spacing w:after="0" w:line="290" w:lineRule="auto"/>
        <w:tabs>
          <w:tab w:leader="none" w:pos="1815"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Section 291-f of New York Real Property Law</w:t>
      </w:r>
      <w:r>
        <w:rPr>
          <w:rFonts w:ascii="Arial" w:cs="Arial" w:eastAsia="Arial" w:hAnsi="Arial"/>
          <w:sz w:val="16"/>
          <w:szCs w:val="16"/>
          <w:color w:val="auto"/>
        </w:rPr>
        <w:t>. The Lessor shall have all of the rights set forth in Section 291-f of the Real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Law of New York. For purposes of Section 291-f of the New York Real Property Law, all existing tenants and every tenant or subtenant who after the recording of this Mortgage, enters into a lease upon the premises of any of the Leased Property or who acquires by instrument of assignment or by operation of law a leasehold estate upon the Leased Property is hereby notified that Lessee shall not, without obtaining the Lessor’s prior consent in each instance, cancel, abridge or otherwise modify any leases or accept prepayments for more than thirty (30) days of installments of rent to become due with respect to any lease thereof having an unexpired term on the date of this Mortgage of five (5) years or more and that any such cancellation, abridgement, modification or prepayment made by any such tenant or subtenant without either being expressly permitted under this Mortgage or receiving the Lessor’s prior consent shall be voidable by the Lessor at its option.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jc w:val="both"/>
        <w:ind w:left="660" w:firstLine="644"/>
        <w:spacing w:after="0" w:line="263" w:lineRule="auto"/>
        <w:tabs>
          <w:tab w:leader="none" w:pos="1843"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Sections 254, 271, 272 and 291-f of New York Real Property Law</w:t>
      </w:r>
      <w:r>
        <w:rPr>
          <w:rFonts w:ascii="Arial" w:cs="Arial" w:eastAsia="Arial" w:hAnsi="Arial"/>
          <w:sz w:val="18"/>
          <w:szCs w:val="18"/>
          <w:color w:val="auto"/>
        </w:rPr>
        <w:t>. All covenants of Lessee herein contained shall be construed as</w:t>
      </w:r>
      <w:r>
        <w:rPr>
          <w:rFonts w:ascii="Arial" w:cs="Arial" w:eastAsia="Arial" w:hAnsi="Arial"/>
          <w:sz w:val="18"/>
          <w:szCs w:val="18"/>
          <w:i w:val="1"/>
          <w:iCs w:val="1"/>
          <w:color w:val="auto"/>
        </w:rPr>
        <w:t xml:space="preserve"> </w:t>
      </w:r>
      <w:r>
        <w:rPr>
          <w:rFonts w:ascii="Arial" w:cs="Arial" w:eastAsia="Arial" w:hAnsi="Arial"/>
          <w:sz w:val="18"/>
          <w:szCs w:val="18"/>
          <w:color w:val="auto"/>
        </w:rPr>
        <w:t>affording to the Lessor rights additional to and not exclusive of the rights conferred under the provisions of Sections 254, 271, 272 and 291-f of the Real Property Law of New York (except as otherwise provided herein).</w:t>
      </w:r>
    </w:p>
    <w:p>
      <w:pPr>
        <w:spacing w:after="0" w:line="183" w:lineRule="exact"/>
        <w:rPr>
          <w:rFonts w:ascii="Arial" w:cs="Arial" w:eastAsia="Arial" w:hAnsi="Arial"/>
          <w:sz w:val="18"/>
          <w:szCs w:val="18"/>
          <w:color w:val="auto"/>
        </w:rPr>
      </w:pPr>
    </w:p>
    <w:p>
      <w:pPr>
        <w:ind w:left="660" w:firstLine="644"/>
        <w:spacing w:after="0" w:line="277" w:lineRule="auto"/>
        <w:tabs>
          <w:tab w:leader="none" w:pos="1870"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Real Property Law</w:t>
      </w:r>
      <w:r>
        <w:rPr>
          <w:rFonts w:ascii="Arial" w:cs="Arial" w:eastAsia="Arial" w:hAnsi="Arial"/>
          <w:sz w:val="18"/>
          <w:szCs w:val="18"/>
          <w:color w:val="auto"/>
        </w:rPr>
        <w:t>. The provisions of subsection 4 of Section 254 and subsection 2 of Section 271 of the New York Real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Law covering the insurance of buildings against loss by fire shall not apply to this Mortgage.</w:t>
      </w:r>
    </w:p>
    <w:p>
      <w:pPr>
        <w:spacing w:after="0" w:line="170" w:lineRule="exact"/>
        <w:rPr>
          <w:rFonts w:ascii="Arial" w:cs="Arial" w:eastAsia="Arial" w:hAnsi="Arial"/>
          <w:sz w:val="18"/>
          <w:szCs w:val="18"/>
          <w:color w:val="auto"/>
        </w:rPr>
      </w:pPr>
    </w:p>
    <w:p>
      <w:pPr>
        <w:jc w:val="both"/>
        <w:ind w:left="660" w:firstLine="644"/>
        <w:spacing w:after="0" w:line="253" w:lineRule="auto"/>
        <w:tabs>
          <w:tab w:leader="none" w:pos="1837"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RPAPL</w:t>
      </w:r>
      <w:r>
        <w:rPr>
          <w:rFonts w:ascii="Arial" w:cs="Arial" w:eastAsia="Arial" w:hAnsi="Arial"/>
          <w:sz w:val="18"/>
          <w:szCs w:val="18"/>
          <w:color w:val="auto"/>
        </w:rPr>
        <w:t>. If an Event of Default shall occur and be continuing (but subject to the rights of the Lessee to purchase the Leased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Property pursuant to the terms and within the time periods as set forth in Section 18.1, if any), the Lessor may elect, with or without entry or taking possession of the Leased Property, personally or by its agents or attorneys, and without prejudice to the right to bring an action for foreclosure of this Mortgage, to sell (and, in the case of any default of any purchaser, resell) the Leased Property or any part thereof pursuant to any procedures provided by Applicable Law, including, without limitation, by exercise of the power of foreclosure or of sale granted to the Lessor by Articles 13 or 14 of the New York Real Property Actions and Proceedings Law (the </w:t>
      </w:r>
      <w:r>
        <w:rPr>
          <w:rFonts w:ascii="Arial" w:cs="Arial" w:eastAsia="Arial" w:hAnsi="Arial"/>
          <w:sz w:val="18"/>
          <w:szCs w:val="18"/>
          <w:i w:val="1"/>
          <w:iCs w:val="1"/>
          <w:color w:val="auto"/>
        </w:rPr>
        <w:t>“RPAPL”</w:t>
      </w:r>
      <w:r>
        <w:rPr>
          <w:rFonts w:ascii="Arial" w:cs="Arial" w:eastAsia="Arial" w:hAnsi="Arial"/>
          <w:sz w:val="18"/>
          <w:szCs w:val="18"/>
          <w:color w:val="auto"/>
        </w:rPr>
        <w:t>). In such case, the Lessor may commence a civil action to foreclose this Mortgage pursuant to Article 13 of the RPAPL, or it may proceed and sell the Leased Property pursuant to Article 14 of the RPAPL to satisfy the Secured Obligations and all other amounts secured or exercise any other right and/or remedy provided under Applicable Law.</w:t>
      </w:r>
    </w:p>
    <w:p>
      <w:pPr>
        <w:spacing w:after="0" w:line="19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Section 24.4. Security Agreement</w:t>
      </w:r>
      <w:r>
        <w:rPr>
          <w:rFonts w:ascii="Arial" w:cs="Arial" w:eastAsia="Arial" w:hAnsi="Arial"/>
          <w:sz w:val="17"/>
          <w:szCs w:val="17"/>
          <w:color w:val="auto"/>
        </w:rPr>
        <w:t>. This Lease shall constitute a security agreement within the meaning of the Uniform Commercial Code of the state</w:t>
      </w:r>
      <w:r>
        <w:rPr>
          <w:rFonts w:ascii="Arial" w:cs="Arial" w:eastAsia="Arial" w:hAnsi="Arial"/>
          <w:sz w:val="17"/>
          <w:szCs w:val="17"/>
          <w:i w:val="1"/>
          <w:iCs w:val="1"/>
          <w:color w:val="auto"/>
        </w:rPr>
        <w:t xml:space="preserve"> </w:t>
      </w:r>
      <w:r>
        <w:rPr>
          <w:rFonts w:ascii="Arial" w:cs="Arial" w:eastAsia="Arial" w:hAnsi="Arial"/>
          <w:sz w:val="17"/>
          <w:szCs w:val="17"/>
          <w:color w:val="auto"/>
        </w:rPr>
        <w:t>where the Leased Property is located (</w:t>
      </w:r>
      <w:r>
        <w:rPr>
          <w:rFonts w:ascii="Arial" w:cs="Arial" w:eastAsia="Arial" w:hAnsi="Arial"/>
          <w:sz w:val="17"/>
          <w:szCs w:val="17"/>
          <w:i w:val="1"/>
          <w:iCs w:val="1"/>
          <w:color w:val="auto"/>
        </w:rPr>
        <w:t>“UCC”</w:t>
      </w:r>
      <w:r>
        <w:rPr>
          <w:rFonts w:ascii="Arial" w:cs="Arial" w:eastAsia="Arial" w:hAnsi="Arial"/>
          <w:sz w:val="17"/>
          <w:szCs w:val="17"/>
          <w:color w:val="auto"/>
        </w:rPr>
        <w:t>), and if an Event of Default has occurred and is continuing (but subject to the rights of the Lessee to purchase the Leased Property pursuant to the terms and within the time periods as set forth in Section 18.1, if any), (i) Lessor shall, in addition to all other rights available at law or equity, have all of the rights provided to a secured party under Article 9 of the UCC and (ii) Lessor shall have the power and authority, after proper notice and lapse of such time as may be required by law, to sell the Leased Property and the other Collateral (or any portion thereof), either as a whole, or in separate lots or parcels or items and in such order as Lessor may elect all as provided for herein. The proceeds derived from the exercise of the foregoing rights shall be applied as set forth in the last paragraph of Section 16.2.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Section 24.5. Mortgage Remedies. </w:t>
      </w:r>
      <w:r>
        <w:rPr>
          <w:rFonts w:ascii="Arial" w:cs="Arial" w:eastAsia="Arial" w:hAnsi="Arial"/>
          <w:sz w:val="17"/>
          <w:szCs w:val="17"/>
          <w:color w:val="auto"/>
        </w:rPr>
        <w:t>Without limiting any other remedies set forth in this Lease, and also, without limiting the generality of</w:t>
      </w:r>
      <w:r>
        <w:rPr>
          <w:rFonts w:ascii="Arial" w:cs="Arial" w:eastAsia="Arial" w:hAnsi="Arial"/>
          <w:sz w:val="17"/>
          <w:szCs w:val="17"/>
          <w:i w:val="1"/>
          <w:iCs w:val="1"/>
          <w:color w:val="auto"/>
        </w:rPr>
        <w:t xml:space="preserve"> </w:t>
      </w:r>
      <w:r>
        <w:rPr>
          <w:rFonts w:ascii="Arial" w:cs="Arial" w:eastAsia="Arial" w:hAnsi="Arial"/>
          <w:sz w:val="17"/>
          <w:szCs w:val="17"/>
          <w:color w:val="auto"/>
        </w:rPr>
        <w:t>Article XXIV hereof, if an Event of Default has occurred and is continuing (but subject to the rights of the Lessee to purchase the Leased Property pursuant to the terms and within the time periods as set forth in Section 18.1, if any), the Lessor for the benefit and at the direction of the Required Participants, may proceed by a suit or suits in equity or at law, whether for a foreclosure hereunder, or (to the extent permitted by law) for the sale of the Site, Leased Property or the other Collateral, or against the Lessee on a recourse basis for the Lease Balance and all other amounts owing by Lessee to the Administrative Agent, if any, and/or the Participants under the Operative Documents (including but without duplication, accrued and unpaid Rent), or for the specific performance of any covenant or agreement contained herein or in aid of the execution of any power granted herein, or for the appointment of a receiver pending any foreclosure hereunder or the sale of the Leased Property or the other Collateral, or for the enforcement of any other appropriate legal or equitable remedy. The Lessor shall have all rights available to a mortgagee under the laws of the State of New York. In the event that any provisions of this Lease shall be inconsistent with any Applicable Laws, the provisions of such Applicable Laws shall take precedence over such provision of this Lease, but shall not invalidate or render unenforceable any other provision of this Lease that can be construed in a manner consistent with such Applicable Laws. If any provision of this Lease shall grant the Lessor any rights or remedies upon default of the Lessee which are more limited than the rights that would otherwise be vested in the Lessor under such Applicable Laws in the absence of such provision, the Lessor shall be vested with the rights granted in such Applicable Laws to the full extent permitted by law.</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Section 24.5. Home Depot Parcel</w:t>
      </w:r>
      <w:r>
        <w:rPr>
          <w:rFonts w:ascii="Arial" w:cs="Arial" w:eastAsia="Arial" w:hAnsi="Arial"/>
          <w:sz w:val="17"/>
          <w:szCs w:val="17"/>
          <w:color w:val="auto"/>
        </w:rPr>
        <w:t>. Notwithstanding anything to the contrary contained herein or in any other Operative Document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limitation, clause (c) of Appendix 1 to the Participation Agreement), with respect to the land demised by the Home Depot Ground Lease (the “</w:t>
      </w:r>
      <w:r>
        <w:rPr>
          <w:rFonts w:ascii="Arial" w:cs="Arial" w:eastAsia="Arial" w:hAnsi="Arial"/>
          <w:sz w:val="17"/>
          <w:szCs w:val="17"/>
          <w:i w:val="1"/>
          <w:iCs w:val="1"/>
          <w:color w:val="auto"/>
        </w:rPr>
        <w:t>Home Depot Parcel</w:t>
      </w:r>
      <w:r>
        <w:rPr>
          <w:rFonts w:ascii="Arial" w:cs="Arial" w:eastAsia="Arial" w:hAnsi="Arial"/>
          <w:sz w:val="17"/>
          <w:szCs w:val="17"/>
          <w:color w:val="auto"/>
        </w:rPr>
        <w:t>”) and the improvements located thereon, (i) the provisions of the Home Depot Ground Lease shall apply and not the provisions of this Lease or any other Operative Document, and (ii) neither Lessee nor any Guarantor makes, or shall be deemed to make, any representation or warranty as to the condition of any such property. As illustration of, and without in any way limiting the generality of, the foregoing, with respect to the Home Depot Parcel and the improvements located thereon only, the insurance, casualty and condemnation provisions of the Home Depot Ground Lease shall apply and not any of the insurance, casualty or condemnation provisions of this Lease or any other Operative Document.</w:t>
      </w:r>
    </w:p>
    <w:p>
      <w:pPr>
        <w:spacing w:after="0" w:line="17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XXV</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21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Section 25.1. Survival; Severability; Etc</w:t>
      </w:r>
      <w:r>
        <w:rPr>
          <w:rFonts w:ascii="Arial" w:cs="Arial" w:eastAsia="Arial" w:hAnsi="Arial"/>
          <w:sz w:val="16"/>
          <w:szCs w:val="16"/>
          <w:color w:val="auto"/>
        </w:rPr>
        <w:t>. Anything contained in this Lease to the contrary notwithstanding, all claims against and liabilities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Lessee or Lessor arising from events commencing prior to the expiration or earlier termination of this Lease shall survive such expiration or earlier termination. If any term or provision of this Lease or any application thereof shall be declared invalid or unenforceable, the remainder of this Lease and any other application of such term or provision shall not be affected thereby. If any right or option of the Lessee provided in this Lease, including any right or option described in Articles XIV, XV, XVIII, XIX or XX, would, in the absence of the limitation imposed by this sentence, be invalid or unenforceable as being in violation of the rule against perpetuities or any other rule of law relating to the vesting of an interest in or the suspension of the power of alienation of property, then such right or option shall be exercisable only during the period which shall end twenty-one (21) years after the date of death of the last survivor of the descendants of Franklin D. Roosevelt, the former President of the United States, Henry Ford, the deceased automobile manufacturer, and John D. Rockefeller, the founder of the Standard Oil Company, known to be alive on the date of the execution, acknowledgment and delivery of this Lease.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right="20" w:firstLine="324"/>
        <w:spacing w:after="0" w:line="263" w:lineRule="auto"/>
        <w:rPr>
          <w:sz w:val="20"/>
          <w:szCs w:val="20"/>
          <w:color w:val="auto"/>
        </w:rPr>
      </w:pPr>
      <w:r>
        <w:rPr>
          <w:rFonts w:ascii="Arial" w:cs="Arial" w:eastAsia="Arial" w:hAnsi="Arial"/>
          <w:sz w:val="18"/>
          <w:szCs w:val="18"/>
          <w:i w:val="1"/>
          <w:iCs w:val="1"/>
          <w:color w:val="auto"/>
        </w:rPr>
        <w:t>Section 25.2. Amendments and Modifications</w:t>
      </w:r>
      <w:r>
        <w:rPr>
          <w:rFonts w:ascii="Arial" w:cs="Arial" w:eastAsia="Arial" w:hAnsi="Arial"/>
          <w:sz w:val="18"/>
          <w:szCs w:val="18"/>
          <w:color w:val="auto"/>
        </w:rPr>
        <w:t>. Subject to the requirements, restrictions and conditions set forth in the Participation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this Lease nor any provision hereof may be amended, waived, discharged or terminated except by an instrument in writing, in recordable form, signed by Lessor and the Lessee.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Section 25.3. No Waiver</w:t>
      </w:r>
      <w:r>
        <w:rPr>
          <w:rFonts w:ascii="Arial" w:cs="Arial" w:eastAsia="Arial" w:hAnsi="Arial"/>
          <w:sz w:val="18"/>
          <w:szCs w:val="18"/>
          <w:color w:val="auto"/>
        </w:rPr>
        <w:t>. No failure by Lessor or the Lessee to insist upon the strict performance of any term hereof or to exercise any right, power</w:t>
      </w:r>
      <w:r>
        <w:rPr>
          <w:rFonts w:ascii="Arial" w:cs="Arial" w:eastAsia="Arial" w:hAnsi="Arial"/>
          <w:sz w:val="18"/>
          <w:szCs w:val="18"/>
          <w:i w:val="1"/>
          <w:iCs w:val="1"/>
          <w:color w:val="auto"/>
        </w:rPr>
        <w:t xml:space="preserve"> </w:t>
      </w:r>
      <w:r>
        <w:rPr>
          <w:rFonts w:ascii="Arial" w:cs="Arial" w:eastAsia="Arial" w:hAnsi="Arial"/>
          <w:sz w:val="18"/>
          <w:szCs w:val="18"/>
          <w:color w:val="auto"/>
        </w:rPr>
        <w:t>or remedy upon a default hereunder, and no acceptance of full or partial payment of Rent during the continuance of any such default, shall constitute a waiver of any such default or of any such term. To the fullest extent permitted by law, no waiver of any default shall affect or alter this Lease, and this Lease shall continue in full force and effect with respect to any other then existing or subsequent default.</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Section 25.4. Notices</w:t>
      </w:r>
      <w:r>
        <w:rPr>
          <w:rFonts w:ascii="Arial" w:cs="Arial" w:eastAsia="Arial" w:hAnsi="Arial"/>
          <w:sz w:val="18"/>
          <w:szCs w:val="18"/>
          <w:color w:val="auto"/>
        </w:rPr>
        <w:t>. All notices, demands, requests, consents, approvals and other communications hereunder shall be in writing and directed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described in, and deemed received in accordance with the provisions of, Section 15.3 of the Participation Agreement.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Section 25.5. Successors and Assigns</w:t>
      </w:r>
      <w:r>
        <w:rPr>
          <w:rFonts w:ascii="Arial" w:cs="Arial" w:eastAsia="Arial" w:hAnsi="Arial"/>
          <w:sz w:val="18"/>
          <w:szCs w:val="18"/>
          <w:color w:val="auto"/>
        </w:rPr>
        <w:t>. All the terms and provisions of this Lease shall inure to the benefit of the parties hereto and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successors and permitted assigns.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Section 25.6. Headings and Table of Contents</w:t>
      </w:r>
      <w:r>
        <w:rPr>
          <w:rFonts w:ascii="Arial" w:cs="Arial" w:eastAsia="Arial" w:hAnsi="Arial"/>
          <w:sz w:val="18"/>
          <w:szCs w:val="18"/>
          <w:color w:val="auto"/>
        </w:rPr>
        <w:t>. The headings and table of contents in this Lease are for convenience of reference only and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limit or otherwise affect the meaning hereof.</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Section 25.7. Counterparts</w:t>
      </w:r>
      <w:r>
        <w:rPr>
          <w:rFonts w:ascii="Arial" w:cs="Arial" w:eastAsia="Arial" w:hAnsi="Arial"/>
          <w:sz w:val="18"/>
          <w:szCs w:val="18"/>
          <w:color w:val="auto"/>
        </w:rPr>
        <w:t>. This Lease may be executed in any number of counterparts, each of which shall be an original, but all of which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constitute one and the same instrument.</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2"/>
          <w:szCs w:val="12"/>
          <w:i w:val="1"/>
          <w:iCs w:val="1"/>
          <w:color w:val="auto"/>
        </w:rPr>
        <w:t>ECTION</w:t>
      </w:r>
      <w:r>
        <w:rPr>
          <w:rFonts w:ascii="Arial" w:cs="Arial" w:eastAsia="Arial" w:hAnsi="Arial"/>
          <w:sz w:val="18"/>
          <w:szCs w:val="18"/>
          <w:i w:val="1"/>
          <w:iCs w:val="1"/>
          <w:color w:val="auto"/>
        </w:rPr>
        <w:t xml:space="preserve"> 25.8. </w:t>
      </w:r>
      <w:r>
        <w:rPr>
          <w:rFonts w:ascii="Arial" w:cs="Arial" w:eastAsia="Arial" w:hAnsi="Arial"/>
          <w:sz w:val="18"/>
          <w:szCs w:val="18"/>
          <w:b w:val="1"/>
          <w:bCs w:val="1"/>
          <w:i w:val="1"/>
          <w:iCs w:val="1"/>
          <w:color w:val="auto"/>
        </w:rPr>
        <w:t>G</w:t>
      </w:r>
      <w:r>
        <w:rPr>
          <w:rFonts w:ascii="Arial" w:cs="Arial" w:eastAsia="Arial" w:hAnsi="Arial"/>
          <w:sz w:val="12"/>
          <w:szCs w:val="12"/>
          <w:b w:val="1"/>
          <w:bCs w:val="1"/>
          <w:i w:val="1"/>
          <w:iCs w:val="1"/>
          <w:color w:val="auto"/>
        </w:rPr>
        <w:t>OVERNING</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L</w:t>
      </w:r>
      <w:r>
        <w:rPr>
          <w:rFonts w:ascii="Arial" w:cs="Arial" w:eastAsia="Arial" w:hAnsi="Arial"/>
          <w:sz w:val="12"/>
          <w:szCs w:val="12"/>
          <w:b w:val="1"/>
          <w:bCs w:val="1"/>
          <w:i w:val="1"/>
          <w:iCs w:val="1"/>
          <w:color w:val="auto"/>
        </w:rPr>
        <w:t>AW</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LEASE SHALL BE GOVERNED BY, AND CONSTRUED AND INTERPRETED IN ACCORDANCE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WITH, THE LAWS OF THE STATE OF NEW YORK, WITHOUT REGARD TO CONFLICTS OF LAW PRINCIPLES (OTHER THAN TITLE 14 OF ARTICLE 5 OF THE NEW YORK GENERAL OBLIGATIONS LAW), EXCEPT AS TO MATTERS RELATING TO THE CREATION OF THE LEASEHOLD ESTATE HEREUNDER AND THE EXERCISE OF RIGHTS AND REMEDIES WITH RESPECT THERETO, WHICH SHALL BE GOVERNED BY AND CONSTRUED IN ACCORDANCE WITH THE LAW OF THE STATE OF NEW YORK. WITHOUT LIMITING THE FOREGOING, IN THE EVENT THAT THIS LEASE IS DEEMED TO CONSTITUTE A FINANCING, WHICH IS THE INTENTION OF THE PARTIES, THE LAWS OF THE STATE OF NEW YORK, WITHOUT REGARD TO CONFLICTS OF LAWS PRINCIPLES (OTHER THAN TITLE 14 OF ARTICLE 5 OF THE NEW YORK GENERAL OBLIGATIONS LAW), SHALL GOVERN THE TERMS AND PROVISIONS OF THE INDEBTEDNESS EVIDENCED HEREBY, EXCEPT THAT THE CREATION, PERFECTION, EFFECT OF PERFECTION, PRIORITY AND ENFORCEMENT OF SECURITY INTERESTS AND LIENS IN THE LEASED PROPERTY AND COLLATERAL SHALL BE GOVERNED BY THE LAWS OF THE STATE OF NEW YORK AND, TO THE EXTENT APPLICABLE, THE UNIFORM COMMERCIAL CODE OF SUCH STATE (INCLUDING THE CHOICE OF LAW RULES UNDER SUCH UNIFORM COMMERCIAL CODE).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ind w:firstLine="324"/>
        <w:spacing w:after="0" w:line="257" w:lineRule="auto"/>
        <w:rPr>
          <w:sz w:val="20"/>
          <w:szCs w:val="20"/>
          <w:color w:val="auto"/>
        </w:rPr>
      </w:pPr>
      <w:r>
        <w:rPr>
          <w:rFonts w:ascii="Arial" w:cs="Arial" w:eastAsia="Arial" w:hAnsi="Arial"/>
          <w:sz w:val="18"/>
          <w:szCs w:val="18"/>
          <w:i w:val="1"/>
          <w:iCs w:val="1"/>
          <w:color w:val="auto"/>
        </w:rPr>
        <w:t>Section 25.9. Original Executed Counterpart of this Lease</w:t>
      </w:r>
      <w:r>
        <w:rPr>
          <w:rFonts w:ascii="Arial" w:cs="Arial" w:eastAsia="Arial" w:hAnsi="Arial"/>
          <w:sz w:val="18"/>
          <w:szCs w:val="18"/>
          <w:color w:val="auto"/>
        </w:rPr>
        <w:t>. The single executed original of this Lease marked “T</w:t>
      </w:r>
      <w:r>
        <w:rPr>
          <w:rFonts w:ascii="Arial" w:cs="Arial" w:eastAsia="Arial" w:hAnsi="Arial"/>
          <w:sz w:val="12"/>
          <w:szCs w:val="12"/>
          <w:color w:val="auto"/>
        </w:rPr>
        <w:t>HIS</w:t>
      </w:r>
      <w:r>
        <w:rPr>
          <w:rFonts w:ascii="Arial" w:cs="Arial" w:eastAsia="Arial" w:hAnsi="Arial"/>
          <w:sz w:val="18"/>
          <w:szCs w:val="18"/>
          <w:i w:val="1"/>
          <w:iCs w:val="1"/>
          <w:color w:val="auto"/>
        </w:rPr>
        <w:t xml:space="preserve"> </w:t>
      </w:r>
      <w:r>
        <w:rPr>
          <w:rFonts w:ascii="Arial" w:cs="Arial" w:eastAsia="Arial" w:hAnsi="Arial"/>
          <w:sz w:val="18"/>
          <w:szCs w:val="18"/>
          <w:color w:val="auto"/>
        </w:rPr>
        <w:t>C</w:t>
      </w:r>
      <w:r>
        <w:rPr>
          <w:rFonts w:ascii="Arial" w:cs="Arial" w:eastAsia="Arial" w:hAnsi="Arial"/>
          <w:sz w:val="12"/>
          <w:szCs w:val="12"/>
          <w:color w:val="auto"/>
        </w:rPr>
        <w:t>OUNTERPART IS</w:t>
      </w:r>
      <w:r>
        <w:rPr>
          <w:rFonts w:ascii="Arial" w:cs="Arial" w:eastAsia="Arial" w:hAnsi="Arial"/>
          <w:sz w:val="18"/>
          <w:szCs w:val="18"/>
          <w:i w:val="1"/>
          <w:iCs w:val="1"/>
          <w:color w:val="auto"/>
        </w:rPr>
        <w:t xml:space="preserve"> </w:t>
      </w: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i w:val="1"/>
          <w:iCs w:val="1"/>
          <w:color w:val="auto"/>
        </w:rPr>
        <w:t xml:space="preserve"> </w:t>
      </w:r>
      <w:r>
        <w:rPr>
          <w:rFonts w:ascii="Arial" w:cs="Arial" w:eastAsia="Arial" w:hAnsi="Arial"/>
          <w:sz w:val="18"/>
          <w:szCs w:val="18"/>
          <w:color w:val="auto"/>
        </w:rPr>
        <w:t>O</w:t>
      </w:r>
      <w:r>
        <w:rPr>
          <w:rFonts w:ascii="Arial" w:cs="Arial" w:eastAsia="Arial" w:hAnsi="Arial"/>
          <w:sz w:val="12"/>
          <w:szCs w:val="12"/>
          <w:color w:val="auto"/>
        </w:rPr>
        <w:t>RIGINAL</w:t>
      </w:r>
      <w:r>
        <w:rPr>
          <w:rFonts w:ascii="Arial" w:cs="Arial" w:eastAsia="Arial" w:hAnsi="Arial"/>
          <w:sz w:val="18"/>
          <w:szCs w:val="18"/>
          <w:i w:val="1"/>
          <w:iCs w:val="1"/>
          <w:color w:val="auto"/>
        </w:rPr>
        <w:t xml:space="preserve"> </w:t>
      </w:r>
      <w:r>
        <w:rPr>
          <w:rFonts w:ascii="Arial" w:cs="Arial" w:eastAsia="Arial" w:hAnsi="Arial"/>
          <w:sz w:val="18"/>
          <w:szCs w:val="18"/>
          <w:color w:val="auto"/>
        </w:rPr>
        <w:t>E</w:t>
      </w:r>
      <w:r>
        <w:rPr>
          <w:rFonts w:ascii="Arial" w:cs="Arial" w:eastAsia="Arial" w:hAnsi="Arial"/>
          <w:sz w:val="12"/>
          <w:szCs w:val="12"/>
          <w:color w:val="auto"/>
        </w:rPr>
        <w:t>XECUTED</w:t>
      </w:r>
      <w:r>
        <w:rPr>
          <w:rFonts w:ascii="Arial" w:cs="Arial" w:eastAsia="Arial" w:hAnsi="Arial"/>
          <w:sz w:val="18"/>
          <w:szCs w:val="18"/>
          <w:color w:val="auto"/>
        </w:rPr>
        <w:t xml:space="preserve"> C</w:t>
      </w:r>
      <w:r>
        <w:rPr>
          <w:rFonts w:ascii="Arial" w:cs="Arial" w:eastAsia="Arial" w:hAnsi="Arial"/>
          <w:sz w:val="12"/>
          <w:szCs w:val="12"/>
          <w:color w:val="auto"/>
        </w:rPr>
        <w:t>OUNTERPART</w:t>
      </w:r>
      <w:r>
        <w:rPr>
          <w:rFonts w:ascii="Arial" w:cs="Arial" w:eastAsia="Arial" w:hAnsi="Arial"/>
          <w:sz w:val="18"/>
          <w:szCs w:val="18"/>
          <w:color w:val="auto"/>
        </w:rPr>
        <w:t xml:space="preserve">” on the signature page thereof and containing the receipt thereof of Administrative Agent, on or following the signature page thereof shall be the Original Executed Counterpart of this Lease (the </w:t>
      </w:r>
      <w:r>
        <w:rPr>
          <w:rFonts w:ascii="Arial" w:cs="Arial" w:eastAsia="Arial" w:hAnsi="Arial"/>
          <w:sz w:val="18"/>
          <w:szCs w:val="18"/>
          <w:i w:val="1"/>
          <w:iCs w:val="1"/>
          <w:color w:val="auto"/>
        </w:rPr>
        <w:t>“Original Executed Counterpart”</w:t>
      </w:r>
      <w:r>
        <w:rPr>
          <w:rFonts w:ascii="Arial" w:cs="Arial" w:eastAsia="Arial" w:hAnsi="Arial"/>
          <w:sz w:val="18"/>
          <w:szCs w:val="18"/>
          <w:color w:val="auto"/>
        </w:rPr>
        <w:t>). To the extent that this Lease constitutes chattel paper, as such term is defined in the UCC, no security interest in this Lease may be created through the transfer or possession of any counterpart other than the Original Executed Counterpart or as otherwise provided in the Previously Existing Lease.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Section 25.10. Limitations on Recourse</w:t>
      </w:r>
      <w:r>
        <w:rPr>
          <w:rFonts w:ascii="Arial" w:cs="Arial" w:eastAsia="Arial" w:hAnsi="Arial"/>
          <w:sz w:val="16"/>
          <w:szCs w:val="16"/>
          <w:color w:val="auto"/>
        </w:rPr>
        <w:t>. The parties hereto agree that, except as specifically set forth in this Lease or in any other Operative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Document, Lessor shall have no personal liability whatsoever to the Lessee, the Rent Assignees, the Administrative Agent or any of their respective successors and assigns for any claim based on or in respect of this Lease or any of the other Operative Documents or arising in any way from the Overall Transaction;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Lessor shall be liable (a) for its own willful misconduct or gross negligence (or negligence in the handling of funds),</w:t>
      </w:r>
    </w:p>
    <w:p>
      <w:pPr>
        <w:spacing w:after="0" w:line="1" w:lineRule="exact"/>
        <w:rPr>
          <w:sz w:val="20"/>
          <w:szCs w:val="20"/>
          <w:color w:val="auto"/>
        </w:rPr>
      </w:pPr>
    </w:p>
    <w:p>
      <w:pPr>
        <w:jc w:val="both"/>
        <w:ind w:firstLine="8"/>
        <w:spacing w:after="0" w:line="252" w:lineRule="auto"/>
        <w:tabs>
          <w:tab w:leader="none" w:pos="25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for any Tax based on, with respect to or measured by any income, fees, commission, compensation or other amounts received by it as compensation for services (including for acting as Lessor) or otherwise under, or as contemplated by, the Operative Documents, (c) Lessor Liens on the Leased Property which are attributable to it, (d) for its representations and warranties made in the Participation Agreement or in any certificate or documents delivered pursuant thereto, (e) for its failure to perform any of its covenants and agreements set forth in the Participation Agreement or any other Operative Document, and (f) as otherwise expressly provided in the Operative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no event shall Lessor’s liability exceed the amount of its interest in the Facility (except that, notwithstanding this proviso, Lessor shall remain liable for actual damages caused by its gross negligence or willful misconduct).</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Section 25.11. Transfer of Leased Property</w:t>
      </w:r>
      <w:r>
        <w:rPr>
          <w:rFonts w:ascii="Arial" w:cs="Arial" w:eastAsia="Arial" w:hAnsi="Arial"/>
          <w:sz w:val="16"/>
          <w:szCs w:val="16"/>
          <w:color w:val="auto"/>
        </w:rPr>
        <w:t>. (a) Except as otherwise provided herein, whenever pursuant to any provision of this Lease Lessor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transfer the Leased Property to Lessee or to an independent third party, such transfer shall be made at Lessee’s expense in accordance with this Lease by the transfer by an assignment of Lessor’s interest and without covenants or warranties of title, except for matters arising by, through or under Lessor, of all of Lessor’s interest in and to the Leased Property on an “as is, where is, with all faults” basis free and clear of all Lessor Liens attributable to Lessor and otherwise without recourse, representation or warranty of any kind, and together with the due assumption by Lessee (or such third party) of, and due release of Lessor from, all obligations relating to the Leased Property or any of the Operative Documents. In connection with any transfer to an independent third party, Lessee shall execute and deliver such customary and reasonable documents, certificates and estoppels as may be required to facilitate the transfer of the Leased Property. Any provision in this Lease or any other Operative Document to the contrary notwithstanding, Lessor shall not be obligated to make any such transfer until Lessor and the Participants have received all Rent and other amounts then due and owing hereunder and under the other Operative Documents including any Break Costs. At or subsequent to the transfer or return of the Leased Property, Lessee will provide Lessor with such lien and title searches as Lessor may reasonably request to demonstrate to Lessor’s satisfaction that the Leased Property is subject to no Liens (other than Lessor Liens) for which Lessor would be liable under any warranties of title.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ind w:firstLine="656"/>
        <w:spacing w:after="0" w:line="293" w:lineRule="auto"/>
        <w:tabs>
          <w:tab w:leader="none" w:pos="112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Lessee may assign to another Person its right, upon a purchase by Lessee, to take title to the Leased Property pursuant to Section 21.1;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Lessee shall exercise any option, (ii) such assignee shall be bound by the provisions of Section 21.1, (iii) Lessee shall have represented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instrument in writing and delivered to Lessor that all necessary Governmental Actions with respect to such transfer, including the purchase of the Leased Property by any other Person as contemplated herein, have been obtained or made (or, substantially concurrently with the consummation of such transfer, will have been obtained or made, as applicable, and (iv) no such assignment shall release Lessee from its obligations under the Operative Documents, and Lessee shall remain personally liable to Lessor for the payment of all amounts due under any such Section and this Section 25.11.</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Section 25.12. Memorandum of Lease</w:t>
      </w:r>
      <w:r>
        <w:rPr>
          <w:rFonts w:ascii="Arial" w:cs="Arial" w:eastAsia="Arial" w:hAnsi="Arial"/>
          <w:sz w:val="18"/>
          <w:szCs w:val="18"/>
          <w:color w:val="auto"/>
        </w:rPr>
        <w:t>. (a) On the Original Closing Date, the Lessee and Lessor executed a Memorandum of Lease and Remedies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substantially in the form attached as Exhibit B to the Previously Existing Lease (the “</w:t>
      </w:r>
      <w:r>
        <w:rPr>
          <w:rFonts w:ascii="Arial" w:cs="Arial" w:eastAsia="Arial" w:hAnsi="Arial"/>
          <w:sz w:val="18"/>
          <w:szCs w:val="18"/>
          <w:i w:val="1"/>
          <w:iCs w:val="1"/>
          <w:color w:val="auto"/>
        </w:rPr>
        <w:t>Previously Existing Memorandum of Lease</w:t>
      </w:r>
      <w:r>
        <w:rPr>
          <w:rFonts w:ascii="Arial" w:cs="Arial" w:eastAsia="Arial" w:hAnsi="Arial"/>
          <w:sz w:val="18"/>
          <w:szCs w:val="18"/>
          <w:color w:val="auto"/>
        </w:rPr>
        <w:t>”) and caused the same to be recorded in the Office of the County Clerk of the County of Westchester, New York.</w:t>
      </w:r>
    </w:p>
    <w:p>
      <w:pPr>
        <w:spacing w:after="0" w:line="184" w:lineRule="exact"/>
        <w:rPr>
          <w:sz w:val="20"/>
          <w:szCs w:val="20"/>
          <w:color w:val="auto"/>
        </w:rPr>
      </w:pPr>
    </w:p>
    <w:p>
      <w:pPr>
        <w:jc w:val="both"/>
        <w:ind w:firstLine="656"/>
        <w:spacing w:after="0" w:line="259" w:lineRule="auto"/>
        <w:tabs>
          <w:tab w:leader="none" w:pos="112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On the Execution Date, the Lessee and Lessor executed the Memorandum of Lease Amendment attached as Exhibit B hereto, which shall be effective as of, and the Previously Existing Memorandum of Lease shall be amended and modified as set forth therein on, the Restatement Date. On the Restatement Date, the Lessee and Lessor shall cause the Memorandum of Lease Amendment to be recorded in the Office of the County Clerk of the County of Westchester, New York.</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Section 25.13. Further Assurances</w:t>
      </w:r>
      <w:r>
        <w:rPr>
          <w:rFonts w:ascii="Arial" w:cs="Arial" w:eastAsia="Arial" w:hAnsi="Arial"/>
          <w:sz w:val="18"/>
          <w:szCs w:val="18"/>
          <w:color w:val="auto"/>
        </w:rPr>
        <w:t>. Lessee and Lessor acknowledge and agree that the provisions of Section 15.11 of the Participation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are incorporated by reference herein.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firstLine="324"/>
        <w:spacing w:after="0" w:line="286" w:lineRule="auto"/>
        <w:rPr>
          <w:sz w:val="20"/>
          <w:szCs w:val="20"/>
          <w:color w:val="auto"/>
        </w:rPr>
      </w:pPr>
      <w:r>
        <w:rPr>
          <w:rFonts w:ascii="Arial" w:cs="Arial" w:eastAsia="Arial" w:hAnsi="Arial"/>
          <w:sz w:val="16"/>
          <w:szCs w:val="16"/>
          <w:i w:val="1"/>
          <w:iCs w:val="1"/>
          <w:color w:val="auto"/>
        </w:rPr>
        <w:t>Section 25.14. Effect of Restatement</w:t>
      </w:r>
      <w:r>
        <w:rPr>
          <w:rFonts w:ascii="Arial" w:cs="Arial" w:eastAsia="Arial" w:hAnsi="Arial"/>
          <w:sz w:val="16"/>
          <w:szCs w:val="16"/>
          <w:color w:val="auto"/>
        </w:rPr>
        <w:t>. This Lease shall be effective as of, and the Previously Existing Lease shall be amended and restated as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in this Lease on, the Restatement Date. The parties hereto acknowledge and agree, however, that (a) this Lease and the other Restated Operative Documents do not constitute a novation or termination of the Obligations under and as defined in the Previously Existing Lease or under the other Operative Documents as in effect immediately prior to the Restatement Date, (b) such Obligations are in all respects continuing with only the terms being modified from and after the Restatement Date as provided in this Lease and the other Restated Operative Documents, (c) the Guaranty, as amended and restated as of the Restatement Date, is in all respects continuing and remains in full force and effect with respect to all Liabilities (as defined therein), (d) except as provided for in, or contemplated by, the Restated Operative Documents, the mortgage, liens and security interests in favor of the Lessor securing payment of such Obligations are in all respects continuing and in full force and effect with respect to all Obligations, (e) nothing contained in any Restated Operative Document shall terminate, nullify or otherwise modify the terms or scope of any consent granted to the Lessee or any Guarantor prior to the Restatement Date in connection with the Previously Existing Lease or any other Operative Document pursuant to any consent agreement or similar agreement entered into by the Lessee, the Administrative Agent, and the requisite Participants party thereto, and (f) except to the extent the context requires otherwise, from and after the Restatement Date, all references in the other Operative Documents to the “Lease” and all other references in the other Operative Documents originally applicable to the Previously Existing Lease shall be deemed to refer without further amendment to this Lease, as amended, restated, supplemented or otherwise modified from time to time in accordance with the terms hereof.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7" w:name="page198"/>
    <w:bookmarkEnd w:id="197"/>
    <w:p>
      <w:pPr>
        <w:ind w:firstLine="648"/>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the parties have caused this Second Amended and Restated Lease and Remedies Agreement to be duly executed and delivered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Lessee</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Leonard N. Brooks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Second Amended and Restated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 a Delaware limited liability company, as Lessor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Erin M.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Erin M. Parks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 Page to Second Amended and Restated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00"/>
          </w:cols>
          <w:pgMar w:left="1440" w:top="908" w:right="75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EMEDIES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ESCRIPTION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that certain plot, piece of land, situate, lying and being in the Town of Greenburgh, County of Westchester, and State of New York, being designated as Lot P-2 on a certain map entitled "Final Subdivision Plat prepared for Eastview Holdings LLC of premises located at Old Saw Mill River Road and NYS Route 9A, Town of Greenburgh, Westchester County, New York Scale 1"=100'" prepared by John Meyer Consulting, PC, dated March 23, 2004 and last revised March 13, 2006, and filed on April 8, 2006 in the Office of the County Clerk of the County of Westchester as Filed Map No. 27754, and being more particularly described as: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at a rebar set on the southwesterly right of way line of Old Saw Mill River Road, where said rebar is located South 35°43'37"West, a distance of 101.93 feet from the intersection formed by the dividing line between the lands n/f BMR-LANDMARK AT EASTVIEW (SBL 116.15-1-2.2 in the Town of Mount Pleasant), and other lands of BMR-LANDMARK AT EASTVIEW(SBL 116.15-1-2.1 in the Town of Mount Pleasant), thence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reputed owner Town of Greenburgh</w:t>
      </w:r>
    </w:p>
    <w:p>
      <w:pPr>
        <w:spacing w:after="0" w:line="225" w:lineRule="exact"/>
        <w:rPr>
          <w:sz w:val="20"/>
          <w:szCs w:val="20"/>
          <w:color w:val="auto"/>
        </w:rPr>
      </w:pPr>
    </w:p>
    <w:p>
      <w:pPr>
        <w:ind w:left="180" w:hanging="172"/>
        <w:spacing w:after="0"/>
        <w:tabs>
          <w:tab w:leader="none" w:pos="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South 00°05'33" East a distance of 93.33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18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100.00 feet, turning a central angle of 21°36'34", for an arc length of 37.72 feet, the chord of said arc bearing South 10°42'49" West for a distance of 37.50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South 21°31'01" West a distance of 81.08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1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98.25 feet, turning a central angle of 17°06'57", for an arc length of 29.35 feet, the chord of said arc bearing South 12°57'32" West for a distance of 29.24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South 04°24'12" West a distance of 32.56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South 03°48'59" West a distance of 30.15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South 02°34'01" West a distance of 90.30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1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305.09 feet, turning a central angle of 34°07'44", for an arc length of 181.73 feet, the chord of said arc bearing South 19°37'53" West for a distance of 179.06 feet to a rebar set, thence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Second Amended and Restated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ind w:right="260" w:firstLine="8"/>
        <w:spacing w:after="0" w:line="277" w:lineRule="auto"/>
        <w:tabs>
          <w:tab w:leader="none" w:pos="1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Along a reverse curve to the left having a radius of 362.65 feet, turning a central angle of 33°16'57", for an arc length of 210.66 feet, the chord of said arc bearing South 20°03'17" West for a distance of 207.71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South 03°24'29" West a distance of 152.00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6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172.07 feet, turning a central angle of 31°44'41", for an arc length of 95.33 feet, the chord of said arc bearing South 19°16'50" West for a distance of 94.12 feet to a rebar set, thence</w:t>
      </w:r>
    </w:p>
    <w:p>
      <w:pPr>
        <w:spacing w:after="0" w:line="170" w:lineRule="exact"/>
        <w:rPr>
          <w:rFonts w:ascii="Arial" w:cs="Arial" w:eastAsia="Arial" w:hAnsi="Arial"/>
          <w:sz w:val="18"/>
          <w:szCs w:val="18"/>
          <w:color w:val="auto"/>
        </w:rPr>
      </w:pPr>
    </w:p>
    <w:p>
      <w:pPr>
        <w:ind w:firstLine="8"/>
        <w:spacing w:after="0" w:line="277" w:lineRule="auto"/>
        <w:tabs>
          <w:tab w:leader="none" w:pos="27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139.47 feet, turning a central angle of 71°37'16", for an arc length of 174.34 feet, the chord of said arc bearing South 70°57'49" West for a distance of 163.21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North 73°13'58" West a distance of 128.84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South 16°03'11" West a distance of 16.68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North 73°56'49" West a distance of 29.11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242.01 feet, turning a central angle of 35°55'48", for an arc length of 151.76 feet, the chord of said arc bearing South 88°05'17" West for a distance of 149.29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South 70°07'17" West a distance of 92.14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440.98 feet, turning a central angle of 40°10'49", for an arc length of 309.25 feet, the chord of said arc bearing North 89°47'19" West for a distance of 302.95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South 20°18'00" West a distance of 20.89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North 65°49'54" West a distance of 101.52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1530.00 feet, turning a central angle of 21°27'50", for an arc length of 573.16 feet, the chord of said arc bearing North 55°05'59" West for a distance of 569.81 feet to a rebar set, thence</w:t>
      </w:r>
    </w:p>
    <w:p>
      <w:pPr>
        <w:spacing w:after="0" w:line="170" w:lineRule="exact"/>
        <w:rPr>
          <w:rFonts w:ascii="Arial" w:cs="Arial" w:eastAsia="Arial" w:hAnsi="Arial"/>
          <w:sz w:val="18"/>
          <w:szCs w:val="18"/>
          <w:color w:val="auto"/>
        </w:rPr>
      </w:pPr>
    </w:p>
    <w:p>
      <w:pPr>
        <w:ind w:firstLine="8"/>
        <w:spacing w:after="0" w:line="277" w:lineRule="auto"/>
        <w:tabs>
          <w:tab w:leader="none" w:pos="27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400.00 feet, turning a central angle of 37°36'43", for an arc length of 262.58 feet, the chord of said arc bearing North 25°33'43" West for a distance of 257.89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South 58°03'06" West a distance of 1501.30 feet to a rebar set, thence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North 11°11'33" West a distance of 441.76 feet to a rebar set, thence</w:t>
      </w:r>
    </w:p>
    <w:p>
      <w:pPr>
        <w:spacing w:after="0" w:line="225" w:lineRule="exact"/>
        <w:rPr>
          <w:rFonts w:ascii="Arial" w:cs="Arial" w:eastAsia="Arial" w:hAnsi="Arial"/>
          <w:sz w:val="18"/>
          <w:szCs w:val="18"/>
          <w:color w:val="auto"/>
        </w:rPr>
      </w:pPr>
    </w:p>
    <w:p>
      <w:pPr>
        <w:jc w:val="both"/>
        <w:ind w:firstLine="8"/>
        <w:spacing w:after="0" w:line="263" w:lineRule="auto"/>
        <w:tabs>
          <w:tab w:leader="none" w:pos="27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Along reputed owner Consolidated Edison Company of New York, Inc North 34°43'49" East a distance of 1146.62 feet to a rebar set, thence Running the following courses and distances along Lot 1 on a map entitled "Final Subdivision Plat Prepared for Eastview Holdings LLC" filed in the Westchester County Clerk's Office, Division of Land Records on 11/15/2005 as Map No. 27669</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South 55°16'11" East a distance of 225.33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South 67°59'01" East a distance of 614.61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Along a non-tangent curve to the right having a radius of 1124.93 feet, turning a central angle of 16°12'11", for an arc length of 318.13 feet, the chord of said arc bearing North 30°03'42" East for a distance of 317.07 feet to a rebar set, thence</w:t>
      </w:r>
    </w:p>
    <w:p>
      <w:pPr>
        <w:spacing w:after="0" w:line="170" w:lineRule="exact"/>
        <w:rPr>
          <w:rFonts w:ascii="Arial" w:cs="Arial" w:eastAsia="Arial" w:hAnsi="Arial"/>
          <w:sz w:val="18"/>
          <w:szCs w:val="18"/>
          <w:color w:val="auto"/>
        </w:rPr>
      </w:pPr>
    </w:p>
    <w:p>
      <w:pPr>
        <w:ind w:firstLine="8"/>
        <w:spacing w:after="0" w:line="277" w:lineRule="auto"/>
        <w:tabs>
          <w:tab w:leader="none" w:pos="27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450.05 feet, turning a central angle of 10°26'59", for an arc length of 82.08 feet, the chord of said arc bearing North 43°23'17" East for a distance of 81.97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North 32°22'35" East a distance of 262.04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North 27°10'46" East a distance of 172.97 feet to a rebar set, thence Running the following courses and distances along the southwesterly right of way line of Old Sawmill River Road,</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South 63°22'33" East a distance of 24.28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South 68°16'40" East a distance of 63.98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South 71°57'20" East a distance of 48.14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South 75°31'00" East a distance of 167.65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South 75°03'30" East a distance of 417.19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South 71°58'00" East a distance of 46.04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South 70°36'00" East a distance of 53.02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South 67°40'50" East a distance of 36.36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South 66°14'50" East a distance of 71.78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South 63°42'50" East a distance of 155.58 feet to a rebar set, thence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42. South 63°47'50" East a distance of 270.49 feet to the rebar set and place of beginning.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7.71, Block 6, Lot 1 (Sub Lots 1.1, 1.1A, 1.1B, 1.1C and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 AND EXCEPTING THEREFROM:</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lease parcel over a parcel of land situate, lying and being in the Town of Greenburgh, County of Westchester and State of New York, more particularly bounded and described as follows: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Commencing at the point along the southerly line Old Saw Mill River Road at its point of intersection with the division line between Tax Lot P-2 as shown on a map titled “Final Subdivision Plat Prepared for Eastview Holdings LLC” prepared by John Meyer Consulting, PC, last dated March 13, 2006 and filed in the Westchester County Clerk’s Office as Map No. 27754 on April 18, 2006 on the west and Lot 2 as shown on a map titled “Final Subdivision Plat Prepared for Loop Road Holdings LLC” prepared by JMC Planning, Engineering, Landscape Architecture and Land Surveying, last dated September 16, 2020 and filed in the Westchester County Clerk’s Office as Map No. 29515 on March 8, 2021 on the east;</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Thence running from point of commencement along said southerly line Old Saw Mill River Road, South 63 degrees 47 minutes 50 seconds East, 105.55 feet and southeasterly along the arc of a curve to the right having a radius of 954.67 feet, a central angle of 02 degrees 43 minutes 44 seconds and an arc length of 45.47 feet to its point of intersection with the westerly line of the Variable Width Access Easement as shown on said Map No. 29515;</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through said Lot 2 and coincident with the said westerly line of the Variable Width Access Easement, South 04 degrees 34 minutes 16 seconds East, 29.80 feet and South 50 degrees 51 minutes 46 seconds West, 149.71 feet to a point;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continuing through said Lot 2 and coincident with the said westerly line of the Variable Width Access Easement and in part through the aforesaid Tax Lot P-2, southwesterly along the arc of a curve to the left having a radius of 208.00 feet, a central angle of 48 degrees 17 minutes 56 seconds and an arc length of 175.34 feet to a point of tangency;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spacing w:after="0" w:line="277" w:lineRule="auto"/>
        <w:rPr>
          <w:sz w:val="20"/>
          <w:szCs w:val="20"/>
          <w:color w:val="auto"/>
        </w:rPr>
      </w:pPr>
      <w:r>
        <w:rPr>
          <w:rFonts w:ascii="Arial" w:cs="Arial" w:eastAsia="Arial" w:hAnsi="Arial"/>
          <w:sz w:val="18"/>
          <w:szCs w:val="18"/>
          <w:color w:val="auto"/>
        </w:rPr>
        <w:t>Thence continuing through said Tax Lot P-2 and coincident with the said westerly line of the Variable Width Access Easement the following five (5) courses and distances:</w:t>
      </w:r>
    </w:p>
    <w:p>
      <w:pPr>
        <w:spacing w:after="0" w:line="170" w:lineRule="exact"/>
        <w:rPr>
          <w:sz w:val="20"/>
          <w:szCs w:val="20"/>
          <w:color w:val="auto"/>
        </w:rPr>
      </w:pPr>
    </w:p>
    <w:p>
      <w:pPr>
        <w:ind w:left="420" w:hanging="412"/>
        <w:spacing w:after="0"/>
        <w:tabs>
          <w:tab w:leader="none" w:pos="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South 02 degrees 33 minutes 50 seconds West, 39.29 feet to a point of curvature;</w:t>
      </w:r>
    </w:p>
    <w:p>
      <w:pPr>
        <w:spacing w:after="0" w:line="225" w:lineRule="exact"/>
        <w:rPr>
          <w:rFonts w:ascii="Arial" w:cs="Arial" w:eastAsia="Arial" w:hAnsi="Arial"/>
          <w:sz w:val="18"/>
          <w:szCs w:val="18"/>
          <w:color w:val="auto"/>
        </w:rPr>
      </w:pPr>
    </w:p>
    <w:p>
      <w:pPr>
        <w:ind w:right="20" w:firstLine="8"/>
        <w:spacing w:after="0" w:line="277" w:lineRule="auto"/>
        <w:tabs>
          <w:tab w:leader="none" w:pos="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Southerly along the arc of a curve to the right having a radius of 302.00 feet, a central angle of 34 degrees 08 minutes 22 seconds and an arc length of 179.95 feet to a point of tangency;</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South 36 degrees 42 minutes 12 seconds West, 68.53 feet to a point of curvature;</w:t>
      </w:r>
    </w:p>
    <w:p>
      <w:pPr>
        <w:spacing w:after="0" w:line="225" w:lineRule="exact"/>
        <w:rPr>
          <w:rFonts w:ascii="Arial" w:cs="Arial" w:eastAsia="Arial" w:hAnsi="Arial"/>
          <w:sz w:val="18"/>
          <w:szCs w:val="18"/>
          <w:color w:val="auto"/>
        </w:rPr>
      </w:pPr>
    </w:p>
    <w:p>
      <w:pPr>
        <w:ind w:firstLine="8"/>
        <w:spacing w:after="0" w:line="277" w:lineRule="auto"/>
        <w:tabs>
          <w:tab w:leader="none" w:pos="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Southerly along the arc of a curve to the left having a radius of 258.00 feet, a central angle of 33 degrees 17 minutes 48 seconds and an arc length of 149.93 feet to a point of tangency;</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South 03 degrees 24 minutes 23 seconds West, 5.12 feet to the Point of Beginning;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running from said Point of Beginning continuing through said Tax Lot P-2 and coincident with the said westerly line the Variable Width Access Easement the following thirteen (13) courses and distances:</w:t>
      </w:r>
    </w:p>
    <w:p>
      <w:pPr>
        <w:spacing w:after="0" w:line="170" w:lineRule="exact"/>
        <w:rPr>
          <w:sz w:val="20"/>
          <w:szCs w:val="20"/>
          <w:color w:val="auto"/>
        </w:rPr>
      </w:pPr>
    </w:p>
    <w:p>
      <w:pPr>
        <w:ind w:left="420" w:hanging="412"/>
        <w:spacing w:after="0"/>
        <w:tabs>
          <w:tab w:leader="none" w:pos="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South 03 degrees 24 minutes 23 seconds West, 150.29 feet to a point of curvature;</w:t>
      </w:r>
    </w:p>
    <w:p>
      <w:pPr>
        <w:spacing w:after="0" w:line="225" w:lineRule="exact"/>
        <w:rPr>
          <w:rFonts w:ascii="Arial" w:cs="Arial" w:eastAsia="Arial" w:hAnsi="Arial"/>
          <w:sz w:val="18"/>
          <w:szCs w:val="18"/>
          <w:color w:val="auto"/>
        </w:rPr>
      </w:pPr>
    </w:p>
    <w:p>
      <w:pPr>
        <w:ind w:right="20" w:firstLine="8"/>
        <w:spacing w:after="0" w:line="277" w:lineRule="auto"/>
        <w:tabs>
          <w:tab w:leader="none" w:pos="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Southerly along the arc of a curve to the right having a radius of 149.00 feet, a central angle of 31 degrees 45 minutes 25 seconds and an arc length of 82.59 feet to a point of compound curvature;</w:t>
      </w:r>
    </w:p>
    <w:p>
      <w:pPr>
        <w:spacing w:after="0" w:line="170" w:lineRule="exact"/>
        <w:rPr>
          <w:rFonts w:ascii="Arial" w:cs="Arial" w:eastAsia="Arial" w:hAnsi="Arial"/>
          <w:sz w:val="18"/>
          <w:szCs w:val="18"/>
          <w:color w:val="auto"/>
        </w:rPr>
      </w:pPr>
    </w:p>
    <w:p>
      <w:pPr>
        <w:ind w:firstLine="8"/>
        <w:spacing w:after="0" w:line="277" w:lineRule="auto"/>
        <w:tabs>
          <w:tab w:leader="none" w:pos="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Southwesterly along the arc of a curve to the right having a radius of 116.50 feet, a central angle of 46 degrees 24 minutes 41 seconds and an arc length of 94.37 feet to a point of compound curvature;</w:t>
      </w:r>
    </w:p>
    <w:p>
      <w:pPr>
        <w:sectPr>
          <w:pgSz w:w="11900" w:h="16838" w:orient="portrait"/>
          <w:cols w:equalWidth="0" w:num="1">
            <w:col w:w="11240"/>
          </w:cols>
          <w:pgMar w:left="320" w:top="908" w:right="339" w:bottom="254" w:gutter="0" w:footer="0" w:header="0"/>
        </w:sectPr>
      </w:pPr>
    </w:p>
    <w:p>
      <w:pPr>
        <w:spacing w:after="0" w:line="170"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Westerly along the arc of a curve to the right having a radius of 8.00 feet, a central angle of 49 degrees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6.92 feet to a point of reverse curvature;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33 minutes 45 seconds and an arc length of</w:t>
      </w:r>
    </w:p>
    <w:p>
      <w:pPr>
        <w:spacing w:after="0" w:line="453" w:lineRule="exact"/>
        <w:rPr>
          <w:sz w:val="20"/>
          <w:szCs w:val="20"/>
          <w:color w:val="auto"/>
        </w:rPr>
      </w:pPr>
    </w:p>
    <w:p>
      <w:pPr>
        <w:sectPr>
          <w:pgSz w:w="11900" w:h="16838" w:orient="portrait"/>
          <w:cols w:equalWidth="0" w:num="2">
            <w:col w:w="7820" w:space="300"/>
            <w:col w:w="3120"/>
          </w:cols>
          <w:pgMar w:left="320" w:top="908" w:right="339" w:bottom="254" w:gutter="0" w:footer="0" w:header="0"/>
          <w:type w:val="continuous"/>
        </w:sectPr>
      </w:pPr>
    </w:p>
    <w:p>
      <w:pPr>
        <w:spacing w:after="0" w:line="11"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Westerly along the arc of a curve to the left having a radius of 8.00 feet, a central angle of 43 degrees 42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6.10 feet to a point of reverse curvature;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minutes 49 seconds and an arc length of</w:t>
      </w:r>
    </w:p>
    <w:p>
      <w:pPr>
        <w:spacing w:after="0" w:line="453" w:lineRule="exact"/>
        <w:rPr>
          <w:sz w:val="20"/>
          <w:szCs w:val="20"/>
          <w:color w:val="auto"/>
        </w:rPr>
      </w:pPr>
    </w:p>
    <w:p>
      <w:pPr>
        <w:sectPr>
          <w:pgSz w:w="11900" w:h="16838" w:orient="portrait"/>
          <w:cols w:equalWidth="0" w:num="2">
            <w:col w:w="8020" w:space="300"/>
            <w:col w:w="2920"/>
          </w:cols>
          <w:pgMar w:left="320" w:top="908" w:right="339" w:bottom="254" w:gutter="0" w:footer="0" w:header="0"/>
          <w:type w:val="continuous"/>
        </w:sectPr>
      </w:pPr>
    </w:p>
    <w:p>
      <w:pPr>
        <w:spacing w:after="0" w:line="11" w:lineRule="exact"/>
        <w:rPr>
          <w:sz w:val="20"/>
          <w:szCs w:val="20"/>
          <w:color w:val="auto"/>
        </w:rPr>
      </w:pPr>
    </w:p>
    <w:p>
      <w:pPr>
        <w:ind w:firstLine="8"/>
        <w:spacing w:after="0" w:line="277" w:lineRule="auto"/>
        <w:tabs>
          <w:tab w:leader="none" w:pos="4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Westerly along the arc of a curve to the left having a radius of 111.50 feet, a central angle of 19 degrees 20 minutes 30 seconds and an arc length of 37.64 feet to a point of tangency;</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North 73 degrees 14 minutes 05 seconds West, 116.04 feet to a point of curvature;</w:t>
      </w:r>
    </w:p>
    <w:p>
      <w:pPr>
        <w:spacing w:after="0" w:line="225" w:lineRule="exact"/>
        <w:rPr>
          <w:rFonts w:ascii="Arial" w:cs="Arial" w:eastAsia="Arial" w:hAnsi="Arial"/>
          <w:sz w:val="18"/>
          <w:szCs w:val="18"/>
          <w:color w:val="auto"/>
        </w:rPr>
      </w:pPr>
    </w:p>
    <w:p>
      <w:pPr>
        <w:ind w:firstLine="8"/>
        <w:spacing w:after="0" w:line="277" w:lineRule="auto"/>
        <w:tabs>
          <w:tab w:leader="none" w:pos="4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Westerly along the arc of a curve to the left having a radius of 285.00 feet, a central angle of 12 degrees 29 minutes 13 seconds and an arc length of 62.11 feet to a point of compound curvature;</w:t>
      </w:r>
    </w:p>
    <w:p>
      <w:pPr>
        <w:sectPr>
          <w:pgSz w:w="11900" w:h="16838" w:orient="portrait"/>
          <w:cols w:equalWidth="0" w:num="1">
            <w:col w:w="11240"/>
          </w:cols>
          <w:pgMar w:left="320" w:top="908" w:right="339" w:bottom="254" w:gutter="0" w:footer="0" w:header="0"/>
          <w:type w:val="continuous"/>
        </w:sectPr>
      </w:pPr>
    </w:p>
    <w:p>
      <w:pPr>
        <w:spacing w:after="0" w:line="170"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9)</w:t>
      </w:r>
      <w:r>
        <w:rPr>
          <w:sz w:val="20"/>
          <w:szCs w:val="20"/>
          <w:color w:val="auto"/>
        </w:rPr>
        <w:tab/>
      </w:r>
      <w:r>
        <w:rPr>
          <w:rFonts w:ascii="Arial" w:cs="Arial" w:eastAsia="Arial" w:hAnsi="Arial"/>
          <w:sz w:val="16"/>
          <w:szCs w:val="16"/>
          <w:color w:val="auto"/>
        </w:rPr>
        <w:t>Westerly along the arc of a curve to the left having a radius of 8.00 feet, a central angle of 47 degrees 45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6.67 feet to a point of reverse curvature;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minutes 27 seconds and an arc length of</w:t>
      </w:r>
    </w:p>
    <w:p>
      <w:pPr>
        <w:spacing w:after="0" w:line="453" w:lineRule="exact"/>
        <w:rPr>
          <w:sz w:val="20"/>
          <w:szCs w:val="20"/>
          <w:color w:val="auto"/>
        </w:rPr>
      </w:pPr>
    </w:p>
    <w:p>
      <w:pPr>
        <w:sectPr>
          <w:pgSz w:w="11900" w:h="16838" w:orient="portrait"/>
          <w:cols w:equalWidth="0" w:num="2">
            <w:col w:w="8020" w:space="300"/>
            <w:col w:w="2920"/>
          </w:cols>
          <w:pgMar w:left="320" w:top="908" w:right="339" w:bottom="254" w:gutter="0" w:footer="0" w:header="0"/>
          <w:type w:val="continuous"/>
        </w:sectPr>
      </w:pPr>
    </w:p>
    <w:p>
      <w:pPr>
        <w:spacing w:after="0" w:line="11" w:lineRule="exact"/>
        <w:rPr>
          <w:sz w:val="20"/>
          <w:szCs w:val="20"/>
          <w:color w:val="auto"/>
        </w:rPr>
      </w:pPr>
    </w:p>
    <w:p>
      <w:pPr>
        <w:ind w:right="20" w:firstLine="8"/>
        <w:spacing w:after="0" w:line="277" w:lineRule="auto"/>
        <w:tabs>
          <w:tab w:leader="none" w:pos="46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Westerly along the arc of a curve to the right having a radius of 8.00 feet, a central angle of 45 degrees 24 minutes 01 seconds and an arc length of 6.34 feet to a point of reverse curvature;</w:t>
      </w:r>
    </w:p>
    <w:p>
      <w:pPr>
        <w:spacing w:after="0" w:line="170" w:lineRule="exact"/>
        <w:rPr>
          <w:rFonts w:ascii="Arial" w:cs="Arial" w:eastAsia="Arial" w:hAnsi="Arial"/>
          <w:sz w:val="18"/>
          <w:szCs w:val="18"/>
          <w:color w:val="auto"/>
        </w:rPr>
      </w:pPr>
    </w:p>
    <w:p>
      <w:pPr>
        <w:ind w:firstLine="8"/>
        <w:spacing w:after="0" w:line="277" w:lineRule="auto"/>
        <w:tabs>
          <w:tab w:leader="none" w:pos="45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Westerly along the arc of a curve to the left having a radius of 280.00 feet, a central angle of 21 degrees 58 minutes 22 seconds and an arc length of 107.38 feet to a point of tangency;</w:t>
      </w:r>
    </w:p>
    <w:p>
      <w:pPr>
        <w:spacing w:after="0" w:line="170" w:lineRule="exact"/>
        <w:rPr>
          <w:rFonts w:ascii="Arial" w:cs="Arial" w:eastAsia="Arial" w:hAnsi="Arial"/>
          <w:sz w:val="18"/>
          <w:szCs w:val="18"/>
          <w:color w:val="auto"/>
        </w:rPr>
      </w:pPr>
    </w:p>
    <w:p>
      <w:pPr>
        <w:ind w:left="480" w:hanging="472"/>
        <w:spacing w:after="0"/>
        <w:tabs>
          <w:tab w:leader="none" w:pos="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South 69 degrees 56 minutes 55 seconds West, 133.06 feet to a point of curvature;</w:t>
      </w:r>
    </w:p>
    <w:p>
      <w:pPr>
        <w:spacing w:after="0" w:line="225" w:lineRule="exact"/>
        <w:rPr>
          <w:rFonts w:ascii="Arial" w:cs="Arial" w:eastAsia="Arial" w:hAnsi="Arial"/>
          <w:sz w:val="18"/>
          <w:szCs w:val="18"/>
          <w:color w:val="auto"/>
        </w:rPr>
      </w:pPr>
    </w:p>
    <w:p>
      <w:pPr>
        <w:ind w:firstLine="8"/>
        <w:spacing w:after="0" w:line="277" w:lineRule="auto"/>
        <w:tabs>
          <w:tab w:leader="none" w:pos="46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Westerly along the arc of a curve to the right having a radius of 392.00 feet, a central angle of 37 degrees 40 minutes 15 seconds and an arc length of 257.73 feet to a 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continuing through said Tax Lot P-2 the following sixteen (16) courses and distances:</w:t>
      </w:r>
    </w:p>
    <w:p>
      <w:pPr>
        <w:spacing w:after="0" w:line="225" w:lineRule="exact"/>
        <w:rPr>
          <w:sz w:val="20"/>
          <w:szCs w:val="20"/>
          <w:color w:val="auto"/>
        </w:rPr>
      </w:pPr>
    </w:p>
    <w:p>
      <w:pPr>
        <w:ind w:left="420" w:hanging="412"/>
        <w:spacing w:after="0"/>
        <w:tabs>
          <w:tab w:leader="none" w:pos="4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North 08 degrees 35 minutes 52 seconds East, 136.66 feet to a point;</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North 09 degrees 07 minutes 50 seconds West, 51.62 feet to a point;</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North 29 degrees 50 minutes 22 seconds East, 374.51 feet to a point;</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South 59 degrees 59 minutes 56 seconds East, 76.10 feet to a point;</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North 29 degrees 51 minutes 41 seconds East, 31.48 feet to a point;</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South 59 degrees 59 minutes 56 seconds East, 30.81 feet to a point;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254" w:gutter="0" w:footer="0" w:header="0"/>
          <w:type w:val="continuous"/>
        </w:sectPr>
      </w:pPr>
    </w:p>
    <w:bookmarkStart w:id="204" w:name="page205"/>
    <w:bookmarkEnd w:id="204"/>
    <w:p>
      <w:pPr>
        <w:ind w:left="420" w:hanging="412"/>
        <w:spacing w:after="0"/>
        <w:tabs>
          <w:tab w:leader="none" w:pos="4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South 30 degrees 00 minutes 04 seconds West, 10.33 feet to a point;</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South 60 degrees 06 minutes 15 seconds East, 113.34 feet to a point;</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North 29 degrees 56 minutes 10 seconds East, 29.96 feet to a point;</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South 60 degrees 03 minutes 27 seconds East, 71.82 feet to a point;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North 29 degrees 56 minutes 43 seconds East, 185.43 feet to a point;</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North 03 degrees 17 minutes 33 seconds West, 62.35 feet to a point;</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North 29 degrees 56 minutes 33 seconds East, 195.00 feet to a point;</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South 60 degrees 03 minutes 27 seconds East, 341.67 feet to a non-tangent point of curvature;</w:t>
      </w:r>
    </w:p>
    <w:p>
      <w:pPr>
        <w:spacing w:after="0" w:line="225" w:lineRule="exact"/>
        <w:rPr>
          <w:rFonts w:ascii="Arial" w:cs="Arial" w:eastAsia="Arial" w:hAnsi="Arial"/>
          <w:sz w:val="18"/>
          <w:szCs w:val="18"/>
          <w:color w:val="auto"/>
        </w:rPr>
      </w:pPr>
    </w:p>
    <w:p>
      <w:pPr>
        <w:ind w:right="20" w:firstLine="8"/>
        <w:spacing w:after="0" w:line="342" w:lineRule="auto"/>
        <w:tabs>
          <w:tab w:leader="none" w:pos="46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Southerly along the arc of a curve to the right having a radius of 279.43 feet, a central angle of 28 degrees 40 minutes 03 seconds, an arc length of 139.81 feet and being subtended by a chord bearing South 22 degrees 21 minutes 50 seconds West, 138.36 feet to a point of reverse curvature;</w:t>
      </w:r>
    </w:p>
    <w:p>
      <w:pPr>
        <w:spacing w:after="0" w:line="123" w:lineRule="exact"/>
        <w:rPr>
          <w:rFonts w:ascii="Arial" w:cs="Arial" w:eastAsia="Arial" w:hAnsi="Arial"/>
          <w:sz w:val="16"/>
          <w:szCs w:val="16"/>
          <w:color w:val="auto"/>
        </w:rPr>
      </w:pPr>
    </w:p>
    <w:p>
      <w:pPr>
        <w:ind w:firstLine="8"/>
        <w:spacing w:after="0" w:line="277" w:lineRule="auto"/>
        <w:tabs>
          <w:tab w:leader="none" w:pos="46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Southerly along the arc of a curve to the left having a radius of 388.07 feet, a central angle of 33 degrees 17 minutes 29 seconds and an arc length of 225.48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7.71, Block 6, Lot 1 (Sub Lots 1.1, 1.1A, 1.1B, 1.1C and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that certain plot, piece or parcel of land, situate, lying and being in the Town of Mount Pleasant, County of Westchester and State of New York, being designated as Lot 1 on a certain map entitled "Final Subdivision Plat prepared for Eastview Holdings LLC of premises located at Old Saw Mill River Road and NYS Route 9A Town of Mount Pleasant, Westchester County, New York Scale 1"=100'" prepared by John Meyer Consulting, PC, dated September 27, 2007 in the Office of the Clerk of the County of Westchester as Filed Map No. 28024, being more particularly described as: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Beginning at a rebar set on the northeasterly right of way line of Old Saw Mill River Road, at the intersection formed by the dividing line between the lands n/f BMR-LANDMARK AT EASTVIEW (SBL 116.15-1-2.2), and other lands of BMR-LANDMARK AT EASTVIEW (SBL 116.15-1-2.1),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northeasterly right of way line of Old Saw Mill River Road</w:t>
      </w:r>
    </w:p>
    <w:p>
      <w:pPr>
        <w:spacing w:after="0" w:line="225" w:lineRule="exact"/>
        <w:rPr>
          <w:sz w:val="20"/>
          <w:szCs w:val="20"/>
          <w:color w:val="auto"/>
        </w:rPr>
      </w:pPr>
    </w:p>
    <w:p>
      <w:pPr>
        <w:ind w:left="180" w:hanging="172"/>
        <w:spacing w:after="0"/>
        <w:tabs>
          <w:tab w:leader="none" w:pos="1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North 63°49'10" West a distance of 373.58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North 63°40'40" West a distance of 150.03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North 68°08'00" West a distance of 48.55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North 70°56'30" West a distance of 70.20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North 71°26'30" West a distance of 46.86 feet to a rebar set, thence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ind w:left="172" w:hanging="172"/>
        <w:spacing w:after="0"/>
        <w:tabs>
          <w:tab w:leader="none" w:pos="1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75°05'50" West a distance of 422.47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75°28'40" West a distance of 164.70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71°28'40" West a distance of 53.23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66°46'40" West a distance of 55.80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60°22'50" West a distance of 64.25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55°46'50" West a distance of 168.67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57°50'10" West a distance of 23.25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55°10'55" West a distance of 315.52 feet to a rebar set, thence</w:t>
      </w:r>
    </w:p>
    <w:p>
      <w:pPr>
        <w:spacing w:after="0" w:line="225" w:lineRule="exact"/>
        <w:rPr>
          <w:rFonts w:ascii="Arial" w:cs="Arial" w:eastAsia="Arial" w:hAnsi="Arial"/>
          <w:sz w:val="18"/>
          <w:szCs w:val="18"/>
          <w:color w:val="auto"/>
        </w:rPr>
      </w:pPr>
    </w:p>
    <w:p>
      <w:pPr>
        <w:ind w:left="-8" w:firstLine="8"/>
        <w:spacing w:after="0" w:line="277" w:lineRule="auto"/>
        <w:tabs>
          <w:tab w:leader="none" w:pos="27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Along the dividing line between Reputed Owner Consolidated Edison and reputed owner BMR-LANDMARK AT EASTVIEW (SBL 116.15-1-2.1) North 41°22'40" East a distance of 117.30 feet to a rebar set, thence</w:t>
      </w:r>
    </w:p>
    <w:p>
      <w:pPr>
        <w:spacing w:after="0" w:line="170" w:lineRule="exact"/>
        <w:rPr>
          <w:rFonts w:ascii="Arial" w:cs="Arial" w:eastAsia="Arial" w:hAnsi="Arial"/>
          <w:sz w:val="18"/>
          <w:szCs w:val="18"/>
          <w:color w:val="auto"/>
        </w:rPr>
      </w:pPr>
    </w:p>
    <w:p>
      <w:pPr>
        <w:ind w:left="-8" w:firstLine="8"/>
        <w:spacing w:after="0" w:line="277" w:lineRule="auto"/>
        <w:tabs>
          <w:tab w:leader="none" w:pos="27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88°40'52" East a distance of 368.78 feet to a point in Saw Mill River, thence Running the following courses and distances along the same and following the Saw Mill River</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South 63°24'21" East a distance of 101.76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South 82°58'51" East a distance of 62.51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67°02'49" East a distance of 39.00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40°05'34" East a distance of 35.47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22°26'57" East a distance of 54.23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12°57'05" East a distance of 73.98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46°15'28" East a distance of 50.93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57°39'41" East a distance of 47.17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39°04'03" East a distance of 72.47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North 21°22'50" East a distance of 121.63 feet to a point, thence</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06" w:name="page207"/>
    <w:bookmarkEnd w:id="206"/>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23°17'46" East a distance of 104.78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29°08'32" East a distance of 26.42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53°38'21" East a distance of 27.20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69°06'38" East a distance of 34.18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50°34'22" East a distance of 41.23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20°13'22" East a distance of 59.81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28°16'38" East a distance of 37.59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48°06'01" East a distance of 70.84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03°30'01" East a distance of 194.44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17°33'46" East a distance of 100.88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44°40'00" East a distance of 31.11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86°48'15" East a distance of 40.05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49°30'38" East a distance of 41.87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08°08'06" West a distance of 73.68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26°13'54" East a distance of 87.21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19°32'46" West a distance of 69.89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45°20'00" West a distance of 31.11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48°51'07" East a distance of 116.18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21°54'57" East a distance of 47.67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19°25'35" West a distance of 27.51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North 51°40'22" West a distance of 6.14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Along North 41°22'40" East a distance of 1119.15 feet to a rebar set, thence</w:t>
      </w:r>
    </w:p>
    <w:p>
      <w:pPr>
        <w:spacing w:after="0" w:line="200" w:lineRule="exact"/>
        <w:rPr>
          <w:sz w:val="20"/>
          <w:szCs w:val="20"/>
          <w:color w:val="auto"/>
        </w:rPr>
      </w:pPr>
    </w:p>
    <w:p>
      <w:pPr>
        <w:spacing w:after="0" w:line="26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07" w:name="page208"/>
    <w:bookmarkEnd w:id="207"/>
    <w:p>
      <w:pPr>
        <w:ind w:left="280" w:hanging="272"/>
        <w:spacing w:after="0"/>
        <w:tabs>
          <w:tab w:leader="none" w:pos="2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Along South 73°06'25" East a distance of 37.33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2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Along the southwesterly right of way line of Saw Mill River Road, South 07°54'30" East a distance of 532.24 feet to a rebar set, thence Running the following courses and distances along other lands of BMR-LANDMARK AT EASTVIEW (SBL 116.15-1-2.2)</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South 82°05'30" West a distance of 53.22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120.00 feet, turning a central angle of 66°50'29", for an arc length of 139.99 feet, the chord of said arc bearing South 48°40'15" West for a distance of 132.19 feet to a rebar set, thence</w:t>
      </w:r>
    </w:p>
    <w:p>
      <w:pPr>
        <w:spacing w:after="0" w:line="170" w:lineRule="exact"/>
        <w:rPr>
          <w:rFonts w:ascii="Arial" w:cs="Arial" w:eastAsia="Arial" w:hAnsi="Arial"/>
          <w:sz w:val="18"/>
          <w:szCs w:val="18"/>
          <w:color w:val="auto"/>
        </w:rPr>
      </w:pPr>
    </w:p>
    <w:p>
      <w:pPr>
        <w:ind w:firstLine="8"/>
        <w:spacing w:after="0" w:line="277" w:lineRule="auto"/>
        <w:tabs>
          <w:tab w:leader="none" w:pos="27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Along a reverse curve to the right having a radius of 480.00 feet, turning a central angle of 21°46'49", for an arc length of 182.47 feet, the chord of said arc bearing South 26°08'26" West for a distance of 181.37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South 37°01'48" West a distance of 287.70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South 46°17'40" West a distance of 85.62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South 57°32'20" West a distance of 65.29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North 61°07'50" West a distance of 113.60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73.50 feet, turning a central angle of 82°49'02", for an arc length of 106.24 feet, the chord of said arc bearing South 77°27'39" West for a distance of 97.23 feet to a rebar set, thence</w:t>
      </w:r>
    </w:p>
    <w:p>
      <w:pPr>
        <w:spacing w:after="0" w:line="170" w:lineRule="exact"/>
        <w:rPr>
          <w:rFonts w:ascii="Arial" w:cs="Arial" w:eastAsia="Arial" w:hAnsi="Arial"/>
          <w:sz w:val="18"/>
          <w:szCs w:val="18"/>
          <w:color w:val="auto"/>
        </w:rPr>
      </w:pPr>
    </w:p>
    <w:p>
      <w:pPr>
        <w:ind w:firstLine="8"/>
        <w:spacing w:after="0" w:line="277" w:lineRule="auto"/>
        <w:tabs>
          <w:tab w:leader="none" w:pos="27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Along a compound curve to the left having a radius of 91.00 feet, turning a central angle of 68°00'38", for an arc length of 108.02 feet, the chord of said arc bearing South 02°02'49" West for a distance of 101.79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South 31°57'30" East a distance of 305.66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South 30°02'00" West a distance of 347.72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South 60°12'00" East a distance of 333.26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500.00 feet, turning a central angle of 21°06'38", for an arc length of 184.22 feet, the chord of said arc bearing South 49°38'41" East for a distance of 183.18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South 39°05'22" East a distance of 174.39 feet to a rebar set, thence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ind w:firstLine="8"/>
        <w:spacing w:after="0" w:line="277" w:lineRule="auto"/>
        <w:tabs>
          <w:tab w:leader="none" w:pos="27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27°24'26", for an arc length of 76.54 feet, the chord of said arc bearing South 25°23'09" East for a distance of 75.81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South 11°40'56" East a distance of 147.46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26°20'55", for an arc length of 73.58 feet, the chord of said arc bearing South 01°29'32" West for a distance of 72.93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South 14°40'00" West a distance of 417.48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15°51'47", for an arc length of 44.30 feet, the chord of said arc bearing South 22°35'53" West for a distance of 44.16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South 30°21'46" West a distance of 251.53 feet to the place of beginning.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116.15, Block 1, Lot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PARCEL A:</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Lot 2 on a certain map entitled "Final Subdivision Plat prepared for Eastview Holdings LLC of premises located at Old Saw Mill River Road and NYS Route 9A Town of Mount Pleasant Westchester County, New York Scale 1"=100'" prepared by John Meyer Consulting, PC, dated September 5, 2007 and last revised September 18, 2007 and filed September 27, 2007 in the Office of the Clerk of the County of Westchester as Filed Map No. 28024.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Excepting therefrom the following tract of land: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jc w:val="both"/>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ind w:right="2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PARCEL B:</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both"/>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IV:</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Lots 5 and 6 of the Tax Records of the Town of Mount Pleasant and as more particularly described as follows: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at the intersection of the Northerly boundary line of Saw Mill River Road (State Highway No. 52), also known as Route 9A, as widened, with the Northerly boundary line of Grasslands Road;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THENCE along said Northerly boundary line of Grasslands Road South 86 degrees 43 minutes 47 seconds, West 34.19 feet to a point of curvature;</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Westerly along a 225.00 foot radius curve deflecting to the right through a central angle of 47 degrees 34 minutes 53 seconds, an arc distance of 185.81 feet to a point on the Easterly boundary line of Old Saw Mill River Road;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Northerly along the Easterly boundary line of Old Saw Mill River Road the following courses and distances: North 23 degrees 24 minutes 20 seconds West 18.96 feet;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t>North 33 degrees 37 minutes 30 seconds West 33.32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30 degrees 41 minutes 10 seconds West 79.50 feet to a point;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Northerly on a course connecting the Easterly boundary line of Old Saw Mill River Road with the Southerly boundary line of a ramp connecting Old Saw Mill River Road with Saw Mill River Road, North 31 degrees 19 minutes 17 seconds East 52.17 feet to the intersection of a 185 foot radius curve, to which intersection a radial line bears South 05 degrees 46 minutes 57 seconds West;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Easterly along said Southerly boundary line of the ramp along said 185.00 foot radius curve deflecting to the left through a central angle of 53 degrees 28 minutes 04 seconds, an arc distance of 172.64 feet;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continuing along said Southerly boundary line of the ramp North 42 degrees 18 minutes 53 seconds East 80.44 feet to a point on the aforesaid Westerly boundary line of the Saw Mill River Road;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Southerly along said Westerly boundary line of the Saw Mill River Road, South 05 degrees 38 minutes 30 seconds East 277.85 feet and South 06 degrees 07 minutes 00 seconds East 62.61 feet to the point or place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Lots 5 &amp; 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LESS AND EXCEPTING THEREFROM that portion of the premises taken by Notice of Appropriation dated 10/27/2017 recorded 10/27/2017 in Control No. 572973355 and depicted on Filed Map No. 29098.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above property has street addresses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735 Old Saw Mill River Road (Building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745 Old Saw Mill River Road (Building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755 Old Saw Mill River Road (Building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763 Old Saw Mill River Road (Power Station);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765 &amp; 777 Old Saw Mill River Road (Buildings 1, 3 and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767 Old Saw Mill River Road (Building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769 Old Saw Mill River Road;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771 Old Saw Mill River Road;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785 Old Saw Mill River Road (Building 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795 Old Saw Mill River Road (Building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799 Old Saw Mill River Road (Parking Garage);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in Tarrytown, New York 10591;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1 Saw Mill River Road (Home Depot), Hawthorne, New York 10532.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above legal description, and solely for purposes of this Lease, the Facility, Site and Leased Property shall be deemed to exclude that portion of the Facility, Site or Leased Property which is subject to that certain Ground Lease, dated as of March 2, 2022, by and between BA Leasing BSC, LLC, as lessor, and Eastside Campus Holdings LLC, a New York limited liability company, as lessee, as in effect as of March 3, 2022, and without giving effect to any amendments to such Ground Lease entered into after March 3,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2"/>
          <w:szCs w:val="22"/>
          <w:b w:val="1"/>
          <w:bCs w:val="1"/>
          <w:color w:val="auto"/>
        </w:rPr>
        <w:t>Exhibit 10.3</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XECUTION</w:t>
      </w:r>
      <w:r>
        <w:rPr>
          <w:rFonts w:ascii="Arial" w:cs="Arial" w:eastAsia="Arial" w:hAnsi="Arial"/>
          <w:sz w:val="18"/>
          <w:szCs w:val="18"/>
          <w:color w:val="auto"/>
        </w:rPr>
        <w:t xml:space="preserve"> V</w:t>
      </w:r>
      <w:r>
        <w:rPr>
          <w:rFonts w:ascii="Arial" w:cs="Arial" w:eastAsia="Arial" w:hAnsi="Arial"/>
          <w:sz w:val="12"/>
          <w:szCs w:val="12"/>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ECOND</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G</w:t>
      </w:r>
      <w:r>
        <w:rPr>
          <w:rFonts w:ascii="Arial" w:cs="Arial" w:eastAsia="Arial" w:hAnsi="Arial"/>
          <w:sz w:val="12"/>
          <w:szCs w:val="12"/>
          <w:color w:val="auto"/>
        </w:rPr>
        <w:t>UARANTY</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March 2, 2022</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 effective as of the Restatement Date</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Parent Guarantor,</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2"/>
          <w:szCs w:val="12"/>
          <w:color w:val="auto"/>
        </w:rPr>
        <w:t xml:space="preserve">THE </w:t>
      </w:r>
      <w:r>
        <w:rPr>
          <w:rFonts w:ascii="Arial" w:cs="Arial" w:eastAsia="Arial" w:hAnsi="Arial"/>
          <w:sz w:val="17"/>
          <w:szCs w:val="17"/>
          <w:color w:val="auto"/>
        </w:rPr>
        <w:t>S</w:t>
      </w:r>
      <w:r>
        <w:rPr>
          <w:rFonts w:ascii="Arial" w:cs="Arial" w:eastAsia="Arial" w:hAnsi="Arial"/>
          <w:sz w:val="12"/>
          <w:szCs w:val="12"/>
          <w:color w:val="auto"/>
        </w:rPr>
        <w:t xml:space="preserve">UBSIDIARY </w:t>
      </w:r>
      <w:r>
        <w:rPr>
          <w:rFonts w:ascii="Arial" w:cs="Arial" w:eastAsia="Arial" w:hAnsi="Arial"/>
          <w:sz w:val="17"/>
          <w:szCs w:val="17"/>
          <w:color w:val="auto"/>
        </w:rPr>
        <w:t>G</w:t>
      </w:r>
      <w:r>
        <w:rPr>
          <w:rFonts w:ascii="Arial" w:cs="Arial" w:eastAsia="Arial" w:hAnsi="Arial"/>
          <w:sz w:val="12"/>
          <w:szCs w:val="12"/>
          <w:color w:val="auto"/>
        </w:rPr>
        <w:t>UARANTORS PARTY HERETO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176530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476250</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900" w:type="dxa"/>
            <w:vAlign w:val="bottom"/>
          </w:tcPr>
          <w:p>
            <w:pPr>
              <w:ind w:left="2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2040" w:type="dxa"/>
            <w:vAlign w:val="bottom"/>
          </w:tcPr>
          <w:p>
            <w:pPr>
              <w:spacing w:after="0"/>
              <w:rPr>
                <w:sz w:val="20"/>
                <w:szCs w:val="20"/>
                <w:color w:val="auto"/>
              </w:rPr>
            </w:pPr>
          </w:p>
        </w:tc>
      </w:tr>
      <w:tr>
        <w:trPr>
          <w:trHeight w:val="432"/>
        </w:trPr>
        <w:tc>
          <w:tcPr>
            <w:tcW w:w="136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940" w:type="dxa"/>
            <w:vAlign w:val="bottom"/>
          </w:tcPr>
          <w:p>
            <w:pPr>
              <w:spacing w:after="0"/>
              <w:rPr>
                <w:sz w:val="24"/>
                <w:szCs w:val="24"/>
                <w:color w:val="auto"/>
              </w:rPr>
            </w:pPr>
          </w:p>
        </w:tc>
        <w:tc>
          <w:tcPr>
            <w:tcW w:w="6900" w:type="dxa"/>
            <w:vAlign w:val="bottom"/>
          </w:tcPr>
          <w:p>
            <w:pPr>
              <w:ind w:left="304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2040" w:type="dxa"/>
            <w:vAlign w:val="bottom"/>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18"/>
        </w:trPr>
        <w:tc>
          <w:tcPr>
            <w:tcW w:w="1360" w:type="dxa"/>
            <w:vAlign w:val="bottom"/>
            <w:gridSpan w:val="3"/>
          </w:tcPr>
          <w:p>
            <w:pPr>
              <w:spacing w:after="0"/>
              <w:rPr>
                <w:sz w:val="20"/>
                <w:szCs w:val="20"/>
                <w:color w:val="auto"/>
              </w:rPr>
            </w:pPr>
            <w:r>
              <w:rPr>
                <w:rFonts w:ascii="Arial" w:cs="Arial" w:eastAsia="Arial" w:hAnsi="Arial"/>
                <w:sz w:val="18"/>
                <w:szCs w:val="18"/>
                <w:color w:val="auto"/>
              </w:rPr>
              <w:t>Section 1.</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Guarantee</w:t>
            </w:r>
          </w:p>
        </w:tc>
        <w:tc>
          <w:tcPr>
            <w:tcW w:w="2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2.</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Guarantor’s Obligations Unconditional</w:t>
            </w:r>
          </w:p>
        </w:tc>
        <w:tc>
          <w:tcPr>
            <w:tcW w:w="2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3.</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Subordination of Subrogation</w:t>
            </w: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4.</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Reasonableness and Effect of Waivers</w:t>
            </w: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5.</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Transfers by Beneficiaries</w:t>
            </w: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6.</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No Waiver by Beneficiaries</w:t>
            </w:r>
          </w:p>
        </w:tc>
        <w:tc>
          <w:tcPr>
            <w:tcW w:w="2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7.</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Guarantor Representations and Warranties</w:t>
            </w:r>
          </w:p>
        </w:tc>
        <w:tc>
          <w:tcPr>
            <w:tcW w:w="2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8.</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Guarantor Affirmative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Guarantor Negative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10.</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Successors and Assigns</w:t>
            </w:r>
          </w:p>
        </w:tc>
        <w:tc>
          <w:tcPr>
            <w:tcW w:w="2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11.</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Severability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12.</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Submission to Jurisdiction; Service of Process</w:t>
            </w:r>
          </w:p>
        </w:tc>
        <w:tc>
          <w:tcPr>
            <w:tcW w:w="2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13.</w:t>
            </w:r>
          </w:p>
        </w:tc>
        <w:tc>
          <w:tcPr>
            <w:tcW w:w="940" w:type="dxa"/>
            <w:vAlign w:val="bottom"/>
          </w:tcPr>
          <w:p>
            <w:pPr>
              <w:ind w:left="340"/>
              <w:spacing w:after="0"/>
              <w:rPr>
                <w:sz w:val="20"/>
                <w:szCs w:val="20"/>
                <w:color w:val="auto"/>
              </w:rPr>
            </w:pPr>
            <w:r>
              <w:rPr>
                <w:rFonts w:ascii="Arial" w:cs="Arial" w:eastAsia="Arial" w:hAnsi="Arial"/>
                <w:sz w:val="18"/>
                <w:szCs w:val="18"/>
                <w:color w:val="auto"/>
                <w:w w:val="96"/>
              </w:rPr>
              <w:t>Notices</w:t>
            </w:r>
          </w:p>
        </w:tc>
        <w:tc>
          <w:tcPr>
            <w:tcW w:w="69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14.</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Amendment</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15.</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Governing Law; Waiver of Jury Trial</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16.</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No Advisory or Fiduciary Responsibility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17.</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Releases; Termination of Guaranty</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18.</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Contribution with Respect to Liabilities</w:t>
            </w:r>
          </w:p>
        </w:tc>
        <w:tc>
          <w:tcPr>
            <w:tcW w:w="2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Section 19.</w:t>
            </w:r>
          </w:p>
        </w:tc>
        <w:tc>
          <w:tcPr>
            <w:tcW w:w="7840" w:type="dxa"/>
            <w:vAlign w:val="bottom"/>
            <w:gridSpan w:val="2"/>
          </w:tcPr>
          <w:p>
            <w:pPr>
              <w:ind w:left="340"/>
              <w:spacing w:after="0"/>
              <w:rPr>
                <w:sz w:val="20"/>
                <w:szCs w:val="20"/>
                <w:color w:val="auto"/>
              </w:rPr>
            </w:pPr>
            <w:r>
              <w:rPr>
                <w:rFonts w:ascii="Arial" w:cs="Arial" w:eastAsia="Arial" w:hAnsi="Arial"/>
                <w:sz w:val="18"/>
                <w:szCs w:val="18"/>
                <w:color w:val="auto"/>
              </w:rPr>
              <w:t>Effectiveness of Second Amended and Restated Guaranty; Effect of Restatement</w:t>
            </w:r>
          </w:p>
        </w:tc>
        <w:tc>
          <w:tcPr>
            <w:tcW w:w="2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w:t>
            </w:r>
            <w:r>
              <w:rPr>
                <w:rFonts w:ascii="Arial" w:cs="Arial" w:eastAsia="Arial" w:hAnsi="Arial"/>
                <w:sz w:val="12"/>
                <w:szCs w:val="12"/>
                <w:b w:val="1"/>
                <w:bCs w:val="1"/>
                <w:color w:val="auto"/>
                <w:w w:val="97"/>
              </w:rPr>
              <w:t>CHEDULES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38"/>
        </w:trPr>
        <w:tc>
          <w:tcPr>
            <w:tcW w:w="136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7(a)</w:t>
            </w:r>
          </w:p>
        </w:tc>
        <w:tc>
          <w:tcPr>
            <w:tcW w:w="940" w:type="dxa"/>
            <w:vAlign w:val="bottom"/>
          </w:tcPr>
          <w:p>
            <w:pPr>
              <w:ind w:left="340"/>
              <w:spacing w:after="0"/>
              <w:rPr>
                <w:sz w:val="20"/>
                <w:szCs w:val="20"/>
                <w:color w:val="auto"/>
              </w:rPr>
            </w:pPr>
            <w:r>
              <w:rPr>
                <w:rFonts w:ascii="Arial" w:cs="Arial" w:eastAsia="Arial" w:hAnsi="Arial"/>
                <w:sz w:val="18"/>
                <w:szCs w:val="18"/>
                <w:color w:val="auto"/>
              </w:rPr>
              <w:t>—</w:t>
            </w:r>
          </w:p>
        </w:tc>
        <w:tc>
          <w:tcPr>
            <w:tcW w:w="6900" w:type="dxa"/>
            <w:vAlign w:val="bottom"/>
          </w:tcPr>
          <w:p>
            <w:pPr>
              <w:ind w:left="80"/>
              <w:spacing w:after="0"/>
              <w:rPr>
                <w:sz w:val="20"/>
                <w:szCs w:val="20"/>
                <w:color w:val="auto"/>
              </w:rPr>
            </w:pPr>
            <w:r>
              <w:rPr>
                <w:rFonts w:ascii="Arial" w:cs="Arial" w:eastAsia="Arial" w:hAnsi="Arial"/>
                <w:sz w:val="18"/>
                <w:szCs w:val="18"/>
                <w:color w:val="auto"/>
              </w:rPr>
              <w:t>Subsidiaries</w:t>
            </w:r>
          </w:p>
        </w:tc>
        <w:tc>
          <w:tcPr>
            <w:tcW w:w="2040" w:type="dxa"/>
            <w:vAlign w:val="bottom"/>
          </w:tcPr>
          <w:p>
            <w:pPr>
              <w:spacing w:after="0"/>
              <w:rPr>
                <w:sz w:val="24"/>
                <w:szCs w:val="24"/>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9(a)</w:t>
            </w:r>
          </w:p>
        </w:tc>
        <w:tc>
          <w:tcPr>
            <w:tcW w:w="940" w:type="dxa"/>
            <w:vAlign w:val="bottom"/>
          </w:tcPr>
          <w:p>
            <w:pPr>
              <w:ind w:left="340"/>
              <w:spacing w:after="0"/>
              <w:rPr>
                <w:sz w:val="20"/>
                <w:szCs w:val="20"/>
                <w:color w:val="auto"/>
              </w:rPr>
            </w:pPr>
            <w:r>
              <w:rPr>
                <w:rFonts w:ascii="Arial" w:cs="Arial" w:eastAsia="Arial" w:hAnsi="Arial"/>
                <w:sz w:val="18"/>
                <w:szCs w:val="18"/>
                <w:color w:val="auto"/>
              </w:rPr>
              <w:t>—</w:t>
            </w:r>
          </w:p>
        </w:tc>
        <w:tc>
          <w:tcPr>
            <w:tcW w:w="6900" w:type="dxa"/>
            <w:vAlign w:val="bottom"/>
          </w:tcPr>
          <w:p>
            <w:pPr>
              <w:ind w:left="80"/>
              <w:spacing w:after="0"/>
              <w:rPr>
                <w:sz w:val="20"/>
                <w:szCs w:val="20"/>
                <w:color w:val="auto"/>
              </w:rPr>
            </w:pPr>
            <w:r>
              <w:rPr>
                <w:rFonts w:ascii="Arial" w:cs="Arial" w:eastAsia="Arial" w:hAnsi="Arial"/>
                <w:sz w:val="18"/>
                <w:szCs w:val="18"/>
                <w:color w:val="auto"/>
              </w:rPr>
              <w:t>Existing Indebtedness</w:t>
            </w:r>
          </w:p>
        </w:tc>
        <w:tc>
          <w:tcPr>
            <w:tcW w:w="2040" w:type="dxa"/>
            <w:vAlign w:val="bottom"/>
          </w:tcPr>
          <w:p>
            <w:pPr>
              <w:spacing w:after="0"/>
              <w:rPr>
                <w:sz w:val="18"/>
                <w:szCs w:val="18"/>
                <w:color w:val="auto"/>
              </w:rPr>
            </w:pPr>
          </w:p>
        </w:tc>
      </w:t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9(b)</w:t>
            </w:r>
          </w:p>
        </w:tc>
        <w:tc>
          <w:tcPr>
            <w:tcW w:w="940" w:type="dxa"/>
            <w:vAlign w:val="bottom"/>
          </w:tcPr>
          <w:p>
            <w:pPr>
              <w:ind w:left="340"/>
              <w:spacing w:after="0"/>
              <w:rPr>
                <w:sz w:val="20"/>
                <w:szCs w:val="20"/>
                <w:color w:val="auto"/>
              </w:rPr>
            </w:pPr>
            <w:r>
              <w:rPr>
                <w:rFonts w:ascii="Arial" w:cs="Arial" w:eastAsia="Arial" w:hAnsi="Arial"/>
                <w:sz w:val="18"/>
                <w:szCs w:val="18"/>
                <w:color w:val="auto"/>
              </w:rPr>
              <w:t>—</w:t>
            </w:r>
          </w:p>
        </w:tc>
        <w:tc>
          <w:tcPr>
            <w:tcW w:w="6900" w:type="dxa"/>
            <w:vAlign w:val="bottom"/>
          </w:tcPr>
          <w:p>
            <w:pPr>
              <w:ind w:left="80"/>
              <w:spacing w:after="0"/>
              <w:rPr>
                <w:sz w:val="20"/>
                <w:szCs w:val="20"/>
                <w:color w:val="auto"/>
              </w:rPr>
            </w:pPr>
            <w:r>
              <w:rPr>
                <w:rFonts w:ascii="Arial" w:cs="Arial" w:eastAsia="Arial" w:hAnsi="Arial"/>
                <w:sz w:val="18"/>
                <w:szCs w:val="18"/>
                <w:color w:val="auto"/>
              </w:rPr>
              <w:t>Existing Liens</w:t>
            </w:r>
          </w:p>
        </w:tc>
        <w:tc>
          <w:tcPr>
            <w:tcW w:w="2040" w:type="dxa"/>
            <w:vAlign w:val="bottom"/>
          </w:tcPr>
          <w:p>
            <w:pPr>
              <w:spacing w:after="0"/>
              <w:rPr>
                <w:sz w:val="20"/>
                <w:szCs w:val="20"/>
                <w:color w:val="auto"/>
              </w:rPr>
            </w:pPr>
          </w:p>
        </w:tc>
      </w:tr>
      <w:tr>
        <w:trPr>
          <w:trHeight w:val="391"/>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A</w:t>
            </w:r>
            <w:r>
              <w:rPr>
                <w:rFonts w:ascii="Arial" w:cs="Arial" w:eastAsia="Arial" w:hAnsi="Arial"/>
                <w:sz w:val="12"/>
                <w:szCs w:val="12"/>
                <w:b w:val="1"/>
                <w:bCs w:val="1"/>
                <w:color w:val="auto"/>
                <w:w w:val="99"/>
              </w:rPr>
              <w:t>NNEXES</w:t>
            </w:r>
          </w:p>
        </w:tc>
        <w:tc>
          <w:tcPr>
            <w:tcW w:w="7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53"/>
        </w:trPr>
        <w:tc>
          <w:tcPr>
            <w:tcW w:w="1360" w:type="dxa"/>
            <w:vAlign w:val="bottom"/>
            <w:gridSpan w:val="3"/>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NNEX</w:t>
            </w:r>
            <w:r>
              <w:rPr>
                <w:rFonts w:ascii="Arial" w:cs="Arial" w:eastAsia="Arial" w:hAnsi="Arial"/>
                <w:sz w:val="18"/>
                <w:szCs w:val="18"/>
                <w:color w:val="auto"/>
              </w:rPr>
              <w:t xml:space="preserve"> I</w:t>
            </w:r>
          </w:p>
        </w:tc>
        <w:tc>
          <w:tcPr>
            <w:tcW w:w="940" w:type="dxa"/>
            <w:vAlign w:val="bottom"/>
          </w:tcPr>
          <w:p>
            <w:pPr>
              <w:ind w:left="340"/>
              <w:spacing w:after="0"/>
              <w:rPr>
                <w:sz w:val="20"/>
                <w:szCs w:val="20"/>
                <w:color w:val="auto"/>
              </w:rPr>
            </w:pPr>
            <w:r>
              <w:rPr>
                <w:rFonts w:ascii="Arial" w:cs="Arial" w:eastAsia="Arial" w:hAnsi="Arial"/>
                <w:sz w:val="18"/>
                <w:szCs w:val="18"/>
                <w:color w:val="auto"/>
              </w:rPr>
              <w:t>—</w:t>
            </w:r>
          </w:p>
        </w:tc>
        <w:tc>
          <w:tcPr>
            <w:tcW w:w="6900" w:type="dxa"/>
            <w:vAlign w:val="bottom"/>
          </w:tcPr>
          <w:p>
            <w:pPr>
              <w:ind w:left="80"/>
              <w:spacing w:after="0"/>
              <w:rPr>
                <w:sz w:val="20"/>
                <w:szCs w:val="20"/>
                <w:color w:val="auto"/>
              </w:rPr>
            </w:pPr>
            <w:r>
              <w:rPr>
                <w:rFonts w:ascii="Arial" w:cs="Arial" w:eastAsia="Arial" w:hAnsi="Arial"/>
                <w:sz w:val="18"/>
                <w:szCs w:val="18"/>
                <w:color w:val="auto"/>
              </w:rPr>
              <w:t>Form of Supplement to Guaranty</w:t>
            </w:r>
          </w:p>
        </w:tc>
        <w:tc>
          <w:tcPr>
            <w:tcW w:w="204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UARANTY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w:t>
      </w:r>
      <w:r>
        <w:rPr>
          <w:rFonts w:ascii="Arial" w:cs="Arial" w:eastAsia="Arial" w:hAnsi="Arial"/>
          <w:sz w:val="11"/>
          <w:szCs w:val="11"/>
          <w:color w:val="auto"/>
        </w:rPr>
        <w:t>HIS</w:t>
      </w:r>
      <w:r>
        <w:rPr>
          <w:rFonts w:ascii="Arial" w:cs="Arial" w:eastAsia="Arial" w:hAnsi="Arial"/>
          <w:sz w:val="16"/>
          <w:szCs w:val="16"/>
          <w:color w:val="auto"/>
        </w:rPr>
        <w:t xml:space="preserve"> S</w:t>
      </w:r>
      <w:r>
        <w:rPr>
          <w:rFonts w:ascii="Arial" w:cs="Arial" w:eastAsia="Arial" w:hAnsi="Arial"/>
          <w:sz w:val="11"/>
          <w:szCs w:val="11"/>
          <w:color w:val="auto"/>
        </w:rPr>
        <w:t>ECOND</w:t>
      </w:r>
      <w:r>
        <w:rPr>
          <w:rFonts w:ascii="Arial" w:cs="Arial" w:eastAsia="Arial" w:hAnsi="Arial"/>
          <w:sz w:val="16"/>
          <w:szCs w:val="16"/>
          <w:color w:val="auto"/>
        </w:rPr>
        <w:t xml:space="preserve"> A</w:t>
      </w:r>
      <w:r>
        <w:rPr>
          <w:rFonts w:ascii="Arial" w:cs="Arial" w:eastAsia="Arial" w:hAnsi="Arial"/>
          <w:sz w:val="11"/>
          <w:szCs w:val="11"/>
          <w:color w:val="auto"/>
        </w:rPr>
        <w:t>MENDED AND</w:t>
      </w:r>
      <w:r>
        <w:rPr>
          <w:rFonts w:ascii="Arial" w:cs="Arial" w:eastAsia="Arial" w:hAnsi="Arial"/>
          <w:sz w:val="16"/>
          <w:szCs w:val="16"/>
          <w:color w:val="auto"/>
        </w:rPr>
        <w:t xml:space="preserve"> R</w:t>
      </w:r>
      <w:r>
        <w:rPr>
          <w:rFonts w:ascii="Arial" w:cs="Arial" w:eastAsia="Arial" w:hAnsi="Arial"/>
          <w:sz w:val="11"/>
          <w:szCs w:val="11"/>
          <w:color w:val="auto"/>
        </w:rPr>
        <w:t>ESTATED</w:t>
      </w:r>
      <w:r>
        <w:rPr>
          <w:rFonts w:ascii="Arial" w:cs="Arial" w:eastAsia="Arial" w:hAnsi="Arial"/>
          <w:sz w:val="16"/>
          <w:szCs w:val="16"/>
          <w:color w:val="auto"/>
        </w:rPr>
        <w:t xml:space="preserve"> G</w:t>
      </w:r>
      <w:r>
        <w:rPr>
          <w:rFonts w:ascii="Arial" w:cs="Arial" w:eastAsia="Arial" w:hAnsi="Arial"/>
          <w:sz w:val="11"/>
          <w:szCs w:val="11"/>
          <w:color w:val="auto"/>
        </w:rPr>
        <w:t>UARANTY</w:t>
      </w:r>
      <w:r>
        <w:rPr>
          <w:rFonts w:ascii="Arial" w:cs="Arial" w:eastAsia="Arial" w:hAnsi="Arial"/>
          <w:sz w:val="16"/>
          <w:szCs w:val="16"/>
          <w:color w:val="auto"/>
        </w:rPr>
        <w:t xml:space="preserve"> (as amended, restated, supplemented or otherwise modified from time to time, this </w:t>
      </w:r>
      <w:r>
        <w:rPr>
          <w:rFonts w:ascii="Arial" w:cs="Arial" w:eastAsia="Arial" w:hAnsi="Arial"/>
          <w:sz w:val="16"/>
          <w:szCs w:val="16"/>
          <w:i w:val="1"/>
          <w:iCs w:val="1"/>
          <w:color w:val="auto"/>
        </w:rPr>
        <w:t>“Guaranty”</w:t>
      </w:r>
      <w:r>
        <w:rPr>
          <w:rFonts w:ascii="Arial" w:cs="Arial" w:eastAsia="Arial" w:hAnsi="Arial"/>
          <w:sz w:val="16"/>
          <w:szCs w:val="16"/>
          <w:color w:val="auto"/>
        </w:rPr>
        <w:t>), dated as of March 2, 2022, and effective as of the Restatement Date, is made by (i) R</w:t>
      </w:r>
      <w:r>
        <w:rPr>
          <w:rFonts w:ascii="Arial" w:cs="Arial" w:eastAsia="Arial" w:hAnsi="Arial"/>
          <w:sz w:val="11"/>
          <w:szCs w:val="11"/>
          <w:color w:val="auto"/>
        </w:rPr>
        <w:t>EGENERON</w:t>
      </w:r>
      <w:r>
        <w:rPr>
          <w:rFonts w:ascii="Arial" w:cs="Arial" w:eastAsia="Arial" w:hAnsi="Arial"/>
          <w:sz w:val="16"/>
          <w:szCs w:val="16"/>
          <w:color w:val="auto"/>
        </w:rPr>
        <w:t xml:space="preserve"> P</w:t>
      </w:r>
      <w:r>
        <w:rPr>
          <w:rFonts w:ascii="Arial" w:cs="Arial" w:eastAsia="Arial" w:hAnsi="Arial"/>
          <w:sz w:val="11"/>
          <w:szCs w:val="11"/>
          <w:color w:val="auto"/>
        </w:rPr>
        <w:t>HARMACEUTICALS</w:t>
      </w:r>
      <w:r>
        <w:rPr>
          <w:rFonts w:ascii="Arial" w:cs="Arial" w:eastAsia="Arial" w:hAnsi="Arial"/>
          <w:sz w:val="16"/>
          <w:szCs w:val="16"/>
          <w:color w:val="auto"/>
        </w:rPr>
        <w:t>, I</w:t>
      </w:r>
      <w:r>
        <w:rPr>
          <w:rFonts w:ascii="Arial" w:cs="Arial" w:eastAsia="Arial" w:hAnsi="Arial"/>
          <w:sz w:val="11"/>
          <w:szCs w:val="11"/>
          <w:color w:val="auto"/>
        </w:rPr>
        <w:t>NC</w:t>
      </w:r>
      <w:r>
        <w:rPr>
          <w:rFonts w:ascii="Arial" w:cs="Arial" w:eastAsia="Arial" w:hAnsi="Arial"/>
          <w:sz w:val="16"/>
          <w:szCs w:val="16"/>
          <w:color w:val="auto"/>
        </w:rPr>
        <w:t xml:space="preserve">., a New York corporation (the </w:t>
      </w:r>
      <w:r>
        <w:rPr>
          <w:rFonts w:ascii="Arial" w:cs="Arial" w:eastAsia="Arial" w:hAnsi="Arial"/>
          <w:sz w:val="16"/>
          <w:szCs w:val="16"/>
          <w:i w:val="1"/>
          <w:iCs w:val="1"/>
          <w:color w:val="auto"/>
        </w:rPr>
        <w:t>“Parent</w:t>
      </w:r>
      <w:r>
        <w:rPr>
          <w:rFonts w:ascii="Arial" w:cs="Arial" w:eastAsia="Arial" w:hAnsi="Arial"/>
          <w:sz w:val="16"/>
          <w:szCs w:val="16"/>
          <w:color w:val="auto"/>
        </w:rPr>
        <w:t xml:space="preserve"> </w:t>
      </w:r>
      <w:r>
        <w:rPr>
          <w:rFonts w:ascii="Arial" w:cs="Arial" w:eastAsia="Arial" w:hAnsi="Arial"/>
          <w:sz w:val="16"/>
          <w:szCs w:val="16"/>
          <w:i w:val="1"/>
          <w:iCs w:val="1"/>
          <w:color w:val="auto"/>
        </w:rPr>
        <w:t>Guarantor”</w:t>
      </w:r>
      <w:r>
        <w:rPr>
          <w:rFonts w:ascii="Arial" w:cs="Arial" w:eastAsia="Arial" w:hAnsi="Arial"/>
          <w:sz w:val="16"/>
          <w:szCs w:val="16"/>
          <w:color w:val="auto"/>
        </w:rPr>
        <w:t>), (ii) each of the undersigned Subsidiaries (as hereinafter defined) of the Parent Guarantor (the</w:t>
      </w:r>
      <w:r>
        <w:rPr>
          <w:rFonts w:ascii="Arial" w:cs="Arial" w:eastAsia="Arial" w:hAnsi="Arial"/>
          <w:sz w:val="16"/>
          <w:szCs w:val="16"/>
          <w:i w:val="1"/>
          <w:iCs w:val="1"/>
          <w:color w:val="auto"/>
        </w:rPr>
        <w:t xml:space="preserve"> “Initial Subsidiary Guarantors” </w:t>
      </w:r>
      <w:r>
        <w:rPr>
          <w:rFonts w:ascii="Arial" w:cs="Arial" w:eastAsia="Arial" w:hAnsi="Arial"/>
          <w:sz w:val="16"/>
          <w:szCs w:val="16"/>
          <w:color w:val="auto"/>
        </w:rPr>
        <w:t>and together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Parent Guarantor, the </w:t>
      </w:r>
      <w:r>
        <w:rPr>
          <w:rFonts w:ascii="Arial" w:cs="Arial" w:eastAsia="Arial" w:hAnsi="Arial"/>
          <w:sz w:val="16"/>
          <w:szCs w:val="16"/>
          <w:i w:val="1"/>
          <w:iCs w:val="1"/>
          <w:color w:val="auto"/>
        </w:rPr>
        <w:t>“Initial Guarantors”</w:t>
      </w:r>
      <w:r>
        <w:rPr>
          <w:rFonts w:ascii="Arial" w:cs="Arial" w:eastAsia="Arial" w:hAnsi="Arial"/>
          <w:sz w:val="16"/>
          <w:szCs w:val="16"/>
          <w:color w:val="auto"/>
        </w:rPr>
        <w:t xml:space="preserve">) and (iii) any additional Subsidiaries of the Parent Guarantor which become parties to this Guaranty by executing a supplement hereto in the form attached as Annex I (collectively with the Initial Subsidiary Guarantors, the </w:t>
      </w:r>
      <w:r>
        <w:rPr>
          <w:rFonts w:ascii="Arial" w:cs="Arial" w:eastAsia="Arial" w:hAnsi="Arial"/>
          <w:sz w:val="16"/>
          <w:szCs w:val="16"/>
          <w:i w:val="1"/>
          <w:iCs w:val="1"/>
          <w:color w:val="auto"/>
        </w:rPr>
        <w:t>“Subsidiary Guarantors”</w:t>
      </w:r>
      <w:r>
        <w:rPr>
          <w:rFonts w:ascii="Arial" w:cs="Arial" w:eastAsia="Arial" w:hAnsi="Arial"/>
          <w:sz w:val="16"/>
          <w:szCs w:val="16"/>
          <w:color w:val="auto"/>
        </w:rPr>
        <w:t xml:space="preserve"> and together with Parent Guarantor, the </w:t>
      </w:r>
      <w:r>
        <w:rPr>
          <w:rFonts w:ascii="Arial" w:cs="Arial" w:eastAsia="Arial" w:hAnsi="Arial"/>
          <w:sz w:val="16"/>
          <w:szCs w:val="16"/>
          <w:i w:val="1"/>
          <w:iCs w:val="1"/>
          <w:color w:val="auto"/>
        </w:rPr>
        <w:t>“Guarantors”</w:t>
      </w:r>
      <w:r>
        <w:rPr>
          <w:rFonts w:ascii="Arial" w:cs="Arial" w:eastAsia="Arial" w:hAnsi="Arial"/>
          <w:sz w:val="16"/>
          <w:szCs w:val="16"/>
          <w:color w:val="auto"/>
        </w:rPr>
        <w:t xml:space="preserve">) in favor of (a) each Participant (as hereinafter defined) and (b) Bank of America, N.A., not in its individual capacity, except as expressly stated therein, but solely as Administrative Agent (together with its successors and permitted assigns, in its capacity as Administrative Agent,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for the benefit of itself and the other Beneficiaries (as hereinafter defined).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W </w:t>
      </w:r>
      <w:r>
        <w:rPr>
          <w:rFonts w:ascii="Arial" w:cs="Arial" w:eastAsia="Arial" w:hAnsi="Arial"/>
          <w:sz w:val="12"/>
          <w:szCs w:val="12"/>
          <w:b w:val="1"/>
          <w:bCs w:val="1"/>
          <w:color w:val="auto"/>
        </w:rPr>
        <w:t>I T N E S S E T H</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xml:space="preserve">, Old Saw Mill Holdings LLC, a New York limited liability company, as Lessee (together with its successors and permitted assigns, in its capacity as lessee, </w:t>
      </w:r>
      <w:r>
        <w:rPr>
          <w:rFonts w:ascii="Arial" w:cs="Arial" w:eastAsia="Arial" w:hAnsi="Arial"/>
          <w:sz w:val="17"/>
          <w:szCs w:val="17"/>
          <w:i w:val="1"/>
          <w:iCs w:val="1"/>
          <w:color w:val="auto"/>
        </w:rPr>
        <w:t>“Lessee”</w:t>
      </w:r>
      <w:r>
        <w:rPr>
          <w:rFonts w:ascii="Arial" w:cs="Arial" w:eastAsia="Arial" w:hAnsi="Arial"/>
          <w:sz w:val="17"/>
          <w:szCs w:val="17"/>
          <w:color w:val="auto"/>
        </w:rPr>
        <w:t xml:space="preserve">), BA Leasing BSC LLC, a Delaware limited liability company, as lessor (together with its successors and permitted assigns, in its capacity as Lessor, </w:t>
      </w:r>
      <w:r>
        <w:rPr>
          <w:rFonts w:ascii="Arial" w:cs="Arial" w:eastAsia="Arial" w:hAnsi="Arial"/>
          <w:sz w:val="17"/>
          <w:szCs w:val="17"/>
          <w:i w:val="1"/>
          <w:iCs w:val="1"/>
          <w:color w:val="auto"/>
        </w:rPr>
        <w:t>“Lessor”</w:t>
      </w:r>
      <w:r>
        <w:rPr>
          <w:rFonts w:ascii="Arial" w:cs="Arial" w:eastAsia="Arial" w:hAnsi="Arial"/>
          <w:sz w:val="17"/>
          <w:szCs w:val="17"/>
          <w:color w:val="auto"/>
        </w:rPr>
        <w:t xml:space="preserve">), the Administrative Agent, and the rent assignees from time to time party thereto have entered into that certain Second Amended and Restated Participation Agreement, dated as of March 2, 2022, and effective as of the Restatement Date (as amended, restated, supplemented or otherwise modified from time to time, the </w:t>
      </w:r>
      <w:r>
        <w:rPr>
          <w:rFonts w:ascii="Arial" w:cs="Arial" w:eastAsia="Arial" w:hAnsi="Arial"/>
          <w:sz w:val="17"/>
          <w:szCs w:val="17"/>
          <w:i w:val="1"/>
          <w:iCs w:val="1"/>
          <w:color w:val="auto"/>
        </w:rPr>
        <w:t>“Participation Agreement”</w:t>
      </w:r>
      <w:r>
        <w:rPr>
          <w:rFonts w:ascii="Arial" w:cs="Arial" w:eastAsia="Arial" w:hAnsi="Arial"/>
          <w:sz w:val="17"/>
          <w:szCs w:val="17"/>
          <w:color w:val="auto"/>
        </w:rPr>
        <w:t>; unless otherwise defined herein or the context hereof otherwise requires, capitalized terms used herein but not otherwise defined herein or defined herein by reference to the Participation Agreement shall have the same meanings assigned to such terms in the Participation Agreement);</w:t>
      </w:r>
    </w:p>
    <w:p>
      <w:pPr>
        <w:spacing w:after="0" w:line="17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xml:space="preserve">, the Initial Guarantors and the Administrative Agent are currently party to that certain Amended and Restated Guaranty, dated as of May 2, 2019 (as amended, supplemented or otherwise modified prior to the Restatement Date, the </w:t>
      </w:r>
      <w:r>
        <w:rPr>
          <w:rFonts w:ascii="Arial" w:cs="Arial" w:eastAsia="Arial" w:hAnsi="Arial"/>
          <w:sz w:val="17"/>
          <w:szCs w:val="17"/>
          <w:i w:val="1"/>
          <w:iCs w:val="1"/>
          <w:color w:val="auto"/>
        </w:rPr>
        <w:t>“Previously Existing Guaranty”</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HEREAS</w:t>
      </w:r>
      <w:r>
        <w:rPr>
          <w:rFonts w:ascii="Arial" w:cs="Arial" w:eastAsia="Arial" w:hAnsi="Arial"/>
          <w:sz w:val="18"/>
          <w:szCs w:val="18"/>
          <w:color w:val="auto"/>
        </w:rPr>
        <w:t>, in connection with the Participation Agreement, the Parent Guarantor has agreed to amend and restate the Previously Existing Guaranty as set forth herein, which amendment and restatement shall become effective on the Restatement Date; and</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it is the intent of the parties hereto that this Guaranty (i) shall amend, restate and supersede in its entirety the Previously Existing Guaranty and (ii) shall not constitute a novation of the obligations and liabilities of the parties under the Previously Existing Guaranty.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w:t>
      </w:r>
      <w:r>
        <w:rPr>
          <w:rFonts w:ascii="Arial" w:cs="Arial" w:eastAsia="Arial" w:hAnsi="Arial"/>
          <w:sz w:val="11"/>
          <w:szCs w:val="11"/>
          <w:color w:val="auto"/>
        </w:rPr>
        <w:t>OW</w:t>
      </w:r>
      <w:r>
        <w:rPr>
          <w:rFonts w:ascii="Arial" w:cs="Arial" w:eastAsia="Arial" w:hAnsi="Arial"/>
          <w:sz w:val="17"/>
          <w:szCs w:val="17"/>
          <w:color w:val="auto"/>
        </w:rPr>
        <w:t>, T</w:t>
      </w:r>
      <w:r>
        <w:rPr>
          <w:rFonts w:ascii="Arial" w:cs="Arial" w:eastAsia="Arial" w:hAnsi="Arial"/>
          <w:sz w:val="11"/>
          <w:szCs w:val="11"/>
          <w:color w:val="auto"/>
        </w:rPr>
        <w:t>HEREFORE</w:t>
      </w:r>
      <w:r>
        <w:rPr>
          <w:rFonts w:ascii="Arial" w:cs="Arial" w:eastAsia="Arial" w:hAnsi="Arial"/>
          <w:sz w:val="17"/>
          <w:szCs w:val="17"/>
          <w:color w:val="auto"/>
        </w:rPr>
        <w:t>, in consideration of the foregoing and for other good and valuable consideration, the parties hereto hereby agree that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Previously Existing Guaranty is hereby amended and restated in its entirety as follows effective as of the Restatement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Section 1. Guarantee</w:t>
      </w:r>
      <w:r>
        <w:rPr>
          <w:rFonts w:ascii="Arial" w:cs="Arial" w:eastAsia="Arial" w:hAnsi="Arial"/>
          <w:sz w:val="16"/>
          <w:szCs w:val="16"/>
          <w:color w:val="auto"/>
        </w:rPr>
        <w:t>. Each Guarantor, jointly and severally, hereby irrevocably and unconditionally guarantees to (i) each Participant,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of itself and its Related Parties that are Beneficiaries (as hereinafter defined), and (ii) the Administrative Agent, for the benefit of itself and the other Beneficiaries (a) the full and prompt payment when due, whether by acceleration or otherwise, and at all times thereafter, and (b) the full and prompt performance when due of all of the Liabilities (as hereinafter defined) (or, in the case of such guarantee to each Participant, all of the Liabilities owed to such Participant and its Related Parties that are Beneficiaries), including, interest or yield on any such Liabilities, whether accruing before or after any bankruptcy or insolvency case or proceeding involving Lessee or any other Person, and, if interest or yield on any portion of such obligations ceases to accrue by operation of law by reason of the commencement of such case or proceeding, including such interest and yield as would have accrued on any such portion of such obligations if such case or proceeding had not commenced. Each Guarantor further agrees to pay all expenses (including reasonable attorneys’ fees actually incurred and legal expenses) paid or incurred by any Beneficiary in endeavoring to collect the Liabilities, or any part thereof, and in enforcing this Guaranty, subject to the limitations set forth in Section 15.17 of the Participation Agreement (including with respect to attorneys’ fees). The term “Beneficiaries,” as used herein, shall mean each of Lessor, Administrative Agent, each other Participant and each other Indemnitee. The term “Liabilities,” as used herein, shall mean all of the following, in each case howsoever created, arising or evidenced, whether direct or indirect, joint or several, absolute or contingent, or now or hereafter existing, or due or to become due: all Rent (including, but not limited to Basic Rent and Supplemental Rent), Lease Balance, Purchase Amount, Sale Option Recourse Amount, indemnities and all additional amounts and other sums at any time due and owing, and required to be paid, in each case of the foregoing, by Lessee under the terms of the Lease, the Participation Agreement or any other Operative Document and all other obligations, covenants and agreements to be performed by Lessee under the Lease, the Participation Agreement or any other Operative Document (whether or not Lessee, any Guarantor or any other Person shall be relieved or released from any or all liability or obligations under any thereof, except on account of the full and indefeasible payment and performance of all Liabilities).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any action or proceeding involving any state corporate law, or any state or federal bankruptcy, insolvency, reorganization or any other law affecting the rights of creditors generally, if the obligations of any Guarantor under this Guaranty would otherwise be held or determined to be void, invalid or unenforceable, or subordinated to the claims of any other creditors, on account of the amount of its liability under this Guaranty, then, notwithstanding any other provision hereof to the contrary, the amount of such liability shall, without any further action by such Guarantor or any other Person, be automatically limited and reduced to the highest amount which is valid and enforceable as determined in such action or proceeding.</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Guarantor agrees that upon the occurrence of an Event of Default described in Section 16.1(h) or (i) of the Lease, the Guarantors will pay to the Administrative Agent, for the benefit of the Beneficiaries, forthwith the full amount which would be payable hereunder by the Guarantors as if all Liabilities were then due and payable.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This Guaranty shall in all respects be an absolute and unconditional guaranty of payment and performance (and not of collection), and shall remain in full force and effect until the full and indefeasible payment and performance of all of the Liabilities and Guarantors’ obligations hereunder (notwithstanding, without limitation, the dissolution of Guarantors). The liability of Guarantors hereunder may be enforced without the Beneficiaries being required to resort to any other right, remedy or security;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enforcement shall be subject to any applicable grace or notice and cure period and shall be in accordance with Section 16.2 of the Lease;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an acceleration of the Lease Balance has not occurred pursuant to Section 16.2(e) or 16.2(i) of the Lease and a Payment Default exists under clause (ii) of such definition with respect to amounts owed to any Participant or its Related Parties that are Beneficiaries (other than a Payment Default with respect to (x) Basic Rent or (y) amounts owed to all Rent Assignees or all Participants), then such Participant may demand payment hereunder for such amounts.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obligations of Guarantor are independent of any obligations of Lessor, Administrative Agent, any Participant or any other Person under any of the Operative Documents. Each and every Event of Default under any of the Operative Documents with respect to the Liabilities shall give rise to a separate claim and cause of action hereunder, and separate claims or suits may be made and brought, as the case may be, hereunder as each such Event of Default occurs (subject to the provisos at the end of the immediately preceding paragraph).</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Lessor and/or Administrative Agent on behalf of itself and the Beneficiaries may, from time to time at its discretion and without notice to any Guarantor, but subject to the provisions of the Operative Documents, take any or all of the following actions: (a) retain or obtain a lien upon or a security interest in any property to secure any of the Liabilities or any obligation hereunder; (b) retain or obtain the primary or secondary obligation of any obligor or obligors, in addition to the Guarantors, with respect to any of the Liabilities; (c) extend or renew for one or more periods (regardless of whether longer than the original period), alter or exchange any of the Liabilities, or release or compromise any obligation of any Guarantor hereunder or any obligation of any nature of any other obligor with respect to any of the Liabilities (including, without limitation, Lessee); (d) release or fail to perfect its lien upon or security interest in, or impair, surrender, release or permit any substitution or exchange for, all or any part of any property securing any of the Liabilities or any obligation hereunder, or extend or renew for one or more periods (regardless of whether longer than the original period) or release, compromise, alter or exchange any obligations of any nature of any obligor with respect to any such property; and (e) resort to any Guarantor for payment of any of the Liabilities, regardless of whether Lessor, any Rent Assignee or any other Person shall have resorted to any property securing any of the Liabilities or any obligation hereunder or shall have proceeded against any other obligor primarily or secondarily obligated with respect to any of the Liabilities (all of the actions referred to in this paragraph being hereby expressly waived by each Guarantor).</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to the contrary herein, amounts paid or collected under this Guaranty shall be subject to Section 5.3 of the Participation Agreement, except to the extent otherwise expressly provided in any other applicable provision of the Participation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Section 2. Guarantor’s Obligations Unconditional</w:t>
      </w:r>
      <w:r>
        <w:rPr>
          <w:rFonts w:ascii="Arial" w:cs="Arial" w:eastAsia="Arial" w:hAnsi="Arial"/>
          <w:sz w:val="17"/>
          <w:szCs w:val="17"/>
          <w:color w:val="auto"/>
        </w:rPr>
        <w:t>. Guarantors’ obligations hereunder are independent of Lessee’s obligations under the Lease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other Operative Documents or in respect of any other Person, and the Administrative Agent, for the benefit of the Beneficiaries, may enforce any of its rights hereunder independently of any other right or remedy that it or any other Beneficiary may at any time hold with respect to the Liabilities or any security or other guaranty therefor. Such obligations shall be absolute and unconditional, shall not be subject to any counterclaim, setoff, deduction (other than deductions or withholdings in respect of Taxes that are permitted by the Operative Documents), diminution, abatement, recoupment, suspension, deferment, reduction or defense (other than full and indefeasible payment and performance of all of the Liabilities), whether based upon any claim that Lessee, Guarantor or any other Person may have against any Beneficiary or any other Person or otherwise, and shall remain in full force and effect without regard to, and shall not be released, discharged or in any way affected by, any circumstance or condition whatsoever (other than full and indefeasible payment and performance of all of the Liabilities or as otherwise expressly permitted by Section 17) (whether or not any Guarantor or any other Person shall have any knowledge or notice thereof), including, without limitation, any of the following:</w:t>
      </w:r>
    </w:p>
    <w:p>
      <w:pPr>
        <w:spacing w:after="0" w:line="185" w:lineRule="exact"/>
        <w:rPr>
          <w:sz w:val="20"/>
          <w:szCs w:val="20"/>
          <w:color w:val="auto"/>
        </w:rPr>
      </w:pPr>
    </w:p>
    <w:p>
      <w:pPr>
        <w:jc w:val="both"/>
        <w:ind w:left="660" w:firstLine="644"/>
        <w:spacing w:after="0" w:line="255" w:lineRule="auto"/>
        <w:tabs>
          <w:tab w:leader="none" w:pos="182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subject to the terms of the Lease and the other Operative Documents, any amendment, modification, addition, deletion, supplement or renewal to or of or other change in the Liabilities or any Operative Document or any of the agreements referred to in any thereof, or any other instrument or agreement applicable to any Operative Document or any of the parties to such agreements, or to the Leased Property, or any assignment, mortgage or transfer thereof or of any interest therein, or any furnishing or acceptance of additional security for, guaranty of or right of offset with respect to, any of the Liabilities; or the failure of any security or the failure of any Beneficiary to perfect or insure any interest in any collateral;</w:t>
      </w:r>
    </w:p>
    <w:p>
      <w:pPr>
        <w:spacing w:after="0" w:line="192" w:lineRule="exact"/>
        <w:rPr>
          <w:rFonts w:ascii="Arial" w:cs="Arial" w:eastAsia="Arial" w:hAnsi="Arial"/>
          <w:sz w:val="18"/>
          <w:szCs w:val="18"/>
          <w:color w:val="auto"/>
        </w:rPr>
      </w:pPr>
    </w:p>
    <w:p>
      <w:pPr>
        <w:ind w:left="660" w:firstLine="644"/>
        <w:spacing w:after="0" w:line="277" w:lineRule="auto"/>
        <w:tabs>
          <w:tab w:leader="none" w:pos="181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failure, omission or delay on the part of Lessee, any Beneficiary or any other Guarantor to conform or comply with any term of any instrument or agreement referred to in clause (A) above;</w:t>
      </w:r>
    </w:p>
    <w:p>
      <w:pPr>
        <w:spacing w:after="0" w:line="170" w:lineRule="exact"/>
        <w:rPr>
          <w:rFonts w:ascii="Arial" w:cs="Arial" w:eastAsia="Arial" w:hAnsi="Arial"/>
          <w:sz w:val="18"/>
          <w:szCs w:val="18"/>
          <w:color w:val="auto"/>
        </w:rPr>
      </w:pPr>
    </w:p>
    <w:p>
      <w:pPr>
        <w:jc w:val="both"/>
        <w:ind w:left="660" w:firstLine="644"/>
        <w:spacing w:after="0" w:line="279" w:lineRule="auto"/>
        <w:tabs>
          <w:tab w:leader="none" w:pos="181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any waiver, consent, extension, indulgence, compromise, release or other action or inaction under or in respect of any instrument, agreement, guaranty, right of offset or security referred to in clause (A) above or any obligation or liability of Lessee or any Beneficiary or any other Person, or any exercise or non-exercise by any Beneficiary or any other Person of any right, remedy, power or privilege under or in respect of any such instrument, agreement, guaranty, right of offset or security or any such obligation or liability;</w:t>
      </w:r>
    </w:p>
    <w:p>
      <w:pPr>
        <w:spacing w:after="0" w:line="171" w:lineRule="exact"/>
        <w:rPr>
          <w:rFonts w:ascii="Arial" w:cs="Arial" w:eastAsia="Arial" w:hAnsi="Arial"/>
          <w:sz w:val="17"/>
          <w:szCs w:val="17"/>
          <w:color w:val="auto"/>
        </w:rPr>
      </w:pPr>
    </w:p>
    <w:p>
      <w:pPr>
        <w:jc w:val="both"/>
        <w:ind w:left="660" w:right="20" w:firstLine="644"/>
        <w:spacing w:after="0" w:line="263" w:lineRule="auto"/>
        <w:tabs>
          <w:tab w:leader="none" w:pos="182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bankruptcy, insolvency, reorganization, arrangement, readjustment, composition, liquidation or similar proceeding with respect to Lessee, any Beneficiary, any Guarantor or any other guarantor or obligor of any Liabilities or any of their respective properties, or any action taken by any trustee, receiver or court in any such proceeding;</w:t>
      </w:r>
    </w:p>
    <w:p>
      <w:pPr>
        <w:spacing w:after="0" w:line="183" w:lineRule="exact"/>
        <w:rPr>
          <w:rFonts w:ascii="Arial" w:cs="Arial" w:eastAsia="Arial" w:hAnsi="Arial"/>
          <w:sz w:val="18"/>
          <w:szCs w:val="18"/>
          <w:color w:val="auto"/>
        </w:rPr>
      </w:pPr>
    </w:p>
    <w:p>
      <w:pPr>
        <w:jc w:val="both"/>
        <w:ind w:left="660" w:firstLine="644"/>
        <w:spacing w:after="0" w:line="296" w:lineRule="auto"/>
        <w:tabs>
          <w:tab w:leader="none" w:pos="180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subject to Sections 15.15 and 15.16 of the Participation Agreement, any limitation on the liability or obligations of any Person (including, without limitation, Lessee) under any Operative Document, the Liabilities, any collateral security for the Liabilities, any other guaranty of the Liabilities or any discharge, termination, cancellation, frustration, irregularity, invalidity or unenforceability, in whole or in part, of any of the foregoing or any other agreement, instrument, guaranty or security referred to in clause (A) above or any term of any thereof (other than any such discharge, termination or cancellation as a result of full and indefeasible payment and performance of all of the Liabilities);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left="660" w:firstLine="644"/>
        <w:spacing w:after="0" w:line="255" w:lineRule="auto"/>
        <w:tabs>
          <w:tab w:leader="none" w:pos="177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defect in the title, compliance with specifications, condition, design, operation or fitness for use of, or any damage to or loss or destruction of, or any interruption or cessation in the use of the Leased Property by Lessee or any other Person for any reason whatsoever (including, without limitation, any governmental prohibition or restriction, condemnation, requisition, seizure or any other act on the part of any governmental or military authority, or any act of God or of the public enemy) regardless of the duration thereof (even though such duration would otherwise constitute a frustration of a lease), whether or not resulting from accident and whether or not without fault on the part of Lessee or any other Person;</w:t>
      </w:r>
    </w:p>
    <w:p>
      <w:pPr>
        <w:spacing w:after="0" w:line="192" w:lineRule="exact"/>
        <w:rPr>
          <w:rFonts w:ascii="Arial" w:cs="Arial" w:eastAsia="Arial" w:hAnsi="Arial"/>
          <w:sz w:val="18"/>
          <w:szCs w:val="18"/>
          <w:color w:val="auto"/>
        </w:rPr>
      </w:pPr>
    </w:p>
    <w:p>
      <w:pPr>
        <w:ind w:left="660" w:firstLine="644"/>
        <w:spacing w:after="0" w:line="277" w:lineRule="auto"/>
        <w:tabs>
          <w:tab w:leader="none" w:pos="180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merger or consolidation of Lessee or any Guarantor into or with any other Person, or any sale, lease or transfer of any of the assets of Lessee or any Guarantor to any other Person, except as otherwise expressly provided by Section 17;</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80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change in the ownership of any shares of capital stock of Lessee or any Guarantor or any corporate change in Lessee or any Guarantor, except as otherwise expressly provided by Section 17;</w:t>
      </w:r>
    </w:p>
    <w:p>
      <w:pPr>
        <w:spacing w:after="0" w:line="170" w:lineRule="exact"/>
        <w:rPr>
          <w:rFonts w:ascii="Arial" w:cs="Arial" w:eastAsia="Arial" w:hAnsi="Arial"/>
          <w:sz w:val="18"/>
          <w:szCs w:val="18"/>
          <w:color w:val="auto"/>
        </w:rPr>
      </w:pPr>
    </w:p>
    <w:p>
      <w:pPr>
        <w:ind w:left="660" w:firstLine="644"/>
        <w:spacing w:after="0" w:line="277" w:lineRule="auto"/>
        <w:tabs>
          <w:tab w:leader="none" w:pos="17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recovery of judgment against Lessee, or by any levy of any writ or process of execution under any such judgment (except to the extent such recovery indefeasibly reduces the Liabilities);</w:t>
      </w:r>
    </w:p>
    <w:p>
      <w:pPr>
        <w:spacing w:after="0" w:line="170" w:lineRule="exact"/>
        <w:rPr>
          <w:rFonts w:ascii="Arial" w:cs="Arial" w:eastAsia="Arial" w:hAnsi="Arial"/>
          <w:sz w:val="18"/>
          <w:szCs w:val="18"/>
          <w:color w:val="auto"/>
        </w:rPr>
      </w:pPr>
    </w:p>
    <w:p>
      <w:pPr>
        <w:ind w:left="660" w:firstLine="644"/>
        <w:spacing w:after="0" w:line="277" w:lineRule="auto"/>
        <w:tabs>
          <w:tab w:leader="none" w:pos="179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legal characterization of the obligations created by the Lease and the other Operative Documents as a lease, a secured financing or otherwise;</w:t>
      </w:r>
    </w:p>
    <w:p>
      <w:pPr>
        <w:spacing w:after="0" w:line="170" w:lineRule="exact"/>
        <w:rPr>
          <w:rFonts w:ascii="Arial" w:cs="Arial" w:eastAsia="Arial" w:hAnsi="Arial"/>
          <w:sz w:val="18"/>
          <w:szCs w:val="18"/>
          <w:color w:val="auto"/>
        </w:rPr>
      </w:pPr>
    </w:p>
    <w:p>
      <w:pPr>
        <w:ind w:left="1800" w:hanging="496"/>
        <w:spacing w:after="0"/>
        <w:tabs>
          <w:tab w:leader="none" w:pos="18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absence of any notice to, or knowledge of, Guarantors of the existence or occurrence of any of the foregoing clauses (A) through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(J); or</w:t>
      </w:r>
    </w:p>
    <w:p>
      <w:pPr>
        <w:spacing w:after="0" w:line="210" w:lineRule="exact"/>
        <w:rPr>
          <w:rFonts w:ascii="Arial" w:cs="Arial" w:eastAsia="Arial" w:hAnsi="Arial"/>
          <w:sz w:val="16"/>
          <w:szCs w:val="16"/>
          <w:color w:val="auto"/>
        </w:rPr>
      </w:pPr>
    </w:p>
    <w:p>
      <w:pPr>
        <w:jc w:val="both"/>
        <w:ind w:left="660" w:firstLine="644"/>
        <w:spacing w:after="0" w:line="259" w:lineRule="auto"/>
        <w:tabs>
          <w:tab w:leader="none" w:pos="180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other occurrence or circumstance whatsoever, whether similar or dissimilar to the foregoing, and any other circumstance that might otherwise constitute a legal or equitable defense or discharge of the liabilities of a guarantor or surety or that might otherwise limit recourse against the Guarantors (other than full and indefeasible payment and performance of all of the Liabilities or as otherwise expressly permitted by Section 17).</w:t>
      </w:r>
    </w:p>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obligations of the Guarantors set forth herein constitute the full recourse obligations of the Guarantors enforceable against them on a joint and several basis to the full extent of all their respective assets and properties, notwithstanding any provision in the Lease or any other Operative Documents.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Each Guarantor waives any and all notice of the creation, renewal, extension or accrual of any of the Liabilities and notice of or proof of reliance by any Beneficiary upon this Guaranty or acceptance of this Guaranty, and the Liabilities, and any of them, shall conclusively be deemed to have been created, contracted or incurred in reliance upon this Guaranty;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constitute a waiver of any notice specifically required to be given to such Guarantor by any Beneficiary under any of the Operative Documents. Each Guarantor unconditionally waives, to the extent permitted by law: (a) acceptance of this Guaranty and proof of reliance by any Beneficiary hereon; (b) notice of any of the matters referred to in clauses (A) through</w:t>
      </w:r>
    </w:p>
    <w:p>
      <w:pPr>
        <w:spacing w:after="0" w:line="2" w:lineRule="exact"/>
        <w:rPr>
          <w:sz w:val="20"/>
          <w:szCs w:val="20"/>
          <w:color w:val="auto"/>
        </w:rPr>
      </w:pPr>
    </w:p>
    <w:p>
      <w:pPr>
        <w:jc w:val="both"/>
        <w:ind w:firstLine="8"/>
        <w:spacing w:after="0" w:line="281" w:lineRule="auto"/>
        <w:tabs>
          <w:tab w:leader="none" w:pos="289"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above (other than any notice specifically required to be given to such Guarantor by any Beneficiary under any of the Operative Documents), or any right to consent or assent to any thereof (except to the extent the consent of such Guarantor with respect thereto is specifically required under any of the Operative Documents); (c) all notices that may be required by statute, rule of law or otherwise, now or hereafter in effect, to preserve intact any rights against Guarantor, including, without limitation, any demand, presentment, protest, proof or notice of nonpayment under any Operative Document, and notice of default or any failure on the part of Lessee to perform and comply with any covenant, agreement, term or condition of any Operative Document (in any such case, other than any notice specifically required to be given to such Guarantor by any Beneficiary under any of the Operative Documents);</w:t>
      </w:r>
    </w:p>
    <w:p>
      <w:pPr>
        <w:spacing w:after="0" w:line="3"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color w:val="auto"/>
        </w:rPr>
        <w:t>(d) any right to the enforcement, assertion or exercise against Lessee of any right, power, privilege or remedy conferred in any Operative Document or otherwise; (e) any requirement of diligence on the part of any Person; (f) any requirement of any Beneficiary to take any action whatsoever, to exhaust any remedies or to mitigate the damages resulting from a default by any Person under any Operative Document; (g) any notice of any sale, transfer or other disposition by any Person of any right under, title to or interest in any Operative Document or the Leased Property; and (h) any other circumstance whatsoever that might otherwise constitute a legal or equitable discharge, release or defense of a guarantor or surety, or that might otherwise limit recourse against any Guarantor (other than full and indefeasible payment and performance of all of the Liabilities or as otherwise expressly permitted by Section 17).</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Guarantor agrees that this Guaranty shall be automatically reinstated if and to the extent that for any reason any payment under any Operative Document by or on behalf of itself or Lessee is rescinded or must be otherwise disgorged or restored by any Beneficiary whether as a result of any proceedings in bankruptcy or reorganization or otherwise.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Guarantor further agrees that, without limiting the generality of this Guaranty, if an Event of Default shall have occurred and be continuing and any Beneficiary is prevented by Applicable Law from exercising its remedies under the Operative Documents, the Administrative Agent shall be entitled to receive hereunder from Guarantors, upon demand therefor, the sums which would have otherwise been due from Lessee to any such Beneficiary had such remedies been exercised.</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Notwithstanding anything to the contrary herein, nothing contained in this Section 2 shall (i) prevent the assertion by any Guarantor or Lessee of any claim such Person may have against any Beneficiary by separate suit or proceedings or by compulsory counterclaim or (ii) constitute a waiver of any such claim, including, without limitation, any such claim arising from any breach or non-compliance by any Beneficiary of any Operative Document or any term of any instrument or agreement referred to in clause (A) of the first paragraph of this Section 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Section 3. Subordination of Subrogation. </w:t>
      </w:r>
      <w:r>
        <w:rPr>
          <w:rFonts w:ascii="Arial" w:cs="Arial" w:eastAsia="Arial" w:hAnsi="Arial"/>
          <w:sz w:val="17"/>
          <w:szCs w:val="17"/>
          <w:color w:val="auto"/>
        </w:rPr>
        <w:t>Until full and indefeasible payment and performance of all of the Liabilities or the termination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Guaranty pursuant to Section 17(d), no Guarantor will exercise any rights with respect to any claim or other rights which it may now or hereafter acquire against Lessee arising from the existence, payment, performance or enforcement of such Guarantor’s obligations under this Guaranty or any other Operative Document, including any right of subrogation, reimbursement, contribution, exoneration, or indemnification, any right to participate in any claim or remedy of any Beneficiary against Lessee or any property or assets now or hereafter constituting part of the Collateral, whether or not such claim, remedy or right arises in equity, or under contract, statute or common law, including the right to take or receive from Lessee directly or indirectly, in cash or other property or by setoff or in any manner, payment or security on account of such claim or other rights (other than to file proofs of claims only if the obligation owing to each Beneficiary hereunder has been fully satisfied). If any amount shall be paid to any Guarantor in violation of the preceding sentence and the Liabilities shall not have been indefeasibly paid in cash or this Guaranty terminated pursuant to Section 17(d), such amount shall be deemed to have been paid to such Guarantor for the benefit of, and held in trust for, the Administrative Agent, for the benefit of the Beneficiaries, and shall forthwith be paid to the Administrative Agent to be credited and applied pursuant to the terms of the Operative Documents. Each Guarantor acknowledges that it will receive direct and indirect benefits from the financing arrangements contemplated by the Operative Documents and that the waiver set forth in this paragraph is knowingly made in contemplation of such benefits.</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Guarantor hereby absolutely, unconditionally and irrevocably waives and agrees not to assert or take advantage of any defense based upon an election of remedies by any Beneficiary, including an election to proceed by nonjudicial rather than judicial foreclosure, which destroys or impairs any right of subrogation of such Guarantor or the right of such Guarantor to proceed against any Person for reimbursement, or both.</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all the Liabilities shall be paid indefeasibly in full or performed, Lessee, Lessor, Administrative Agent and/or the Rent Assignees, as the case may be, will, at Guarantors’ request and expense, execute and deliver to Guarantors appropriate documents, without recourse and without warranty or representation, necessary to evidence the transfer by subrogation to Guarantors of an interest in the Liabilities resulting from such payment by Guarantors.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4. Reasonableness and Effect of Waivers</w:t>
      </w:r>
      <w:r>
        <w:rPr>
          <w:rFonts w:ascii="Arial" w:cs="Arial" w:eastAsia="Arial" w:hAnsi="Arial"/>
          <w:sz w:val="18"/>
          <w:szCs w:val="18"/>
          <w:color w:val="auto"/>
        </w:rPr>
        <w:t>. Each Guarantor warrants and agrees that each of the waivers set forth in this Guaranty is</w:t>
      </w:r>
      <w:r>
        <w:rPr>
          <w:rFonts w:ascii="Arial" w:cs="Arial" w:eastAsia="Arial" w:hAnsi="Arial"/>
          <w:sz w:val="18"/>
          <w:szCs w:val="18"/>
          <w:i w:val="1"/>
          <w:iCs w:val="1"/>
          <w:color w:val="auto"/>
        </w:rPr>
        <w:t xml:space="preserve"> </w:t>
      </w:r>
      <w:r>
        <w:rPr>
          <w:rFonts w:ascii="Arial" w:cs="Arial" w:eastAsia="Arial" w:hAnsi="Arial"/>
          <w:sz w:val="18"/>
          <w:szCs w:val="18"/>
          <w:color w:val="auto"/>
        </w:rPr>
        <w:t>made with full knowledge of its significance and consequences and that, under the circumstances, the waivers are reasonable and not contrary to public policy or law. If any of such waivers are determined to be contrary to any Applicable Law or public policy, such waivers shall be effective only to the maximum extent permitted by law.</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Section 5. Transfers by Beneficiaries</w:t>
      </w:r>
      <w:r>
        <w:rPr>
          <w:rFonts w:ascii="Arial" w:cs="Arial" w:eastAsia="Arial" w:hAnsi="Arial"/>
          <w:sz w:val="17"/>
          <w:szCs w:val="17"/>
          <w:color w:val="auto"/>
        </w:rPr>
        <w:t>. Each Beneficiary may, from time to time, whether before or after any discontinuance of this Guaranty, at</w:t>
      </w:r>
      <w:r>
        <w:rPr>
          <w:rFonts w:ascii="Arial" w:cs="Arial" w:eastAsia="Arial" w:hAnsi="Arial"/>
          <w:sz w:val="17"/>
          <w:szCs w:val="17"/>
          <w:i w:val="1"/>
          <w:iCs w:val="1"/>
          <w:color w:val="auto"/>
        </w:rPr>
        <w:t xml:space="preserve"> </w:t>
      </w:r>
      <w:r>
        <w:rPr>
          <w:rFonts w:ascii="Arial" w:cs="Arial" w:eastAsia="Arial" w:hAnsi="Arial"/>
          <w:sz w:val="17"/>
          <w:szCs w:val="17"/>
          <w:color w:val="auto"/>
        </w:rPr>
        <w:t>its sole discretion and without notice to Guarantors, assign or transfer any or all of its portion of the Liabilities or any interest therein in accordance with the terms and conditions of the Operative Documents; and, notwithstanding any such assignment or transfer or any subsequent assignment or transfer thereof, such Liabilities shall be and remain Liabilities for the purposes of this Guaranty, and each and every immediate and successive permitted assignee or transferee of any of the Liabilities or of any interest therein shall, to the extent of such assignee’s or transferee’s interest in the Liabilities, be entitled to the benefits of this Guaranty to the same extent as if such assignee or transferee were such Beneficiary.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Section 6. No Waiver by Beneficiaries</w:t>
      </w:r>
      <w:r>
        <w:rPr>
          <w:rFonts w:ascii="Arial" w:cs="Arial" w:eastAsia="Arial" w:hAnsi="Arial"/>
          <w:sz w:val="17"/>
          <w:szCs w:val="17"/>
          <w:color w:val="auto"/>
        </w:rPr>
        <w:t>. No delay in the exercise of any right or remedy shall operate as a waiver thereof, and no single or</w:t>
      </w:r>
      <w:r>
        <w:rPr>
          <w:rFonts w:ascii="Arial" w:cs="Arial" w:eastAsia="Arial" w:hAnsi="Arial"/>
          <w:sz w:val="17"/>
          <w:szCs w:val="17"/>
          <w:i w:val="1"/>
          <w:iCs w:val="1"/>
          <w:color w:val="auto"/>
        </w:rPr>
        <w:t xml:space="preserve"> </w:t>
      </w:r>
      <w:r>
        <w:rPr>
          <w:rFonts w:ascii="Arial" w:cs="Arial" w:eastAsia="Arial" w:hAnsi="Arial"/>
          <w:sz w:val="17"/>
          <w:szCs w:val="17"/>
          <w:color w:val="auto"/>
        </w:rPr>
        <w:t>partial exercise of any right or remedy shall preclude other or further exercise thereof or the exercise of any other right or remedy. The rights and remedies provided in this Guaranty shall be cumulative and not exclusive of any rights or remedies provided by Applicable Law. Each Guarantor hereby acknowledges that there are no conditions to the effectiveness of this Guaranty, other than the occurrence of the Restatement Date.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Section 7. Guarantor Representations and Warranties. </w:t>
      </w:r>
      <w:r>
        <w:rPr>
          <w:rFonts w:ascii="Arial" w:cs="Arial" w:eastAsia="Arial" w:hAnsi="Arial"/>
          <w:sz w:val="18"/>
          <w:szCs w:val="18"/>
          <w:color w:val="auto"/>
        </w:rPr>
        <w:t>Parent Guarantor, on behalf of itself and its Subsidiaries, and as applicable, each</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Guarantor (as to itself), represents and warrants to the Administrative Agent and each of the Participants as of the Restatement Date, other than with respect to Disclosed Matters, that:</w:t>
      </w:r>
    </w:p>
    <w:p>
      <w:pPr>
        <w:spacing w:after="0" w:line="184" w:lineRule="exact"/>
        <w:rPr>
          <w:sz w:val="20"/>
          <w:szCs w:val="20"/>
          <w:color w:val="auto"/>
        </w:rPr>
      </w:pPr>
    </w:p>
    <w:p>
      <w:pPr>
        <w:jc w:val="both"/>
        <w:ind w:left="660" w:firstLine="644"/>
        <w:spacing w:after="0" w:line="287" w:lineRule="auto"/>
        <w:tabs>
          <w:tab w:leader="none" w:pos="1777" w:val="left"/>
        </w:tabs>
        <w:numPr>
          <w:ilvl w:val="1"/>
          <w:numId w:val="198"/>
        </w:numPr>
        <w:rPr>
          <w:rFonts w:ascii="Arial" w:cs="Arial" w:eastAsia="Arial" w:hAnsi="Arial"/>
          <w:sz w:val="16"/>
          <w:szCs w:val="16"/>
          <w:color w:val="auto"/>
        </w:rPr>
      </w:pPr>
      <w:r>
        <w:rPr>
          <w:rFonts w:ascii="Arial" w:cs="Arial" w:eastAsia="Arial" w:hAnsi="Arial"/>
          <w:sz w:val="16"/>
          <w:szCs w:val="16"/>
          <w:i w:val="1"/>
          <w:iCs w:val="1"/>
          <w:color w:val="auto"/>
        </w:rPr>
        <w:t>Organization; Powers; Subsidiaries</w:t>
      </w:r>
      <w:r>
        <w:rPr>
          <w:rFonts w:ascii="Arial" w:cs="Arial" w:eastAsia="Arial" w:hAnsi="Arial"/>
          <w:sz w:val="16"/>
          <w:szCs w:val="16"/>
          <w:color w:val="auto"/>
        </w:rPr>
        <w:t>. Each Guarantor and its Material Subsidiaries (i) is duly organized or incorporated, as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may be, validly existing and in good standing (to the extent the concept is applicable in such jurisdiction) under the laws of the jurisdiction of its organization or incorporation, as applicable, (ii) has all requisite organizational power and authority to carry on its business as now conducted and</w:t>
      </w:r>
    </w:p>
    <w:p>
      <w:pPr>
        <w:spacing w:after="0" w:line="2" w:lineRule="exact"/>
        <w:rPr>
          <w:rFonts w:ascii="Arial" w:cs="Arial" w:eastAsia="Arial" w:hAnsi="Arial"/>
          <w:sz w:val="16"/>
          <w:szCs w:val="16"/>
          <w:color w:val="auto"/>
        </w:rPr>
      </w:pPr>
    </w:p>
    <w:p>
      <w:pPr>
        <w:jc w:val="both"/>
        <w:ind w:left="660" w:hanging="4"/>
        <w:spacing w:after="0" w:line="285" w:lineRule="auto"/>
        <w:tabs>
          <w:tab w:leader="none" w:pos="9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is qualified to do business in, and (to the extent the concept is applicable in such jurisdiction) is in good standing in, every jurisdiction where its ownership, lease or operation of properties or the conduct of its business requires such qualification, in any such clauses (i) (solely with respect to the good standing status of any such Subsidiary that is not a Guarantor), (ii) (solely with respect to the power and authority of any such Subsidiary that is not a Guarantor) and (iii) above, except where the failure to do so could not reasonably be expected to result in a Material Adverse Effect. Schedule 7(a) hereto identifies each Subsidiary as of the Restatement Date, noting whether such Subsidiary is a Material Domestic Subsidiary and/or a Material Subsidiary as of the Restatement Date, the jurisdiction of its incorporation or organization, as the case may be, the percentage of issued and outstanding shares of each class of its capital stock or other equity interests owned by the Parent Guarantor and the other Subsidiaries and, if such percentage is not 100% (excluding (x) directors’ qualifying shares and (y) shares issued to foreign nationals to the extent required by applicable law), a description of each class issued and outstanding. All of the outstanding shares of capital stock and other equity interests of the Lessee and each Material Subsidiary are validly issued and outstanding and fully paid and nonassessable and all such shares and other equity interests indicated on Schedule 7(a) as owned by the Parent Guarantor or another Subsidiary are owned, beneficially and of record, by the Parent Guarantor or any Subsidiary as of the Restatement Date free and clear of all Liens, other than Liens permitted pursuant to Section 9(b).</w:t>
      </w:r>
    </w:p>
    <w:p>
      <w:pPr>
        <w:spacing w:after="0" w:line="171" w:lineRule="exact"/>
        <w:rPr>
          <w:rFonts w:ascii="Arial" w:cs="Arial" w:eastAsia="Arial" w:hAnsi="Arial"/>
          <w:sz w:val="16"/>
          <w:szCs w:val="16"/>
          <w:color w:val="auto"/>
        </w:rPr>
      </w:pPr>
    </w:p>
    <w:p>
      <w:pPr>
        <w:jc w:val="both"/>
        <w:ind w:left="660" w:firstLine="644"/>
        <w:spacing w:after="0" w:line="273" w:lineRule="auto"/>
        <w:tabs>
          <w:tab w:leader="none" w:pos="1787" w:val="left"/>
        </w:tabs>
        <w:numPr>
          <w:ilvl w:val="1"/>
          <w:numId w:val="199"/>
        </w:numPr>
        <w:rPr>
          <w:rFonts w:ascii="Arial" w:cs="Arial" w:eastAsia="Arial" w:hAnsi="Arial"/>
          <w:sz w:val="17"/>
          <w:szCs w:val="17"/>
          <w:color w:val="auto"/>
        </w:rPr>
      </w:pPr>
      <w:r>
        <w:rPr>
          <w:rFonts w:ascii="Arial" w:cs="Arial" w:eastAsia="Arial" w:hAnsi="Arial"/>
          <w:sz w:val="17"/>
          <w:szCs w:val="17"/>
          <w:i w:val="1"/>
          <w:iCs w:val="1"/>
          <w:color w:val="auto"/>
        </w:rPr>
        <w:t xml:space="preserve">Authorization; Enforceability. </w:t>
      </w:r>
      <w:r>
        <w:rPr>
          <w:rFonts w:ascii="Arial" w:cs="Arial" w:eastAsia="Arial" w:hAnsi="Arial"/>
          <w:sz w:val="17"/>
          <w:szCs w:val="17"/>
          <w:color w:val="auto"/>
        </w:rPr>
        <w:t>The Operative Documents are within each Guarantor’s organizational powers and have been duly</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by all necessary organizational actions and, if required, actions by equity holders of such Guarantor. The Operative Documents to which any Guarantor is a party have been duly executed and delivered by such Guarantor and constitute a legal, valid and binding obligation of such Guarantor, enforceable against such Guarantor in accordance with its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660" w:firstLine="644"/>
        <w:spacing w:after="0" w:line="269" w:lineRule="auto"/>
        <w:tabs>
          <w:tab w:leader="none" w:pos="1777"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t>Governmental Approvals; No Conflicts</w:t>
      </w:r>
      <w:r>
        <w:rPr>
          <w:rFonts w:ascii="Arial" w:cs="Arial" w:eastAsia="Arial" w:hAnsi="Arial"/>
          <w:sz w:val="17"/>
          <w:szCs w:val="17"/>
          <w:color w:val="auto"/>
        </w:rPr>
        <w:t>. The execution, delivery and performance by each Guarantor of the Operative Documents</w:t>
      </w:r>
      <w:r>
        <w:rPr>
          <w:rFonts w:ascii="Arial" w:cs="Arial" w:eastAsia="Arial" w:hAnsi="Arial"/>
          <w:sz w:val="17"/>
          <w:szCs w:val="17"/>
          <w:i w:val="1"/>
          <w:iCs w:val="1"/>
          <w:color w:val="auto"/>
        </w:rPr>
        <w:t xml:space="preserve"> </w:t>
      </w:r>
      <w:r>
        <w:rPr>
          <w:rFonts w:ascii="Arial" w:cs="Arial" w:eastAsia="Arial" w:hAnsi="Arial"/>
          <w:sz w:val="17"/>
          <w:szCs w:val="17"/>
          <w:color w:val="auto"/>
        </w:rPr>
        <w:t>to which such Guarantor is a party (i) do not require any consent or approval of, registration or filing with, or any other action by, any Governmental Authority, except such as are not material or have been, or will be by the time required, obtained or made and are, or will be by the time required, in full force and effect, (ii) will not violate in any material respect any applicable material law or regulation or the charter, by-laws, constitution or other organizational documents of such Guarantor or any material order of any Governmental Authority binding upon any Guarantor or its assets, (iii) will not violate in any material respect or result in a default under any indenture, material agreement or other material instrument binding upon such Guarantor or any of its Material Subsidiaries or its assets, or give rise to a right thereunder to require any payment to be made by any Guarantor or any of its Material Subsidiaries, except, in the case of this clause (iii), for any such violations, defaults or rights that could not reasonably be expected to result in a Material Adverse Effect, and (iv) will not result in the creation or imposition of any Lien on any asset of such Guarantor or any of its Material Subsidiaries, other than Permitted Liens and requirements (if any) to provide cash collateral or deposits under any of the Operative Documents.</w:t>
      </w:r>
    </w:p>
    <w:p>
      <w:pPr>
        <w:spacing w:after="0" w:line="181" w:lineRule="exact"/>
        <w:rPr>
          <w:rFonts w:ascii="Arial" w:cs="Arial" w:eastAsia="Arial" w:hAnsi="Arial"/>
          <w:sz w:val="17"/>
          <w:szCs w:val="17"/>
          <w:color w:val="auto"/>
        </w:rPr>
      </w:pPr>
    </w:p>
    <w:p>
      <w:pPr>
        <w:jc w:val="both"/>
        <w:ind w:left="660" w:firstLine="644"/>
        <w:spacing w:after="0" w:line="301" w:lineRule="auto"/>
        <w:tabs>
          <w:tab w:leader="none" w:pos="1787"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t>Financial Condition; No Material Adverse Change</w:t>
      </w:r>
      <w:r>
        <w:rPr>
          <w:rFonts w:ascii="Arial" w:cs="Arial" w:eastAsia="Arial" w:hAnsi="Arial"/>
          <w:sz w:val="16"/>
          <w:szCs w:val="16"/>
          <w:color w:val="auto"/>
        </w:rPr>
        <w:t>. (i) The Parent Guarantor has heretofore furnished to the Participants its</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balance sheet and statements of operations, stockholders equity and cash flows as of and for the fiscal year ended December 31, 2021. Such financial statements present fairly, in all material respects, the financial position of the Parent Guarantor and its consolidated Subsidiaries as of the end of such fiscal year and their results of operations for such fiscal year on a consolidated basis in accordance with GAAP.</w:t>
      </w:r>
    </w:p>
    <w:p>
      <w:pPr>
        <w:spacing w:after="0" w:line="157" w:lineRule="exact"/>
        <w:rPr>
          <w:sz w:val="20"/>
          <w:szCs w:val="20"/>
          <w:color w:val="auto"/>
        </w:rPr>
      </w:pPr>
    </w:p>
    <w:p>
      <w:pPr>
        <w:ind w:left="660" w:firstLine="644"/>
        <w:spacing w:after="0" w:line="308" w:lineRule="auto"/>
        <w:tabs>
          <w:tab w:leader="none" w:pos="179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As of the Restatement Date and excluding any Disclosed Matters, since September 30, 2021, there has been no material adverse change in the business, results of operations or financial condition of the Parent Guarantor and its Subsidiaries, taken as a whole.</w:t>
      </w:r>
    </w:p>
    <w:p>
      <w:pPr>
        <w:spacing w:after="0" w:line="146" w:lineRule="exact"/>
        <w:rPr>
          <w:sz w:val="20"/>
          <w:szCs w:val="20"/>
          <w:color w:val="auto"/>
        </w:rPr>
      </w:pPr>
    </w:p>
    <w:p>
      <w:pPr>
        <w:jc w:val="both"/>
        <w:ind w:left="660" w:firstLine="644"/>
        <w:spacing w:after="0" w:line="259" w:lineRule="auto"/>
        <w:tabs>
          <w:tab w:leader="none" w:pos="1777"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Properties. </w:t>
      </w:r>
      <w:r>
        <w:rPr>
          <w:rFonts w:ascii="Arial" w:cs="Arial" w:eastAsia="Arial" w:hAnsi="Arial"/>
          <w:sz w:val="18"/>
          <w:szCs w:val="18"/>
          <w:color w:val="auto"/>
        </w:rPr>
        <w:t>(i) Except for Liens permitted pursuant to Section 9(b), each of the Parent Guarantor and its Subsidiaries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Lessee) has good title to, or (to the knowledge of the Parent Guarantor) valid leasehold interests in, all its real and personal property (other than intellectual property, which is subject to Section 7(e)(ii)) material to its business, except as could not reasonably be expected to result in a Material Adverse Effect.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25" w:name="page226"/>
    <w:bookmarkEnd w:id="225"/>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660" w:firstLine="644"/>
        <w:spacing w:after="0" w:line="257" w:lineRule="auto"/>
        <w:tabs>
          <w:tab w:leader="none" w:pos="179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Except for Disclosed Matters or as could not reasonably be expected to result in a Material Adverse Effect, (A) each of the Parent Guarantor and its Subsidiaries (including the Lessee) owns or is licensed to use (subject to the knowledge-qualified infringement representation in this Section 7(e)) all trademarks, trade names, copyrights, patents and other intellectual property material to its business, and (B) the use thereof by the Parent Guarantor and its Subsidiaries (including the Lessee), to the Parent Guarantor’s knowledge, does not infringe upon the rights of any other Person.</w:t>
      </w:r>
    </w:p>
    <w:p>
      <w:pPr>
        <w:spacing w:after="0" w:line="188" w:lineRule="exact"/>
        <w:rPr>
          <w:sz w:val="20"/>
          <w:szCs w:val="20"/>
          <w:color w:val="auto"/>
        </w:rPr>
      </w:pPr>
    </w:p>
    <w:p>
      <w:pPr>
        <w:jc w:val="both"/>
        <w:ind w:left="660" w:firstLine="644"/>
        <w:spacing w:after="0" w:line="301" w:lineRule="auto"/>
        <w:tabs>
          <w:tab w:leader="none" w:pos="1780" w:val="left"/>
        </w:tabs>
        <w:numPr>
          <w:ilvl w:val="0"/>
          <w:numId w:val="204"/>
        </w:numPr>
        <w:rPr>
          <w:rFonts w:ascii="Arial" w:cs="Arial" w:eastAsia="Arial" w:hAnsi="Arial"/>
          <w:sz w:val="16"/>
          <w:szCs w:val="16"/>
          <w:color w:val="auto"/>
        </w:rPr>
      </w:pPr>
      <w:r>
        <w:rPr>
          <w:rFonts w:ascii="Arial" w:cs="Arial" w:eastAsia="Arial" w:hAnsi="Arial"/>
          <w:sz w:val="16"/>
          <w:szCs w:val="16"/>
          <w:i w:val="1"/>
          <w:iCs w:val="1"/>
          <w:color w:val="auto"/>
        </w:rPr>
        <w:t>Litigation; Environmental Matters</w:t>
      </w:r>
      <w:r>
        <w:rPr>
          <w:rFonts w:ascii="Arial" w:cs="Arial" w:eastAsia="Arial" w:hAnsi="Arial"/>
          <w:sz w:val="16"/>
          <w:szCs w:val="16"/>
          <w:color w:val="auto"/>
        </w:rPr>
        <w:t>. (i) As of the Restatement Date and except for Disclosed Matters, there are no actions, suits,</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or investigations by or before any arbitrator or Governmental Authority pending against or, to the knowledge of the Parent Guarantor, threatened in writing against or affecting the Parent Guarantor or any of its Subsidiaries (including the Lessee) (A) that could reasonably be expected to result in a Material Adverse Effect or (B) that involve this Guaranty, the Operative Documents or the Overall Transaction.</w:t>
      </w:r>
    </w:p>
    <w:p>
      <w:pPr>
        <w:spacing w:after="0" w:line="157" w:lineRule="exact"/>
        <w:rPr>
          <w:sz w:val="20"/>
          <w:szCs w:val="20"/>
          <w:color w:val="auto"/>
        </w:rPr>
      </w:pPr>
    </w:p>
    <w:p>
      <w:pPr>
        <w:jc w:val="both"/>
        <w:ind w:left="660" w:firstLine="644"/>
        <w:spacing w:after="0" w:line="275" w:lineRule="auto"/>
        <w:tabs>
          <w:tab w:leader="none" w:pos="179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Except with respect to (x) Disclosed Matters and (y) other matters that could not reasonably be expected to result in a Material Adverse Effect (and other than with respect to the Site or Leased Property, which is subject to Section 7(p)), the Parent Guarantor and its Subsidiaries (including the Lessee) (A) are in compliance with all applicable Environmental Laws (which compliance includes possession of and compliance with all permits, licenses or other approvals required under applicable Environmental Laws), (B) are not subject to any Environmental Liability or (C) have not received written notice of any claim with respect to any Environmental Liability.</w:t>
      </w:r>
    </w:p>
    <w:p>
      <w:pPr>
        <w:spacing w:after="0" w:line="176" w:lineRule="exact"/>
        <w:rPr>
          <w:sz w:val="20"/>
          <w:szCs w:val="20"/>
          <w:color w:val="auto"/>
        </w:rPr>
      </w:pPr>
    </w:p>
    <w:p>
      <w:pPr>
        <w:jc w:val="both"/>
        <w:ind w:left="660" w:firstLine="644"/>
        <w:spacing w:after="0" w:line="263" w:lineRule="auto"/>
        <w:tabs>
          <w:tab w:leader="none" w:pos="1787"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Compliance with Laws</w:t>
      </w:r>
      <w:r>
        <w:rPr>
          <w:rFonts w:ascii="Arial" w:cs="Arial" w:eastAsia="Arial" w:hAnsi="Arial"/>
          <w:sz w:val="18"/>
          <w:szCs w:val="18"/>
          <w:color w:val="auto"/>
        </w:rPr>
        <w:t>. Each of the Parent Guarantor and its Subsidiaries (including the Lessee) is in compliance with all laws,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and orders of any Governmental Authority applicable to it or its property, except (i) for Disclosed Matters or (ii) where the failure to do so could not reasonably be expected to result in a Material Adverse Effect.</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87"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Investment Company Status</w:t>
      </w:r>
      <w:r>
        <w:rPr>
          <w:rFonts w:ascii="Arial" w:cs="Arial" w:eastAsia="Arial" w:hAnsi="Arial"/>
          <w:sz w:val="18"/>
          <w:szCs w:val="18"/>
          <w:color w:val="auto"/>
        </w:rPr>
        <w:t>. Neither the Parent Guarantor nor any of its Subsidiaries (including the Lessee) is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as an “investment company” as defined in the Investment Company Act or subject to regulation as an “investment company” thereunder.</w:t>
      </w:r>
    </w:p>
    <w:p>
      <w:pPr>
        <w:spacing w:after="0" w:line="183" w:lineRule="exact"/>
        <w:rPr>
          <w:rFonts w:ascii="Arial" w:cs="Arial" w:eastAsia="Arial" w:hAnsi="Arial"/>
          <w:sz w:val="18"/>
          <w:szCs w:val="18"/>
          <w:color w:val="auto"/>
        </w:rPr>
      </w:pPr>
    </w:p>
    <w:p>
      <w:pPr>
        <w:jc w:val="both"/>
        <w:ind w:left="660" w:firstLine="644"/>
        <w:spacing w:after="0" w:line="255" w:lineRule="auto"/>
        <w:tabs>
          <w:tab w:leader="none" w:pos="1748"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Each of the Parent Guarantor and its Subsidiaries (including the Lessee) has timely filed or caused to be filed all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returns and all other material Tax returns and reports required to have been filed by it and has paid, caused to be paid or made a provision for the payment of, all federal income Taxes and all other material Taxes required to have been paid by it, except (A) Taxes that are being contested in good faith by appropriate proceedings and for which the Parent Guarantor and/or such Subsidiary, as applicable, has set aside on its books adequate reserves in accordance with GAAP or (B) to the extent that the failure to do so could not reasonably be expected to result in a Material Adverse Effect.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26" w:name="page227"/>
    <w:bookmarkEnd w:id="226"/>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ind w:left="660" w:right="20" w:firstLine="644"/>
        <w:spacing w:after="0" w:line="308" w:lineRule="auto"/>
        <w:tabs>
          <w:tab w:leader="none" w:pos="1770" w:val="left"/>
        </w:tabs>
        <w:numPr>
          <w:ilvl w:val="0"/>
          <w:numId w:val="207"/>
        </w:numPr>
        <w:rPr>
          <w:rFonts w:ascii="Arial" w:cs="Arial" w:eastAsia="Arial" w:hAnsi="Arial"/>
          <w:sz w:val="17"/>
          <w:szCs w:val="17"/>
          <w:color w:val="auto"/>
        </w:rPr>
      </w:pPr>
      <w:r>
        <w:rPr>
          <w:rFonts w:ascii="Arial" w:cs="Arial" w:eastAsia="Arial" w:hAnsi="Arial"/>
          <w:sz w:val="17"/>
          <w:szCs w:val="17"/>
          <w:i w:val="1"/>
          <w:iCs w:val="1"/>
          <w:color w:val="auto"/>
        </w:rPr>
        <w:t>ERISA</w:t>
      </w:r>
      <w:r>
        <w:rPr>
          <w:rFonts w:ascii="Arial" w:cs="Arial" w:eastAsia="Arial" w:hAnsi="Arial"/>
          <w:sz w:val="17"/>
          <w:szCs w:val="17"/>
          <w:color w:val="auto"/>
        </w:rPr>
        <w:t>. No ERISA Event has occurred or is reasonably expected to occur that, when taken together with all other such ERISA</w:t>
      </w:r>
      <w:r>
        <w:rPr>
          <w:rFonts w:ascii="Arial" w:cs="Arial" w:eastAsia="Arial" w:hAnsi="Arial"/>
          <w:sz w:val="17"/>
          <w:szCs w:val="17"/>
          <w:i w:val="1"/>
          <w:iCs w:val="1"/>
          <w:color w:val="auto"/>
        </w:rPr>
        <w:t xml:space="preserve"> </w:t>
      </w:r>
      <w:r>
        <w:rPr>
          <w:rFonts w:ascii="Arial" w:cs="Arial" w:eastAsia="Arial" w:hAnsi="Arial"/>
          <w:sz w:val="17"/>
          <w:szCs w:val="17"/>
          <w:color w:val="auto"/>
        </w:rPr>
        <w:t>Events for which liability is reasonably expected to occur, could reasonably be expected to result in a Material Adverse Effect.</w:t>
      </w:r>
    </w:p>
    <w:p>
      <w:pPr>
        <w:spacing w:after="0" w:line="146" w:lineRule="exact"/>
        <w:rPr>
          <w:rFonts w:ascii="Arial" w:cs="Arial" w:eastAsia="Arial" w:hAnsi="Arial"/>
          <w:sz w:val="17"/>
          <w:szCs w:val="17"/>
          <w:color w:val="auto"/>
        </w:rPr>
      </w:pPr>
    </w:p>
    <w:p>
      <w:pPr>
        <w:jc w:val="both"/>
        <w:ind w:left="660" w:firstLine="644"/>
        <w:spacing w:after="0" w:line="286" w:lineRule="auto"/>
        <w:tabs>
          <w:tab w:leader="none" w:pos="1787" w:val="left"/>
        </w:tabs>
        <w:numPr>
          <w:ilvl w:val="0"/>
          <w:numId w:val="207"/>
        </w:numPr>
        <w:rPr>
          <w:rFonts w:ascii="Arial" w:cs="Arial" w:eastAsia="Arial" w:hAnsi="Arial"/>
          <w:sz w:val="16"/>
          <w:szCs w:val="16"/>
          <w:color w:val="auto"/>
        </w:rPr>
      </w:pPr>
      <w:r>
        <w:rPr>
          <w:rFonts w:ascii="Arial" w:cs="Arial" w:eastAsia="Arial" w:hAnsi="Arial"/>
          <w:sz w:val="16"/>
          <w:szCs w:val="16"/>
          <w:i w:val="1"/>
          <w:iCs w:val="1"/>
          <w:color w:val="auto"/>
        </w:rPr>
        <w:t>Disclosure</w:t>
      </w:r>
      <w:r>
        <w:rPr>
          <w:rFonts w:ascii="Arial" w:cs="Arial" w:eastAsia="Arial" w:hAnsi="Arial"/>
          <w:sz w:val="16"/>
          <w:szCs w:val="16"/>
          <w:color w:val="auto"/>
        </w:rPr>
        <w:t>. All written information and all information that is formally presented at a general meeting (which may be a telephonic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meeting) of the Rent Assignees (in any such case, other than any projections, estimates, forecasts and other forward-looking information and information of a general economic or industry-specific nature) furnished by or on behalf of the Parent Guarantor or any Subsidiary to the Lessor or Administrative Agent or any other Participant pursuant to or in connection with this Guaranty or any other Operative Document, when taken as a whole and after giving effect to all supplements and updates thereto,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forecasts or projections of financial information with respect to the Parent Guarantor or any Subsidiary so furnished to the Lessor, the Administrative Agent or any Participant pursuant to or in connection with this Guaranty or any other Operative Document, each Guarantor represents only that such information was prepared in good faith based upon assumptions believed by the Parent Guarantor to be reasonable at the time prepared (it being understood by the Lessor, the Administrative Agent and the other Participants that any such projections are not to be viewed as facts and are subject to significant uncertainties and contingencies, many of which are beyond the control of the Parent Guarantor, the Lessee or their respective Subsidiaries, that no assurances can be given that such projections will be realized and that actual results may differ materially from such projections).</w:t>
      </w:r>
    </w:p>
    <w:p>
      <w:pPr>
        <w:spacing w:after="0" w:line="173" w:lineRule="exact"/>
        <w:rPr>
          <w:rFonts w:ascii="Arial" w:cs="Arial" w:eastAsia="Arial" w:hAnsi="Arial"/>
          <w:sz w:val="16"/>
          <w:szCs w:val="16"/>
          <w:color w:val="auto"/>
        </w:rPr>
      </w:pPr>
    </w:p>
    <w:p>
      <w:pPr>
        <w:jc w:val="both"/>
        <w:ind w:left="660" w:firstLine="644"/>
        <w:spacing w:after="0" w:line="263" w:lineRule="auto"/>
        <w:tabs>
          <w:tab w:leader="none" w:pos="1770"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Federal Reserve Regulations</w:t>
      </w:r>
      <w:r>
        <w:rPr>
          <w:rFonts w:ascii="Arial" w:cs="Arial" w:eastAsia="Arial" w:hAnsi="Arial"/>
          <w:sz w:val="18"/>
          <w:szCs w:val="18"/>
          <w:color w:val="auto"/>
        </w:rPr>
        <w:t>. No part of the proceeds of the Advance have been used or will be used, whether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for any purpose that entails a violation of any of the Regulations of the F.R.S. Board, including Regulations T, U and X of the F.R.S. Board.</w:t>
      </w:r>
    </w:p>
    <w:p>
      <w:pPr>
        <w:spacing w:after="0" w:line="183" w:lineRule="exact"/>
        <w:rPr>
          <w:rFonts w:ascii="Arial" w:cs="Arial" w:eastAsia="Arial" w:hAnsi="Arial"/>
          <w:sz w:val="18"/>
          <w:szCs w:val="18"/>
          <w:color w:val="auto"/>
        </w:rPr>
      </w:pPr>
    </w:p>
    <w:p>
      <w:pPr>
        <w:ind w:left="660" w:firstLine="644"/>
        <w:spacing w:after="0" w:line="277" w:lineRule="auto"/>
        <w:tabs>
          <w:tab w:leader="none" w:pos="1815"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As of the Restatement Date, no Default, Event of Default, Event of Loss, Specified Significant Environmental Event</w:t>
      </w:r>
      <w:r>
        <w:rPr>
          <w:rFonts w:ascii="Arial" w:cs="Arial" w:eastAsia="Arial" w:hAnsi="Arial"/>
          <w:sz w:val="18"/>
          <w:szCs w:val="18"/>
          <w:i w:val="1"/>
          <w:iCs w:val="1"/>
          <w:color w:val="auto"/>
        </w:rPr>
        <w:t xml:space="preserve"> </w:t>
      </w:r>
      <w:r>
        <w:rPr>
          <w:rFonts w:ascii="Arial" w:cs="Arial" w:eastAsia="Arial" w:hAnsi="Arial"/>
          <w:sz w:val="18"/>
          <w:szCs w:val="18"/>
          <w:color w:val="auto"/>
        </w:rPr>
        <w:t>or Specified Material Environmental Violation has occurred and is continuing.</w:t>
      </w:r>
    </w:p>
    <w:p>
      <w:pPr>
        <w:spacing w:after="0" w:line="170" w:lineRule="exact"/>
        <w:rPr>
          <w:rFonts w:ascii="Arial" w:cs="Arial" w:eastAsia="Arial" w:hAnsi="Arial"/>
          <w:sz w:val="18"/>
          <w:szCs w:val="18"/>
          <w:color w:val="auto"/>
        </w:rPr>
      </w:pPr>
    </w:p>
    <w:p>
      <w:pPr>
        <w:jc w:val="both"/>
        <w:ind w:left="660" w:firstLine="644"/>
        <w:spacing w:after="0" w:line="290" w:lineRule="auto"/>
        <w:tabs>
          <w:tab w:leader="none" w:pos="1787" w:val="left"/>
        </w:tabs>
        <w:numPr>
          <w:ilvl w:val="0"/>
          <w:numId w:val="207"/>
        </w:numPr>
        <w:rPr>
          <w:rFonts w:ascii="Arial" w:cs="Arial" w:eastAsia="Arial" w:hAnsi="Arial"/>
          <w:sz w:val="16"/>
          <w:szCs w:val="16"/>
          <w:color w:val="auto"/>
        </w:rPr>
      </w:pPr>
      <w:r>
        <w:rPr>
          <w:rFonts w:ascii="Arial" w:cs="Arial" w:eastAsia="Arial" w:hAnsi="Arial"/>
          <w:sz w:val="16"/>
          <w:szCs w:val="16"/>
          <w:i w:val="1"/>
          <w:iCs w:val="1"/>
          <w:color w:val="auto"/>
        </w:rPr>
        <w:t>Anti-Corruption Laws and Sanctions</w:t>
      </w:r>
      <w:r>
        <w:rPr>
          <w:rFonts w:ascii="Arial" w:cs="Arial" w:eastAsia="Arial" w:hAnsi="Arial"/>
          <w:sz w:val="16"/>
          <w:szCs w:val="16"/>
          <w:color w:val="auto"/>
        </w:rPr>
        <w:t>. The Parent Guarantor has implemented and maintains in effect policies and is implementing</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reasonably designed to achieve material compliance by the Parent Guarantor, its Subsidiaries and their respective directors, officers, employees and agents with Anti-Corruption Laws and applicable Sanctions, and the Parent Guarantor, its Subsidiaries and, to the knowledge of the Parent Guarantor, their respective directors, officers, employees and agents, are in compliance with Anti-Corruption Laws and applicable Sanctions in all material respects. None of (a) the Parent Guarantor, any Subsidiary or to the knowledge of the Parent Guarantor or such Subsidiary any of their respective directors, officers or employees, or (b) to the knowledge of the Parent Guarantor, any agent of the Parent Guarantor or any Subsidiary that will act in any capacity in connection with or benefit from the credit facility established hereby, is a Sanctioned Person. No use of proceeds or Overall Transaction has violated any Anti-Corruption Law or applicable Sanctions.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27" w:name="page228"/>
    <w:bookmarkEnd w:id="227"/>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ind w:left="660" w:firstLine="644"/>
        <w:spacing w:after="0" w:line="277" w:lineRule="auto"/>
        <w:tabs>
          <w:tab w:leader="none" w:pos="1787"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 xml:space="preserve">Certain Original Closing Date Representations. </w:t>
      </w:r>
      <w:r>
        <w:rPr>
          <w:rFonts w:ascii="Arial" w:cs="Arial" w:eastAsia="Arial" w:hAnsi="Arial"/>
          <w:sz w:val="18"/>
          <w:szCs w:val="18"/>
          <w:color w:val="auto"/>
        </w:rPr>
        <w:t>The representations and warranties set forth in clauses (o), (q), (s), (t) and (u)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 of the Original Guaranty were true and correct in all material respects as of the Original Closing Date.</w:t>
      </w:r>
    </w:p>
    <w:p>
      <w:pPr>
        <w:spacing w:after="0" w:line="170" w:lineRule="exact"/>
        <w:rPr>
          <w:rFonts w:ascii="Arial" w:cs="Arial" w:eastAsia="Arial" w:hAnsi="Arial"/>
          <w:sz w:val="18"/>
          <w:szCs w:val="18"/>
          <w:color w:val="auto"/>
        </w:rPr>
      </w:pPr>
    </w:p>
    <w:p>
      <w:pPr>
        <w:ind w:left="660" w:firstLine="644"/>
        <w:spacing w:after="0" w:line="277" w:lineRule="auto"/>
        <w:tabs>
          <w:tab w:leader="none" w:pos="1787"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Environmental Condition of the Site</w:t>
      </w:r>
      <w:r>
        <w:rPr>
          <w:rFonts w:ascii="Arial" w:cs="Arial" w:eastAsia="Arial" w:hAnsi="Arial"/>
          <w:sz w:val="18"/>
          <w:szCs w:val="18"/>
          <w:color w:val="auto"/>
        </w:rPr>
        <w:t>. Except as set forth in the Environmental Audit described in Section 6.1(ii) of the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as could not reasonably be expected to result in a Material Adverse Effect:</w:t>
      </w:r>
    </w:p>
    <w:p>
      <w:pPr>
        <w:spacing w:after="0" w:line="170" w:lineRule="exact"/>
        <w:rPr>
          <w:rFonts w:ascii="Arial" w:cs="Arial" w:eastAsia="Arial" w:hAnsi="Arial"/>
          <w:sz w:val="18"/>
          <w:szCs w:val="18"/>
          <w:color w:val="auto"/>
        </w:rPr>
      </w:pPr>
    </w:p>
    <w:p>
      <w:pPr>
        <w:ind w:left="1300" w:firstLine="652"/>
        <w:spacing w:after="0" w:line="342" w:lineRule="auto"/>
        <w:tabs>
          <w:tab w:leader="none" w:pos="241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neither the Parent Guarantor nor the Lessee has received any written notice of, or written inquiry from any Governmental Authority regarding, any Environmental Claim or any violation or non-compliance with Environmental Laws with regard to the Site;</w:t>
      </w:r>
    </w:p>
    <w:p>
      <w:pPr>
        <w:spacing w:after="0" w:line="123" w:lineRule="exact"/>
        <w:rPr>
          <w:rFonts w:ascii="Arial" w:cs="Arial" w:eastAsia="Arial" w:hAnsi="Arial"/>
          <w:sz w:val="16"/>
          <w:szCs w:val="16"/>
          <w:color w:val="auto"/>
        </w:rPr>
      </w:pPr>
    </w:p>
    <w:p>
      <w:pPr>
        <w:ind w:left="1300" w:firstLine="652"/>
        <w:spacing w:after="0" w:line="277" w:lineRule="auto"/>
        <w:tabs>
          <w:tab w:leader="none" w:pos="243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neither the Parent Guarantor nor the Lessee has stored, released or transported any Hazardous Substances on the Leased Property or the Site in violation of Environmental Laws;</w:t>
      </w:r>
    </w:p>
    <w:p>
      <w:pPr>
        <w:spacing w:after="0" w:line="170" w:lineRule="exact"/>
        <w:rPr>
          <w:rFonts w:ascii="Arial" w:cs="Arial" w:eastAsia="Arial" w:hAnsi="Arial"/>
          <w:sz w:val="18"/>
          <w:szCs w:val="18"/>
          <w:color w:val="auto"/>
        </w:rPr>
      </w:pPr>
    </w:p>
    <w:p>
      <w:pPr>
        <w:ind w:left="1300" w:firstLine="652"/>
        <w:spacing w:after="0" w:line="277" w:lineRule="auto"/>
        <w:tabs>
          <w:tab w:leader="none" w:pos="246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Site does not contain any Hazardous Substance at, on or under the Site in amounts or concentrations that constitute a violation of Environmental Laws; and</w:t>
      </w:r>
    </w:p>
    <w:p>
      <w:pPr>
        <w:spacing w:after="0" w:line="170" w:lineRule="exact"/>
        <w:rPr>
          <w:rFonts w:ascii="Arial" w:cs="Arial" w:eastAsia="Arial" w:hAnsi="Arial"/>
          <w:sz w:val="18"/>
          <w:szCs w:val="18"/>
          <w:color w:val="auto"/>
        </w:rPr>
      </w:pPr>
    </w:p>
    <w:p>
      <w:pPr>
        <w:ind w:left="1300" w:firstLine="652"/>
        <w:spacing w:after="0" w:line="277" w:lineRule="auto"/>
        <w:tabs>
          <w:tab w:leader="none" w:pos="245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Parent Guarantor or Lessee has obtained all Governmental Approvals relating to the Site which are required of it under all Environmental Laws.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7" w:lineRule="auto"/>
        <w:tabs>
          <w:tab w:leader="none" w:pos="1780"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Patents, Trademarks</w:t>
      </w:r>
      <w:r>
        <w:rPr>
          <w:rFonts w:ascii="Arial" w:cs="Arial" w:eastAsia="Arial" w:hAnsi="Arial"/>
          <w:sz w:val="18"/>
          <w:szCs w:val="18"/>
          <w:color w:val="auto"/>
        </w:rPr>
        <w:t>. There are no material patents, patent rights, trademarks, service marks, trade names, copyrights, licenses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intellectual property rights with respect to the Leased Property that are necessary for the operation of the Leased Property by the Lessee, except to the extent that the Lessee has rights in respect thereof without material payment of royalties or other material licensing payments, which rights may be freely leased, licensed or otherwise provided to Lessor or any successor owner, lessee, user or operator of the Leased Property pursuant to the Operative Documents.</w:t>
      </w:r>
    </w:p>
    <w:p>
      <w:pPr>
        <w:spacing w:after="0" w:line="187" w:lineRule="exact"/>
        <w:rPr>
          <w:rFonts w:ascii="Arial" w:cs="Arial" w:eastAsia="Arial" w:hAnsi="Arial"/>
          <w:sz w:val="18"/>
          <w:szCs w:val="18"/>
          <w:color w:val="auto"/>
        </w:rPr>
      </w:pPr>
    </w:p>
    <w:p>
      <w:pPr>
        <w:ind w:left="1760" w:hanging="456"/>
        <w:spacing w:after="0"/>
        <w:tabs>
          <w:tab w:leader="none" w:pos="17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28" w:name="page229"/>
    <w:bookmarkEnd w:id="228"/>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left="660" w:firstLine="644"/>
        <w:spacing w:after="0" w:line="290" w:lineRule="auto"/>
        <w:tabs>
          <w:tab w:leader="none" w:pos="1787" w:val="left"/>
        </w:tabs>
        <w:numPr>
          <w:ilvl w:val="0"/>
          <w:numId w:val="209"/>
        </w:numPr>
        <w:rPr>
          <w:rFonts w:ascii="Arial" w:cs="Arial" w:eastAsia="Arial" w:hAnsi="Arial"/>
          <w:sz w:val="16"/>
          <w:szCs w:val="16"/>
          <w:color w:val="auto"/>
        </w:rPr>
      </w:pPr>
      <w:r>
        <w:rPr>
          <w:rFonts w:ascii="Arial" w:cs="Arial" w:eastAsia="Arial" w:hAnsi="Arial"/>
          <w:sz w:val="16"/>
          <w:szCs w:val="16"/>
          <w:i w:val="1"/>
          <w:iCs w:val="1"/>
          <w:color w:val="auto"/>
        </w:rPr>
        <w:t>Applicable Law</w:t>
      </w:r>
      <w:r>
        <w:rPr>
          <w:rFonts w:ascii="Arial" w:cs="Arial" w:eastAsia="Arial" w:hAnsi="Arial"/>
          <w:sz w:val="16"/>
          <w:szCs w:val="16"/>
          <w:color w:val="auto"/>
        </w:rPr>
        <w:t>. The Facility and the Site are in compliance in all material respects with all Applicable Laws and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and any present use and presently anticipated future use thereof by Lessee and its agents, assignees, employees, invitees, lessees, licensees and tenants comply in all material respects with all Applicable Laws, in any such case, except where any such noncompliance individually or in the aggregate could not reasonably be expected to have a material adverse effect on Lessee’s ability to perform its material obligations under the Operative Documents. Except as could not reasonably be expected to have a Material Adverse Effect, no notices, complaints or orders of violation or noncompliance or liability have been issued to the Parent Guarantor or the Lessee or, to the best of the Parent Guarantor’s knowledge, threatened by any Person with respect to the Leased Property or the present or intended future use thereof, and the Parent Guarantor is not aware of any circumstances which could give rise to the issuance of any such notices, complaints or orders.</w:t>
      </w:r>
    </w:p>
    <w:p>
      <w:pPr>
        <w:spacing w:after="0" w:line="165" w:lineRule="exact"/>
        <w:rPr>
          <w:rFonts w:ascii="Arial" w:cs="Arial" w:eastAsia="Arial" w:hAnsi="Arial"/>
          <w:sz w:val="16"/>
          <w:szCs w:val="16"/>
          <w:color w:val="auto"/>
        </w:rPr>
      </w:pPr>
    </w:p>
    <w:p>
      <w:pPr>
        <w:jc w:val="both"/>
        <w:ind w:left="660" w:firstLine="644"/>
        <w:spacing w:after="0" w:line="272" w:lineRule="auto"/>
        <w:tabs>
          <w:tab w:leader="none" w:pos="1805" w:val="left"/>
        </w:tabs>
        <w:numPr>
          <w:ilvl w:val="0"/>
          <w:numId w:val="209"/>
        </w:numPr>
        <w:rPr>
          <w:rFonts w:ascii="Arial" w:cs="Arial" w:eastAsia="Arial" w:hAnsi="Arial"/>
          <w:sz w:val="17"/>
          <w:szCs w:val="17"/>
          <w:color w:val="auto"/>
        </w:rPr>
      </w:pPr>
      <w:r>
        <w:rPr>
          <w:rFonts w:ascii="Arial" w:cs="Arial" w:eastAsia="Arial" w:hAnsi="Arial"/>
          <w:sz w:val="17"/>
          <w:szCs w:val="17"/>
          <w:i w:val="1"/>
          <w:iCs w:val="1"/>
          <w:color w:val="auto"/>
        </w:rPr>
        <w:t>Condition</w:t>
      </w:r>
      <w:r>
        <w:rPr>
          <w:rFonts w:ascii="Arial" w:cs="Arial" w:eastAsia="Arial" w:hAnsi="Arial"/>
          <w:sz w:val="17"/>
          <w:szCs w:val="17"/>
          <w:color w:val="auto"/>
        </w:rPr>
        <w:t>. Adequate utility facilities are available to the Leased Property over dedicated and accepted public streets and rights of</w:t>
      </w:r>
      <w:r>
        <w:rPr>
          <w:rFonts w:ascii="Arial" w:cs="Arial" w:eastAsia="Arial" w:hAnsi="Arial"/>
          <w:sz w:val="17"/>
          <w:szCs w:val="17"/>
          <w:i w:val="1"/>
          <w:iCs w:val="1"/>
          <w:color w:val="auto"/>
        </w:rPr>
        <w:t xml:space="preserve"> </w:t>
      </w:r>
      <w:r>
        <w:rPr>
          <w:rFonts w:ascii="Arial" w:cs="Arial" w:eastAsia="Arial" w:hAnsi="Arial"/>
          <w:sz w:val="17"/>
          <w:szCs w:val="17"/>
          <w:color w:val="auto"/>
        </w:rPr>
        <w:t>way or valid easements that run with the land. As of the Restatement Date, no fire or other Casualty with respect to the Leased Property has occurred which has had a Material Adverse Effect. Adequate ingress and egress to and from the Leased Property is available over dedicated and accepted public streets and rights-of-way or valid easements that run with the land. With respect to the Leased Property, all material licenses, permits and approvals (including, without limitation, material building and environmental permits, licenses, approvals, authorizations and consents) necessary and required for the use and operation of the Leased Property have been obtained from the appropriate Governmental Authorities having jurisdiction or from private parties, as the case may be.</w:t>
      </w:r>
    </w:p>
    <w:p>
      <w:pPr>
        <w:spacing w:after="0" w:line="177" w:lineRule="exact"/>
        <w:rPr>
          <w:rFonts w:ascii="Arial" w:cs="Arial" w:eastAsia="Arial" w:hAnsi="Arial"/>
          <w:sz w:val="17"/>
          <w:szCs w:val="17"/>
          <w:color w:val="auto"/>
        </w:rPr>
      </w:pPr>
    </w:p>
    <w:p>
      <w:pPr>
        <w:jc w:val="both"/>
        <w:ind w:left="660" w:firstLine="644"/>
        <w:spacing w:after="0" w:line="263" w:lineRule="auto"/>
        <w:tabs>
          <w:tab w:leader="none" w:pos="1787"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Flood Hazard Areas</w:t>
      </w:r>
      <w:r>
        <w:rPr>
          <w:rFonts w:ascii="Arial" w:cs="Arial" w:eastAsia="Arial" w:hAnsi="Arial"/>
          <w:sz w:val="18"/>
          <w:szCs w:val="18"/>
          <w:color w:val="auto"/>
        </w:rPr>
        <w:t>. If the Site is located in an area identified as a special flood hazard area by the Federal Emergency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Agency or other applicable Governmental Authority, then, to the extent required by Applicable Laws, flood insurance has been obtained by Lessee in accordance with the National Flood Insurance Act of 1968, as amended.</w:t>
      </w:r>
    </w:p>
    <w:p>
      <w:pPr>
        <w:spacing w:after="0" w:line="183" w:lineRule="exact"/>
        <w:rPr>
          <w:rFonts w:ascii="Arial" w:cs="Arial" w:eastAsia="Arial" w:hAnsi="Arial"/>
          <w:sz w:val="18"/>
          <w:szCs w:val="18"/>
          <w:color w:val="auto"/>
        </w:rPr>
      </w:pPr>
    </w:p>
    <w:p>
      <w:pPr>
        <w:ind w:left="660" w:firstLine="644"/>
        <w:spacing w:after="0" w:line="277" w:lineRule="auto"/>
        <w:tabs>
          <w:tab w:leader="none" w:pos="1787"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No Prohibited Transactions</w:t>
      </w:r>
      <w:r>
        <w:rPr>
          <w:rFonts w:ascii="Arial" w:cs="Arial" w:eastAsia="Arial" w:hAnsi="Arial"/>
          <w:sz w:val="18"/>
          <w:szCs w:val="18"/>
          <w:color w:val="auto"/>
        </w:rPr>
        <w:t>. None of the transactions contemplated by the Operative Documents will constitute a prohibited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within the meaning of Section 4975(c)(1)(A) through (D) of the Code.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Section 8. Guarantor Affirmative Covenants. </w:t>
      </w:r>
      <w:r>
        <w:rPr>
          <w:rFonts w:ascii="Arial" w:cs="Arial" w:eastAsia="Arial" w:hAnsi="Arial"/>
          <w:sz w:val="18"/>
          <w:szCs w:val="18"/>
          <w:color w:val="auto"/>
        </w:rPr>
        <w:t>The Parent Guarantor shall comply with the following covenants until all Liabilities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paid in full:</w:t>
      </w:r>
    </w:p>
    <w:p>
      <w:pPr>
        <w:spacing w:after="0" w:line="170" w:lineRule="exact"/>
        <w:rPr>
          <w:sz w:val="20"/>
          <w:szCs w:val="20"/>
          <w:color w:val="auto"/>
        </w:rPr>
      </w:pPr>
    </w:p>
    <w:p>
      <w:pPr>
        <w:ind w:left="660" w:firstLine="644"/>
        <w:spacing w:after="0" w:line="277" w:lineRule="auto"/>
        <w:tabs>
          <w:tab w:leader="none" w:pos="1777"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Financial Statements and Other Information</w:t>
      </w:r>
      <w:r>
        <w:rPr>
          <w:rFonts w:ascii="Arial" w:cs="Arial" w:eastAsia="Arial" w:hAnsi="Arial"/>
          <w:sz w:val="18"/>
          <w:szCs w:val="18"/>
          <w:color w:val="auto"/>
        </w:rPr>
        <w:t>. The Parent Guarantor will furnish to the Administrative Agent for distribution to</w:t>
      </w:r>
      <w:r>
        <w:rPr>
          <w:rFonts w:ascii="Arial" w:cs="Arial" w:eastAsia="Arial" w:hAnsi="Arial"/>
          <w:sz w:val="18"/>
          <w:szCs w:val="18"/>
          <w:i w:val="1"/>
          <w:iCs w:val="1"/>
          <w:color w:val="auto"/>
        </w:rPr>
        <w:t xml:space="preserve"> </w:t>
      </w:r>
      <w:r>
        <w:rPr>
          <w:rFonts w:ascii="Arial" w:cs="Arial" w:eastAsia="Arial" w:hAnsi="Arial"/>
          <w:sz w:val="18"/>
          <w:szCs w:val="18"/>
          <w:color w:val="auto"/>
        </w:rPr>
        <w:t>each Participant:</w:t>
      </w:r>
    </w:p>
    <w:p>
      <w:pPr>
        <w:spacing w:after="0" w:line="170" w:lineRule="exact"/>
        <w:rPr>
          <w:rFonts w:ascii="Arial" w:cs="Arial" w:eastAsia="Arial" w:hAnsi="Arial"/>
          <w:sz w:val="18"/>
          <w:szCs w:val="18"/>
          <w:color w:val="auto"/>
        </w:rPr>
      </w:pPr>
    </w:p>
    <w:p>
      <w:pPr>
        <w:jc w:val="both"/>
        <w:ind w:left="1300" w:firstLine="652"/>
        <w:spacing w:after="0" w:line="270" w:lineRule="auto"/>
        <w:tabs>
          <w:tab w:leader="none" w:pos="2388" w:val="left"/>
        </w:tabs>
        <w:numPr>
          <w:ilvl w:val="1"/>
          <w:numId w:val="210"/>
        </w:numPr>
        <w:rPr>
          <w:rFonts w:ascii="Arial" w:cs="Arial" w:eastAsia="Arial" w:hAnsi="Arial"/>
          <w:sz w:val="17"/>
          <w:szCs w:val="17"/>
          <w:color w:val="auto"/>
        </w:rPr>
      </w:pPr>
      <w:r>
        <w:rPr>
          <w:rFonts w:ascii="Arial" w:cs="Arial" w:eastAsia="Arial" w:hAnsi="Arial"/>
          <w:sz w:val="17"/>
          <w:szCs w:val="17"/>
          <w:color w:val="auto"/>
        </w:rPr>
        <w:t>within ninety (90) days after the end of each fiscal year of the Parent Guarantor, its audited consolidated balance sheet and related statements of operations, stockholders’ equity and cash flows as of the end of and for such year, setting forth in each case in comparative form the figures for the previous fiscal year, prepared in accordance with GAAP consistently applied throughout the period covered thereby (except as expressly noted therein), with such audited balance sheet and related consolidated financial statements reported on by PricewaterhouseCoopers LLP or other independent public accountants of recognized national standing reasonably acceptable to the Administrative Agent (without a “going concern” or like qualification or exception and without any qualification or exception as to the scope of such audit) to the effect that such consolidated financial statements present fairly in all material respects the financial position of the Parent Guarantor and its consolidated Subsidiaries as of the end of such fiscal year and their results of operations for sure fiscal year on a consolidated basis in accordance with GAAP;</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1300" w:firstLine="652"/>
        <w:spacing w:after="0" w:line="253" w:lineRule="auto"/>
        <w:tabs>
          <w:tab w:leader="none" w:pos="243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within forty-five (45) days after the end of each of the first three fiscal quarters of each fiscal year of the Parent Guarantor, its consolidated balance sheet and related statements of operations and cash flows as of the end of and for such fiscal quarter and the period commencing at the beginning of such fiscal year and ending with such fiscal quarter, setting forth in each case in comparative form the figures for the corresponding period or periods of (or, in the case of the balance sheet, as of the end of) the previous fiscal year, all certified on behalf of the Parent Guarantor by a Responsible Officer of the Parent Guarantor as presenting fairly in all material respects the financial position of the Parent Guarantor and its consolidated Subsidiaries as of the end of such fiscal quarter and their results and operations for the fiscal period covered thereby on a consolidated basis in accordance with GAAP consistently applied throughout the period covered thereby (except as otherwise expressly noted therein), subject to normal year-end audit adjustments and the absence of footnotes;</w:t>
      </w:r>
    </w:p>
    <w:p>
      <w:pPr>
        <w:spacing w:after="0" w:line="196" w:lineRule="exact"/>
        <w:rPr>
          <w:rFonts w:ascii="Arial" w:cs="Arial" w:eastAsia="Arial" w:hAnsi="Arial"/>
          <w:sz w:val="18"/>
          <w:szCs w:val="18"/>
          <w:color w:val="auto"/>
        </w:rPr>
      </w:pPr>
    </w:p>
    <w:p>
      <w:pPr>
        <w:jc w:val="both"/>
        <w:ind w:left="1300" w:firstLine="652"/>
        <w:spacing w:after="0" w:line="270" w:lineRule="auto"/>
        <w:tabs>
          <w:tab w:leader="none" w:pos="246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concurrently with any delivery of financial statements under clause (i) or (ii) above, a certificate of a Responsible Officer of the Parent Guarantor delivered on behalf of the Parent Guarantor, (A) certifying as to whether, to the knowledge of such Responsible Officer, a Default has occurred and is continuing and, if a Default has occurred that is continuing, specifying the details thereof and any action taken or proposed to be taken with respect thereto, (B) setting forth reasonably detailed calculations demonstrating compliance with Sections 9(f) and (g), and (C) to the extent that any change in GAAP or application thereof has a material impact on the financial statements accompanying such certificate and such change and impact has not been noted in such financial statements, stating whether any such change in GAAP or in the application thereof has occurred since the date of the audited financial statements for the fiscal year of the Parent Guarantor ended December 31, 2021, and, if any such change has occurred, specifying the effect of such change on such financial statements accompanying such certificate;</w:t>
      </w:r>
    </w:p>
    <w:p>
      <w:pPr>
        <w:spacing w:after="0" w:line="180" w:lineRule="exact"/>
        <w:rPr>
          <w:rFonts w:ascii="Arial" w:cs="Arial" w:eastAsia="Arial" w:hAnsi="Arial"/>
          <w:sz w:val="17"/>
          <w:szCs w:val="17"/>
          <w:color w:val="auto"/>
        </w:rPr>
      </w:pPr>
    </w:p>
    <w:p>
      <w:pPr>
        <w:jc w:val="both"/>
        <w:ind w:left="1300" w:firstLine="652"/>
        <w:spacing w:after="0" w:line="259" w:lineRule="auto"/>
        <w:tabs>
          <w:tab w:leader="none" w:pos="245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annual, regular, periodic and special reports, proxy statements and registration statements (A) filed by the Parent Guarantor with the SEC (or any Governmental Authority succeeding to any or all of the functions of the SEC) or with any national securities exchange, or (B) distributed by the Parent Guarantor to its shareholders generally, as the case may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0" w:name="page231"/>
    <w:bookmarkEnd w:id="230"/>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ind w:left="1300" w:firstLine="652"/>
        <w:spacing w:after="0" w:line="277" w:lineRule="auto"/>
        <w:tabs>
          <w:tab w:leader="none" w:pos="242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promptly after Moody’s or S&amp;P shall have announced a change in the rating established or deemed to have been established for the Index Debt, written notice of such rating change; and</w:t>
      </w:r>
    </w:p>
    <w:p>
      <w:pPr>
        <w:spacing w:after="0" w:line="170" w:lineRule="exact"/>
        <w:rPr>
          <w:rFonts w:ascii="Arial" w:cs="Arial" w:eastAsia="Arial" w:hAnsi="Arial"/>
          <w:sz w:val="18"/>
          <w:szCs w:val="18"/>
          <w:color w:val="auto"/>
        </w:rPr>
      </w:pPr>
    </w:p>
    <w:p>
      <w:pPr>
        <w:jc w:val="both"/>
        <w:ind w:left="1300" w:firstLine="652"/>
        <w:spacing w:after="0" w:line="275" w:lineRule="auto"/>
        <w:tabs>
          <w:tab w:leader="none" w:pos="245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promptly following any request therefor, (A) such other information regarding the operations, business affairs and financial condition of the Parent Guarantor, Lessee or any Subsidiary, or compliance with the terms of the Participation Agreement, as the Administrative Agent or any Participant (acting through the Administrative Agent) may reasonably request and (B) information and documentation reasonably requested by the Administrative Agent or any Participant for the purposes of compliance with applicable “know your customer” and anti-money laundering rules and regulations, including the Patriot Act.</w:t>
      </w:r>
    </w:p>
    <w:p>
      <w:pPr>
        <w:spacing w:after="0" w:line="17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Documents required to be delivered pursuant to clauses (i), (ii) and (iv) of this Section 8(a) (1) may be delivered electronically and (2) shall be deemed to have been delivered on the date on which such documents are (A) filed for public availability on the SEC’s Electronic Data Gathering and Retrieval System, (B) posted or the Parent Guarantor provides a link thereto on http://www.regeneron.com or https://investor.regeneron.com or at another website identified in a notice from the Parent Guarantor and accessible by the Participants without charge; or (C) delivered to the Administrative Agent for posting on, or otherwise posted on the Parent Guarantor’s or Lessee’s behalf on, an Internet or intranet website, if any, to which the Administrative Agent has access (whether a commercial, third-party website or whether sponsored by the Administrative Agent).</w:t>
      </w:r>
    </w:p>
    <w:p>
      <w:pPr>
        <w:spacing w:after="0" w:line="164" w:lineRule="exact"/>
        <w:rPr>
          <w:sz w:val="20"/>
          <w:szCs w:val="20"/>
          <w:color w:val="auto"/>
        </w:rPr>
      </w:pPr>
    </w:p>
    <w:p>
      <w:pPr>
        <w:ind w:left="660" w:firstLine="644"/>
        <w:spacing w:after="0" w:line="308" w:lineRule="auto"/>
        <w:tabs>
          <w:tab w:leader="none" w:pos="1787" w:val="left"/>
        </w:tabs>
        <w:numPr>
          <w:ilvl w:val="0"/>
          <w:numId w:val="213"/>
        </w:numPr>
        <w:rPr>
          <w:rFonts w:ascii="Arial" w:cs="Arial" w:eastAsia="Arial" w:hAnsi="Arial"/>
          <w:sz w:val="17"/>
          <w:szCs w:val="17"/>
          <w:color w:val="auto"/>
        </w:rPr>
      </w:pPr>
      <w:r>
        <w:rPr>
          <w:rFonts w:ascii="Arial" w:cs="Arial" w:eastAsia="Arial" w:hAnsi="Arial"/>
          <w:sz w:val="17"/>
          <w:szCs w:val="17"/>
          <w:i w:val="1"/>
          <w:iCs w:val="1"/>
          <w:color w:val="auto"/>
        </w:rPr>
        <w:t>Notices of Material Events</w:t>
      </w:r>
      <w:r>
        <w:rPr>
          <w:rFonts w:ascii="Arial" w:cs="Arial" w:eastAsia="Arial" w:hAnsi="Arial"/>
          <w:sz w:val="17"/>
          <w:szCs w:val="17"/>
          <w:color w:val="auto"/>
        </w:rPr>
        <w:t>. The Parent Guarantor will furnish to the Administrative Agent (for distribution to each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notice of the following, promptly after a Responsible Officer of the Parent Guarantor has actual knowledge thereof:</w:t>
      </w:r>
    </w:p>
    <w:p>
      <w:pPr>
        <w:spacing w:after="0" w:line="146" w:lineRule="exact"/>
        <w:rPr>
          <w:rFonts w:ascii="Arial" w:cs="Arial" w:eastAsia="Arial" w:hAnsi="Arial"/>
          <w:sz w:val="17"/>
          <w:szCs w:val="17"/>
          <w:color w:val="auto"/>
        </w:rPr>
      </w:pPr>
    </w:p>
    <w:p>
      <w:pPr>
        <w:ind w:left="2420" w:hanging="468"/>
        <w:spacing w:after="0"/>
        <w:tabs>
          <w:tab w:leader="none" w:pos="24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43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Parent Guarantor, Lessee or any Subsidiary thereof that could reasonably be expected to result in a Material Adverse Effect;</w:t>
      </w:r>
    </w:p>
    <w:p>
      <w:pPr>
        <w:spacing w:after="0" w:line="183" w:lineRule="exact"/>
        <w:rPr>
          <w:rFonts w:ascii="Arial" w:cs="Arial" w:eastAsia="Arial" w:hAnsi="Arial"/>
          <w:sz w:val="18"/>
          <w:szCs w:val="18"/>
          <w:color w:val="auto"/>
        </w:rPr>
      </w:pPr>
    </w:p>
    <w:p>
      <w:pPr>
        <w:ind w:left="1300" w:firstLine="652"/>
        <w:spacing w:after="0" w:line="277" w:lineRule="auto"/>
        <w:tabs>
          <w:tab w:leader="none" w:pos="2465"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and</w:t>
      </w:r>
    </w:p>
    <w:p>
      <w:pPr>
        <w:spacing w:after="0" w:line="170" w:lineRule="exact"/>
        <w:rPr>
          <w:rFonts w:ascii="Arial" w:cs="Arial" w:eastAsia="Arial" w:hAnsi="Arial"/>
          <w:sz w:val="18"/>
          <w:szCs w:val="18"/>
          <w:color w:val="auto"/>
        </w:rPr>
      </w:pPr>
    </w:p>
    <w:p>
      <w:pPr>
        <w:ind w:left="2460" w:hanging="508"/>
        <w:spacing w:after="0"/>
        <w:tabs>
          <w:tab w:leader="none" w:pos="24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1" w:name="page232"/>
    <w:bookmarkEnd w:id="231"/>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Each notice delivered under this Section 8(b) shall be accompanied by a statement of a Responsible Officer of the Parent Guarantor setting forth in reasonable detail the event or development requiring such notice and any action taken or proposed to be taken with respect thereto. Information required to be delivered pursuant to clauses (ii), (iii) and (iv) of this Section 8(b) shall be deemed to have been delivered if such information, or one or more annual, quarterly, current or other reports containing such information, is (A) filed for public availability on the SEC’s Electronic Data Gathering and Retrieval System, (B) posted or the Parent Guarantor provides a link thereto on http://www.regeneron.com or https://investor.regeneron.com or at another website identified in a notice from the Parent Guarantor and accessible by the Participants without charge; or (C) delivered to the Administrative Agent for posting on, or otherwise posted on the Parent Guarantor’s or Lessee’s behalf on, an Internet or intranet website, if any, to which the Administrative Agent and the Participants have access (whether a commercial, third-party website or whether sponsored by the Administrative Agent). Information required to be delivered pursuant to this Section 8(b) may also be delivered by electronic communications pursuant to procedures approved by the Administrative Agent.</w:t>
      </w:r>
    </w:p>
    <w:p>
      <w:pPr>
        <w:spacing w:after="0" w:line="185" w:lineRule="exact"/>
        <w:rPr>
          <w:sz w:val="20"/>
          <w:szCs w:val="20"/>
          <w:color w:val="auto"/>
        </w:rPr>
      </w:pPr>
    </w:p>
    <w:p>
      <w:pPr>
        <w:jc w:val="both"/>
        <w:ind w:left="660" w:firstLine="644"/>
        <w:spacing w:after="0" w:line="291" w:lineRule="auto"/>
        <w:tabs>
          <w:tab w:leader="none" w:pos="1777"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Existence; Conduct of Business</w:t>
      </w:r>
      <w:r>
        <w:rPr>
          <w:rFonts w:ascii="Arial" w:cs="Arial" w:eastAsia="Arial" w:hAnsi="Arial"/>
          <w:sz w:val="16"/>
          <w:szCs w:val="16"/>
          <w:color w:val="auto"/>
        </w:rPr>
        <w:t>. The Parent Guarantor will, and will cause each other Subsidiary Guarantor, Lessee and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Subsidiaries to, (A) do or cause to be done all things necessary to preserve, renew and keep in full force and effect its legal existence and</w:t>
      </w:r>
    </w:p>
    <w:p>
      <w:pPr>
        <w:jc w:val="both"/>
        <w:ind w:left="660" w:hanging="4"/>
        <w:spacing w:after="0" w:line="253" w:lineRule="auto"/>
        <w:tabs>
          <w:tab w:leader="none" w:pos="9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take, or cause to be taken, all reasonable actions to maintain the rights, qualifications, licenses, permits, privileges, franchises, governmental authorizations and intellectual property rights material to the conduct of the business of the Parent Guarantor and its Subsidiaries taken as a whole, except, in the case of this clause (B), to the extent that failure to do so could not reasonably be expected to result in a Material Adverse Effect;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Section 8(c) shall not prohibit any Permitted Restructurings, merger, consolidation, disposition, liquidation, dissolution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permitted under Section 9(c).</w:t>
      </w:r>
    </w:p>
    <w:p>
      <w:pPr>
        <w:spacing w:after="0" w:line="190" w:lineRule="exact"/>
        <w:rPr>
          <w:rFonts w:ascii="Arial" w:cs="Arial" w:eastAsia="Arial" w:hAnsi="Arial"/>
          <w:sz w:val="18"/>
          <w:szCs w:val="18"/>
          <w:color w:val="auto"/>
        </w:rPr>
      </w:pPr>
    </w:p>
    <w:p>
      <w:pPr>
        <w:jc w:val="both"/>
        <w:ind w:left="660" w:firstLine="644"/>
        <w:spacing w:after="0" w:line="259" w:lineRule="auto"/>
        <w:tabs>
          <w:tab w:leader="none" w:pos="1787" w:val="left"/>
        </w:tabs>
        <w:numPr>
          <w:ilvl w:val="1"/>
          <w:numId w:val="215"/>
        </w:numPr>
        <w:rPr>
          <w:rFonts w:ascii="Arial" w:cs="Arial" w:eastAsia="Arial" w:hAnsi="Arial"/>
          <w:sz w:val="18"/>
          <w:szCs w:val="18"/>
          <w:color w:val="auto"/>
        </w:rPr>
      </w:pPr>
      <w:r>
        <w:rPr>
          <w:rFonts w:ascii="Arial" w:cs="Arial" w:eastAsia="Arial" w:hAnsi="Arial"/>
          <w:sz w:val="18"/>
          <w:szCs w:val="18"/>
          <w:i w:val="1"/>
          <w:iCs w:val="1"/>
          <w:color w:val="auto"/>
        </w:rPr>
        <w:t>Payment of Taxes</w:t>
      </w:r>
      <w:r>
        <w:rPr>
          <w:rFonts w:ascii="Arial" w:cs="Arial" w:eastAsia="Arial" w:hAnsi="Arial"/>
          <w:sz w:val="18"/>
          <w:szCs w:val="18"/>
          <w:color w:val="auto"/>
        </w:rPr>
        <w:t>. The Parent Guarantor will, and will cause each of its Subsidiaries (including the Lessee) to, pay its Tax</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that, if not paid, could reasonably be expected to result in a Material Adverse Effect before the same shall become delinquent or in default, except where Taxes that are being contested in good faith by appropriate proceedings and for which the Parent Guarantor and/or such Subsidiary, as applicable, has set aside on its books adequate reserves in accordance with GAAP.</w:t>
      </w:r>
    </w:p>
    <w:p>
      <w:pPr>
        <w:spacing w:after="0" w:line="186" w:lineRule="exact"/>
        <w:rPr>
          <w:rFonts w:ascii="Arial" w:cs="Arial" w:eastAsia="Arial" w:hAnsi="Arial"/>
          <w:sz w:val="18"/>
          <w:szCs w:val="18"/>
          <w:color w:val="auto"/>
        </w:rPr>
      </w:pPr>
    </w:p>
    <w:p>
      <w:pPr>
        <w:ind w:left="1780" w:hanging="476"/>
        <w:spacing w:after="0"/>
        <w:tabs>
          <w:tab w:leader="none" w:pos="1780" w:val="left"/>
        </w:tabs>
        <w:numPr>
          <w:ilvl w:val="1"/>
          <w:numId w:val="215"/>
        </w:numPr>
        <w:rPr>
          <w:rFonts w:ascii="Arial" w:cs="Arial" w:eastAsia="Arial" w:hAnsi="Arial"/>
          <w:sz w:val="16"/>
          <w:szCs w:val="16"/>
          <w:color w:val="auto"/>
        </w:rPr>
      </w:pPr>
      <w:r>
        <w:rPr>
          <w:rFonts w:ascii="Arial" w:cs="Arial" w:eastAsia="Arial" w:hAnsi="Arial"/>
          <w:sz w:val="16"/>
          <w:szCs w:val="16"/>
          <w:i w:val="1"/>
          <w:iCs w:val="1"/>
          <w:color w:val="auto"/>
        </w:rPr>
        <w:t>Maintenance of Properties; Insurance</w:t>
      </w:r>
      <w:r>
        <w:rPr>
          <w:rFonts w:ascii="Arial" w:cs="Arial" w:eastAsia="Arial" w:hAnsi="Arial"/>
          <w:sz w:val="16"/>
          <w:szCs w:val="16"/>
          <w:color w:val="auto"/>
        </w:rPr>
        <w:t>. The Parent Guarantor will, and will cause each of its Subsidiaries (including the Lessee) to,</w:t>
      </w:r>
    </w:p>
    <w:p>
      <w:pPr>
        <w:spacing w:after="0" w:line="46" w:lineRule="exact"/>
        <w:rPr>
          <w:rFonts w:ascii="Arial" w:cs="Arial" w:eastAsia="Arial" w:hAnsi="Arial"/>
          <w:sz w:val="16"/>
          <w:szCs w:val="16"/>
          <w:color w:val="auto"/>
        </w:rPr>
      </w:pPr>
    </w:p>
    <w:p>
      <w:pPr>
        <w:jc w:val="both"/>
        <w:ind w:left="660"/>
        <w:spacing w:after="0" w:line="252" w:lineRule="auto"/>
        <w:rPr>
          <w:rFonts w:ascii="Arial" w:cs="Arial" w:eastAsia="Arial" w:hAnsi="Arial"/>
          <w:sz w:val="16"/>
          <w:szCs w:val="16"/>
          <w:color w:val="auto"/>
        </w:rPr>
      </w:pPr>
      <w:r>
        <w:rPr>
          <w:rFonts w:ascii="Arial" w:cs="Arial" w:eastAsia="Arial" w:hAnsi="Arial"/>
          <w:sz w:val="18"/>
          <w:szCs w:val="18"/>
          <w:color w:val="auto"/>
        </w:rPr>
        <w:t>(i) keep and maintain all other tangible property material to the conduct of its business in good working order and condition, ordinary wear and tear and casualty excepted and except (A) pursuant to transactions permitted by Section 9(c) or (B) where the failure to do so could not reasonably be expected to result in a Material Adverse Effect, and (ii) maintain, subject to Article XIII of the Lease, in all material respects, with carriers reasonably believed by the Parent Guarantor to be financially sound and reputable insurance or through reasonable and adequate self-insurance in such amounts and against such risks and such other hazards, as is customarily maintained by companies engaged in the same or similar businesses under similar circumstances.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660" w:firstLine="644"/>
        <w:spacing w:after="0" w:line="284" w:lineRule="auto"/>
        <w:tabs>
          <w:tab w:leader="none" w:pos="1758"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Books and Records; Inspection Rights</w:t>
      </w:r>
      <w:r>
        <w:rPr>
          <w:rFonts w:ascii="Arial" w:cs="Arial" w:eastAsia="Arial" w:hAnsi="Arial"/>
          <w:sz w:val="16"/>
          <w:szCs w:val="16"/>
          <w:color w:val="auto"/>
        </w:rPr>
        <w:t>. The Parent Guarantor will, and will cause each of its Material Subsidiaries and the Lessee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keep proper books of record and account in which full, true and correct entries in conformity in all material respects with applicable law are made of all material financial dealings and transactions in relation to its business and activities and, subject to Section 8(a)(ii), in form permitting financial statements conforming with GAAP or IFRS (as applicable) to be derived therefrom. The Parent Guarantor will, and will cause each of its Subsidiaries (including the Lessee) to, permit any representatives designated by the Lessor and/or Administrative Agent, to visit and inspect its properties, to examine and make extracts from its books and records and to discuss its affairs, finances and condition with its Responsible Officers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Parent Guarantor or such Subsidiary is afforded the opportunity to participate in such discussion, its independent accountants, in any such case, at reasonable times during normal business hours and as often as reasonably requested upon reasonable prior written notice to the Parent Guarantor, and subject to reasonably requirements of confidentiality, including requirements imposed by law or by contract;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no Event of Default has occurred and is continuing, none of the Guarantors or Lessee shall be required to reimburse the Lessor or Administrative Agent or any of their respective representatives for fees, costs and expenses in connection with the Administrative Agent’s or the Lessor’s exercise of such rights set forth in this sentence more than one time total in any calendar year. The Parent Guarantor acknowledges that, subject to Section 15.14 of the Participation Agreement, the Administrative Agent or Lessor, after exercising its rights of inspection, may prepare and distribute to the Participants certain reports pertaining to the assets of the Parent Guarantor, Lessee and/or any Subsidiary for internal use by the Administrative Agent, the Lessor and the Rent Assignees in connection with the transactions contemplated hereby. Notwithstanding anything to the contrary in this Section 8 or any other provision of any Operative Document, neither the Parent Guarantor nor any of its Subsidiaries will be required to disclose, permit the inspection, examination or making of extracts, or discussion of, any documents, information or other matter that (1) constitutes non-financial trade secrets or non-financial proprietary information, (2) in respect of which disclosure to the Administrative Agent or any Participant (or any designated representative) is then prohibited by law, rule or regulation or any agreement binding on the Parent Guarantor or any of its Subsidiaries or (3) is subject to attorney-client or similar privilege or constitutes attorney work-product.</w:t>
      </w:r>
    </w:p>
    <w:p>
      <w:pPr>
        <w:spacing w:after="0" w:line="397" w:lineRule="exact"/>
        <w:rPr>
          <w:rFonts w:ascii="Arial" w:cs="Arial" w:eastAsia="Arial" w:hAnsi="Arial"/>
          <w:sz w:val="16"/>
          <w:szCs w:val="16"/>
          <w:color w:val="auto"/>
        </w:rPr>
      </w:pPr>
    </w:p>
    <w:p>
      <w:pPr>
        <w:jc w:val="both"/>
        <w:ind w:left="660" w:firstLine="644"/>
        <w:spacing w:after="0" w:line="255" w:lineRule="auto"/>
        <w:tabs>
          <w:tab w:leader="none" w:pos="1787"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Compliance with Laws</w:t>
      </w:r>
      <w:r>
        <w:rPr>
          <w:rFonts w:ascii="Arial" w:cs="Arial" w:eastAsia="Arial" w:hAnsi="Arial"/>
          <w:sz w:val="18"/>
          <w:szCs w:val="18"/>
          <w:color w:val="auto"/>
        </w:rPr>
        <w:t>. The Parent Guarantor will, and will cause each of its Subsidiaries (including the Lessee) to, comply with</w:t>
      </w:r>
      <w:r>
        <w:rPr>
          <w:rFonts w:ascii="Arial" w:cs="Arial" w:eastAsia="Arial" w:hAnsi="Arial"/>
          <w:sz w:val="18"/>
          <w:szCs w:val="18"/>
          <w:i w:val="1"/>
          <w:iCs w:val="1"/>
          <w:color w:val="auto"/>
        </w:rPr>
        <w:t xml:space="preserve"> </w:t>
      </w:r>
      <w:r>
        <w:rPr>
          <w:rFonts w:ascii="Arial" w:cs="Arial" w:eastAsia="Arial" w:hAnsi="Arial"/>
          <w:sz w:val="18"/>
          <w:szCs w:val="18"/>
          <w:color w:val="auto"/>
        </w:rPr>
        <w:t>all laws, rules, regulations and orders of any Governmental Authority applicable to it or its property (including without limitation Environmental Laws), except (i) for Disclosed Matters or (ii) where the failure to do so could not reasonably be expected to result in a Material Adverse Effect. The Parent Guarantor will maintain in effect and enforce policies and is implementing and will maintain procedures reasonably designed to achieve material compliance by the Parent Guarantor, its Subsidiaries (including the Lessee) and their respective directors, officers, employees and agents with Anti-Corruption Laws and applicable Sanctions.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3" w:name="page234"/>
    <w:bookmarkEnd w:id="233"/>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left="660" w:firstLine="644"/>
        <w:spacing w:after="0" w:line="283" w:lineRule="auto"/>
        <w:tabs>
          <w:tab w:leader="none" w:pos="1787" w:val="left"/>
        </w:tabs>
        <w:numPr>
          <w:ilvl w:val="1"/>
          <w:numId w:val="217"/>
        </w:numPr>
        <w:rPr>
          <w:rFonts w:ascii="Arial" w:cs="Arial" w:eastAsia="Arial" w:hAnsi="Arial"/>
          <w:sz w:val="16"/>
          <w:szCs w:val="16"/>
          <w:color w:val="auto"/>
        </w:rPr>
      </w:pPr>
      <w:r>
        <w:rPr>
          <w:rFonts w:ascii="Arial" w:cs="Arial" w:eastAsia="Arial" w:hAnsi="Arial"/>
          <w:sz w:val="16"/>
          <w:szCs w:val="16"/>
          <w:i w:val="1"/>
          <w:iCs w:val="1"/>
          <w:color w:val="auto"/>
        </w:rPr>
        <w:t xml:space="preserve">Additional Subsidiary Guarantors. </w:t>
      </w:r>
      <w:r>
        <w:rPr>
          <w:rFonts w:ascii="Arial" w:cs="Arial" w:eastAsia="Arial" w:hAnsi="Arial"/>
          <w:sz w:val="16"/>
          <w:szCs w:val="16"/>
          <w:color w:val="auto"/>
        </w:rPr>
        <w:t>Within forty-five (45) days (or such later date as may be agreed upon by the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after which financial statements have been delivered pursuant to Section 8(a)(i) and any Person (other than the Lessee) qualifies as a Material Domestic Subsidiary pursuant to the definition of “Material Subsidiary” in accordance with the calculations in such financial statements, the Parent Guarantor shall provide the Administrative Agent with written notice thereof and shall cause each such Subsidiary to execute and deliver to the Administrative Agent the Guaranty (or a joinder thereto in the form contemplated thereby) pursuant to which such Subsidiary agrees to be bound by the terms and provisions thereof, the Guaranty (or joinder thereto) to be accompanied by requisite organizational resolutions, other organizational or constitutional documentation and legal opinions as may be reasonably requested by the Administrative Agent (with any such opinion so requested to be in form and substance reasonably satisfactory to the Administrative Agent but, in any case, limited to the types of matters covered in any legal opinion delivered pursuant to Article VI of the Participation Agreement). Each guarantor and each borrower under the Bank Credit Agreement that is a Domestic Subsidiary (and not (x) the Lessee or (y) an Excluded Subsidiary pursuant to any of clauses (a) through</w:t>
      </w:r>
    </w:p>
    <w:p>
      <w:pPr>
        <w:spacing w:after="0" w:line="4" w:lineRule="exact"/>
        <w:rPr>
          <w:rFonts w:ascii="Arial" w:cs="Arial" w:eastAsia="Arial" w:hAnsi="Arial"/>
          <w:sz w:val="16"/>
          <w:szCs w:val="16"/>
          <w:color w:val="auto"/>
        </w:rPr>
      </w:pPr>
    </w:p>
    <w:p>
      <w:pPr>
        <w:ind w:left="660" w:hanging="4"/>
        <w:spacing w:after="0" w:line="260" w:lineRule="auto"/>
        <w:tabs>
          <w:tab w:leader="none" w:pos="93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of the definition thereof) shall be party to this Guaranty, subject to Section 17 hereof. Notwithstanding anything to the contrary in any Operative Document, no Excluded Subsidiary shall be required to become a Subsidiary Guarantor.</w:t>
      </w:r>
    </w:p>
    <w:p>
      <w:pPr>
        <w:spacing w:after="0" w:line="185" w:lineRule="exact"/>
        <w:rPr>
          <w:rFonts w:ascii="Arial" w:cs="Arial" w:eastAsia="Arial" w:hAnsi="Arial"/>
          <w:sz w:val="18"/>
          <w:szCs w:val="18"/>
          <w:color w:val="auto"/>
        </w:rPr>
      </w:pPr>
    </w:p>
    <w:p>
      <w:pPr>
        <w:jc w:val="both"/>
        <w:ind w:left="660" w:firstLine="644"/>
        <w:spacing w:after="0" w:line="272" w:lineRule="auto"/>
        <w:tabs>
          <w:tab w:leader="none" w:pos="1748" w:val="left"/>
        </w:tabs>
        <w:numPr>
          <w:ilvl w:val="1"/>
          <w:numId w:val="218"/>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The proceeds of the Advance will be used only to pay for Participant Costs. No part of the proceeds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will be used, whether directly or indirectly, for any purpose that entails a violation of any of the Regulations of the F.R.S. Board, including Regulations T, U and X of the F.R.S. Board. The Parent Guarantor shall procure that its Subsidiaries (including the Lessee) and its or their respective directors, officers, employees and agents shall not use, the proceeds of the Advance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7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9.</w:t>
      </w:r>
      <w:r>
        <w:rPr>
          <w:sz w:val="20"/>
          <w:szCs w:val="20"/>
          <w:color w:val="auto"/>
        </w:rPr>
        <w:tab/>
      </w:r>
      <w:r>
        <w:rPr>
          <w:rFonts w:ascii="Arial" w:cs="Arial" w:eastAsia="Arial" w:hAnsi="Arial"/>
          <w:sz w:val="16"/>
          <w:szCs w:val="16"/>
          <w:i w:val="1"/>
          <w:iCs w:val="1"/>
          <w:color w:val="auto"/>
        </w:rPr>
        <w:t xml:space="preserve">Guarantor Negative Covenants. </w:t>
      </w:r>
      <w:r>
        <w:rPr>
          <w:rFonts w:ascii="Arial" w:cs="Arial" w:eastAsia="Arial" w:hAnsi="Arial"/>
          <w:sz w:val="16"/>
          <w:szCs w:val="16"/>
          <w:color w:val="auto"/>
        </w:rPr>
        <w:t>The Parent Guarantor shall comply with the following covenants until all Liabilities have been paid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full:</w:t>
      </w:r>
    </w:p>
    <w:p>
      <w:pPr>
        <w:spacing w:after="0" w:line="211" w:lineRule="exact"/>
        <w:rPr>
          <w:sz w:val="20"/>
          <w:szCs w:val="20"/>
          <w:color w:val="auto"/>
        </w:rPr>
      </w:pPr>
    </w:p>
    <w:p>
      <w:pPr>
        <w:ind w:left="660" w:firstLine="644"/>
        <w:spacing w:after="0" w:line="277" w:lineRule="auto"/>
        <w:tabs>
          <w:tab w:leader="none" w:pos="1777"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Subsidiary Indebtedness</w:t>
      </w:r>
      <w:r>
        <w:rPr>
          <w:rFonts w:ascii="Arial" w:cs="Arial" w:eastAsia="Arial" w:hAnsi="Arial"/>
          <w:sz w:val="18"/>
          <w:szCs w:val="18"/>
          <w:color w:val="auto"/>
        </w:rPr>
        <w:t>. The Parent Guarantor will not permit Lessee or any other Subsidiary to create, incur, assume or permit to</w:t>
      </w:r>
      <w:r>
        <w:rPr>
          <w:rFonts w:ascii="Arial" w:cs="Arial" w:eastAsia="Arial" w:hAnsi="Arial"/>
          <w:sz w:val="18"/>
          <w:szCs w:val="18"/>
          <w:i w:val="1"/>
          <w:iCs w:val="1"/>
          <w:color w:val="auto"/>
        </w:rPr>
        <w:t xml:space="preserve"> </w:t>
      </w:r>
      <w:r>
        <w:rPr>
          <w:rFonts w:ascii="Arial" w:cs="Arial" w:eastAsia="Arial" w:hAnsi="Arial"/>
          <w:sz w:val="18"/>
          <w:szCs w:val="18"/>
          <w:color w:val="auto"/>
        </w:rPr>
        <w:t>exist any Indebtedness, except:</w:t>
      </w:r>
    </w:p>
    <w:p>
      <w:pPr>
        <w:spacing w:after="0" w:line="170" w:lineRule="exact"/>
        <w:rPr>
          <w:rFonts w:ascii="Arial" w:cs="Arial" w:eastAsia="Arial" w:hAnsi="Arial"/>
          <w:sz w:val="18"/>
          <w:szCs w:val="18"/>
          <w:color w:val="auto"/>
        </w:rPr>
      </w:pPr>
    </w:p>
    <w:p>
      <w:pPr>
        <w:ind w:left="2420" w:hanging="468"/>
        <w:spacing w:after="0"/>
        <w:tabs>
          <w:tab w:leader="none" w:pos="24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2"/>
        <w:spacing w:after="0" w:line="279" w:lineRule="auto"/>
        <w:tabs>
          <w:tab w:leader="none" w:pos="2438" w:val="left"/>
        </w:tabs>
        <w:numPr>
          <w:ilvl w:val="1"/>
          <w:numId w:val="219"/>
        </w:numPr>
        <w:rPr>
          <w:rFonts w:ascii="Arial" w:cs="Arial" w:eastAsia="Arial" w:hAnsi="Arial"/>
          <w:sz w:val="17"/>
          <w:szCs w:val="17"/>
          <w:color w:val="auto"/>
        </w:rPr>
      </w:pPr>
      <w:r>
        <w:rPr>
          <w:rFonts w:ascii="Arial" w:cs="Arial" w:eastAsia="Arial" w:hAnsi="Arial"/>
          <w:sz w:val="17"/>
          <w:szCs w:val="17"/>
          <w:color w:val="auto"/>
        </w:rPr>
        <w:t>Indebtedness existing on the Restatement Date and set forth in Schedule 9(a) and amendments, modifications, extensions, refinancings, renewals and replacements of any such Indebtedness that does not increase the outstanding principal amount thereof (other than with respect to unpaid accrued interest and premium thereon, any committed or undrawn amounts and underwriting discounts, fees, commissions, premiums and expenses associated with such Indebtedness);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4" w:name="page235"/>
    <w:bookmarkEnd w:id="234"/>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1124" w:right="339" w:bottom="1440" w:gutter="0" w:footer="0" w:header="0"/>
        </w:sectPr>
      </w:pPr>
    </w:p>
    <w:p>
      <w:pPr>
        <w:spacing w:after="0" w:line="225" w:lineRule="exact"/>
        <w:rPr>
          <w:sz w:val="20"/>
          <w:szCs w:val="20"/>
          <w:color w:val="auto"/>
        </w:rPr>
      </w:pPr>
    </w:p>
    <w:p>
      <w:pPr>
        <w:ind w:left="2500" w:hanging="548"/>
        <w:spacing w:after="0"/>
        <w:tabs>
          <w:tab w:leader="none" w:pos="25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Indebtedness of any Subsidiary to the Parent Guarantor or any other Subsidiary;</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Guarantees by any Subsidiary of Indebtedness or other obligations of the Parent Guarantor or any other Subsidiary;</w:t>
      </w:r>
    </w:p>
    <w:p>
      <w:pPr>
        <w:spacing w:after="0" w:line="236" w:lineRule="exact"/>
        <w:rPr>
          <w:rFonts w:ascii="Arial" w:cs="Arial" w:eastAsia="Arial" w:hAnsi="Arial"/>
          <w:sz w:val="17"/>
          <w:szCs w:val="17"/>
          <w:color w:val="auto"/>
        </w:rPr>
      </w:pPr>
    </w:p>
    <w:p>
      <w:pPr>
        <w:jc w:val="both"/>
        <w:ind w:left="1300" w:firstLine="652"/>
        <w:spacing w:after="0" w:line="254" w:lineRule="auto"/>
        <w:tabs>
          <w:tab w:leader="none" w:pos="245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Indebtedness of any Subsidiary incurred to finance the acquisition, construction, repair, replacement, lease or improvement of any fixed or capital assets, including Capital Lease Obligations and any Indebtedness assumed in connection with the acquisition of any such assets or secured by a Lien on any such assets prior to the acquisition thereof, and amendments, modifications, extensions, refinancings, renewals and replacements of any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is initially incurred prior to or within one hundred eighty (180) days after such acquisition or the completion of such construction, repair, replacement, lease or improvement and (B) the aggregate outstanding principal amount of Indebtedness permitted by this clause (v) shall not exceed $75,000,000 at any time outstanding;</w:t>
      </w:r>
    </w:p>
    <w:p>
      <w:pPr>
        <w:spacing w:after="0" w:line="194" w:lineRule="exact"/>
        <w:rPr>
          <w:rFonts w:ascii="Arial" w:cs="Arial" w:eastAsia="Arial" w:hAnsi="Arial"/>
          <w:sz w:val="18"/>
          <w:szCs w:val="18"/>
          <w:color w:val="auto"/>
        </w:rPr>
      </w:pPr>
    </w:p>
    <w:p>
      <w:pPr>
        <w:ind w:left="1300" w:right="20" w:firstLine="652"/>
        <w:spacing w:after="0" w:line="277" w:lineRule="auto"/>
        <w:tabs>
          <w:tab w:leader="none" w:pos="247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Indebtedness of any Subsidiary as an account party in respect of letters of credit, bank guarantees, letters of guaranty or similar instruments;</w:t>
      </w:r>
    </w:p>
    <w:p>
      <w:pPr>
        <w:spacing w:after="0" w:line="170" w:lineRule="exact"/>
        <w:rPr>
          <w:rFonts w:ascii="Arial" w:cs="Arial" w:eastAsia="Arial" w:hAnsi="Arial"/>
          <w:sz w:val="18"/>
          <w:szCs w:val="18"/>
          <w:color w:val="auto"/>
        </w:rPr>
      </w:pPr>
    </w:p>
    <w:p>
      <w:pPr>
        <w:ind w:left="1300" w:firstLine="652"/>
        <w:spacing w:after="0" w:line="277" w:lineRule="auto"/>
        <w:tabs>
          <w:tab w:leader="none" w:pos="250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unfunded pension fund and other employee benefit plan obligations and liabilities to the extent they are permitted to remain unfunded under applicable law;</w:t>
      </w:r>
    </w:p>
    <w:p>
      <w:pPr>
        <w:spacing w:after="0" w:line="170" w:lineRule="exact"/>
        <w:rPr>
          <w:rFonts w:ascii="Arial" w:cs="Arial" w:eastAsia="Arial" w:hAnsi="Arial"/>
          <w:sz w:val="18"/>
          <w:szCs w:val="18"/>
          <w:color w:val="auto"/>
        </w:rPr>
      </w:pPr>
    </w:p>
    <w:p>
      <w:pPr>
        <w:ind w:left="2540" w:hanging="588"/>
        <w:spacing w:after="0"/>
        <w:tabs>
          <w:tab w:leader="none" w:pos="2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incurred in the ordinary course of business;</w:t>
      </w:r>
    </w:p>
    <w:p>
      <w:pPr>
        <w:spacing w:after="0" w:line="225" w:lineRule="exact"/>
        <w:rPr>
          <w:rFonts w:ascii="Arial" w:cs="Arial" w:eastAsia="Arial" w:hAnsi="Arial"/>
          <w:sz w:val="18"/>
          <w:szCs w:val="18"/>
          <w:color w:val="auto"/>
        </w:rPr>
      </w:pPr>
    </w:p>
    <w:p>
      <w:pPr>
        <w:ind w:left="1300" w:firstLine="652"/>
        <w:spacing w:after="0" w:line="277" w:lineRule="auto"/>
        <w:tabs>
          <w:tab w:leader="none" w:pos="247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Guarantees, surety bonds or performance bonds securing the performance of any Subsidiary, in each case incurred or assumed in connection with an Acquisition or disposition or other acquisition of assets not prohibited hereunder;</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45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Indebtedness of any Subsidiary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pacing w:after="0" w:line="183" w:lineRule="exact"/>
        <w:rPr>
          <w:rFonts w:ascii="Arial" w:cs="Arial" w:eastAsia="Arial" w:hAnsi="Arial"/>
          <w:sz w:val="18"/>
          <w:szCs w:val="18"/>
          <w:color w:val="auto"/>
        </w:rPr>
      </w:pPr>
    </w:p>
    <w:p>
      <w:pPr>
        <w:jc w:val="both"/>
        <w:ind w:left="1300" w:firstLine="652"/>
        <w:spacing w:after="0" w:line="259" w:lineRule="auto"/>
        <w:tabs>
          <w:tab w:leader="none" w:pos="247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drawn against insufficient funds in the ordinary course of business or otherwise in respect of any netting services, overdrafts and related liabilities arising from treasury, depository and cash management services or in connection with any automated clearing-house transfers of funds;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235" w:name="page236"/>
    <w:bookmarkEnd w:id="235"/>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ind w:left="2540" w:hanging="588"/>
        <w:spacing w:after="0"/>
        <w:tabs>
          <w:tab w:leader="none" w:pos="25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Indebtedness in respect to judgments or awards under circumstances not giving rise to an Event of Default;</w:t>
      </w:r>
    </w:p>
    <w:p>
      <w:pPr>
        <w:spacing w:after="0" w:line="225" w:lineRule="exact"/>
        <w:rPr>
          <w:rFonts w:ascii="Arial" w:cs="Arial" w:eastAsia="Arial" w:hAnsi="Arial"/>
          <w:sz w:val="18"/>
          <w:szCs w:val="18"/>
          <w:color w:val="auto"/>
        </w:rPr>
      </w:pPr>
    </w:p>
    <w:p>
      <w:pPr>
        <w:ind w:left="2560" w:hanging="608"/>
        <w:spacing w:after="0"/>
        <w:tabs>
          <w:tab w:leader="none" w:pos="25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Indebtedness in respect of obligations that are being contested in accordance with Section 8(d);</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545"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Indebtedness consisting of (A) deferred payments or financing of insurance premiums incurred in the ordinary course of business of any Subsidiary and (B) take or pay obligations contained in any supply agreement entered into in the ordinary course of business;</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51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Indebtedness representing deferred compensation, severance, pension, and health and welfare retirement benefits or the equivalent to current and former employees of the Parent Guarantor or any Subsidiary incurred in the ordinary course of business or existing on the Restatement Date;</w:t>
      </w:r>
    </w:p>
    <w:p>
      <w:pPr>
        <w:spacing w:after="0" w:line="183" w:lineRule="exact"/>
        <w:rPr>
          <w:rFonts w:ascii="Arial" w:cs="Arial" w:eastAsia="Arial" w:hAnsi="Arial"/>
          <w:sz w:val="18"/>
          <w:szCs w:val="18"/>
          <w:color w:val="auto"/>
        </w:rPr>
      </w:pPr>
    </w:p>
    <w:p>
      <w:pPr>
        <w:ind w:left="1300" w:firstLine="652"/>
        <w:spacing w:after="0" w:line="277" w:lineRule="auto"/>
        <w:tabs>
          <w:tab w:leader="none" w:pos="2545" w:val="left"/>
        </w:tabs>
        <w:numPr>
          <w:ilvl w:val="1"/>
          <w:numId w:val="221"/>
        </w:numPr>
        <w:rPr>
          <w:rFonts w:ascii="Arial" w:cs="Arial" w:eastAsia="Arial" w:hAnsi="Arial"/>
          <w:sz w:val="18"/>
          <w:szCs w:val="18"/>
          <w:color w:val="auto"/>
        </w:rPr>
      </w:pPr>
      <w:r>
        <w:rPr>
          <w:rFonts w:ascii="Arial" w:cs="Arial" w:eastAsia="Arial" w:hAnsi="Arial"/>
          <w:sz w:val="18"/>
          <w:szCs w:val="18"/>
          <w:color w:val="auto"/>
        </w:rPr>
        <w:t>customer advances or deposits or other endorsements for collection, deposit or negotiation and warranties of products or services, in each case received or incurred in the ordinary course of business;</w:t>
      </w:r>
    </w:p>
    <w:p>
      <w:pPr>
        <w:spacing w:after="0" w:line="170" w:lineRule="exact"/>
        <w:rPr>
          <w:rFonts w:ascii="Arial" w:cs="Arial" w:eastAsia="Arial" w:hAnsi="Arial"/>
          <w:sz w:val="18"/>
          <w:szCs w:val="18"/>
          <w:color w:val="auto"/>
        </w:rPr>
      </w:pPr>
    </w:p>
    <w:p>
      <w:pPr>
        <w:jc w:val="both"/>
        <w:ind w:left="1300" w:firstLine="652"/>
        <w:spacing w:after="0" w:line="273" w:lineRule="auto"/>
        <w:tabs>
          <w:tab w:leader="none" w:pos="2573" w:val="left"/>
        </w:tabs>
        <w:numPr>
          <w:ilvl w:val="1"/>
          <w:numId w:val="221"/>
        </w:numPr>
        <w:rPr>
          <w:rFonts w:ascii="Arial" w:cs="Arial" w:eastAsia="Arial" w:hAnsi="Arial"/>
          <w:sz w:val="17"/>
          <w:szCs w:val="17"/>
          <w:color w:val="auto"/>
        </w:rPr>
      </w:pPr>
      <w:r>
        <w:rPr>
          <w:rFonts w:ascii="Arial" w:cs="Arial" w:eastAsia="Arial" w:hAnsi="Arial"/>
          <w:sz w:val="17"/>
          <w:szCs w:val="17"/>
          <w:color w:val="auto"/>
        </w:rPr>
        <w:t xml:space="preserve">Priority Indebtedness of any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after giving effect to the incurrence of any such Priority Indebtedness in reliance on this clause (xvii), the sum of (without duplication) (A) the aggregate principal amount of all such Priority Indebtedness outstanding in reliance on this clause (xvii),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aggregate principal amount of Indebtedness and other obligations of the Parent Guarantor and its Subsidiaries secured by Liens in reliance on Section 9(b)(xix)(B) or 9(b)(xix)(C), shall not exceed fifteen percent (15%) of the Parent Guarantor’s Consolidated Net Worth (determined as of the last day of the most recent fiscal quarter for which financial statements shall have been delivered pursuant to Section 8(a)(i) or Section 8(a)(ii));</w:t>
      </w:r>
    </w:p>
    <w:p>
      <w:pPr>
        <w:spacing w:after="0" w:line="177" w:lineRule="exact"/>
        <w:rPr>
          <w:rFonts w:ascii="Arial" w:cs="Arial" w:eastAsia="Arial" w:hAnsi="Arial"/>
          <w:sz w:val="17"/>
          <w:szCs w:val="17"/>
          <w:color w:val="auto"/>
        </w:rPr>
      </w:pPr>
    </w:p>
    <w:p>
      <w:pPr>
        <w:jc w:val="both"/>
        <w:ind w:left="1300" w:firstLine="652"/>
        <w:spacing w:after="0" w:line="291" w:lineRule="auto"/>
        <w:tabs>
          <w:tab w:leader="none" w:pos="260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unsecured Indebtedness of the Lessee or any other Subsidiary so long as at the time of and immediately after giving effect on a pro forma basis to the incurrence of such Indebtedness (A) no Event of Default shall have occurred and be continuing and</w:t>
      </w:r>
    </w:p>
    <w:p>
      <w:pPr>
        <w:ind w:left="1580" w:hanging="276"/>
        <w:spacing w:after="0"/>
        <w:tabs>
          <w:tab w:leader="none" w:pos="15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Parent Guarantor shall be in compliance with the financial covenants set forth in Sections 9(f) and (g);</w:t>
      </w:r>
    </w:p>
    <w:p>
      <w:pPr>
        <w:spacing w:after="0" w:line="210" w:lineRule="exact"/>
        <w:rPr>
          <w:rFonts w:ascii="Arial" w:cs="Arial" w:eastAsia="Arial" w:hAnsi="Arial"/>
          <w:sz w:val="18"/>
          <w:szCs w:val="18"/>
          <w:color w:val="auto"/>
        </w:rPr>
      </w:pPr>
    </w:p>
    <w:p>
      <w:pPr>
        <w:ind w:left="2540" w:hanging="588"/>
        <w:spacing w:after="0"/>
        <w:tabs>
          <w:tab w:leader="none" w:pos="25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other Indebtedness in an aggregate outstanding principal amount not to exceed $75,000,000;</w:t>
      </w:r>
    </w:p>
    <w:p>
      <w:pPr>
        <w:spacing w:after="0" w:line="225" w:lineRule="exact"/>
        <w:rPr>
          <w:rFonts w:ascii="Arial" w:cs="Arial" w:eastAsia="Arial" w:hAnsi="Arial"/>
          <w:sz w:val="18"/>
          <w:szCs w:val="18"/>
          <w:color w:val="auto"/>
        </w:rPr>
      </w:pPr>
    </w:p>
    <w:p>
      <w:pPr>
        <w:jc w:val="both"/>
        <w:ind w:left="1300" w:firstLine="652"/>
        <w:spacing w:after="0" w:line="257" w:lineRule="auto"/>
        <w:tabs>
          <w:tab w:leader="none" w:pos="2518"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Indebtedness assumed by any Subsidiary in connection with any Acquisition or other acquisition of any property or assets or Indebtedness of any Person that becomes a Subsidiary after the Restatement Date in a transaction not prohibited hereby, and amendments, modifications, extensions, refinancings, renewals and replacements of any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is not incurred in contemplation of such acquisition and (B) the aggregate outstanding principal amount of such Indebtedness does not exceed $200,000,000;</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6" w:name="page237"/>
    <w:bookmarkEnd w:id="236"/>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1300" w:firstLine="652"/>
        <w:spacing w:after="0" w:line="285" w:lineRule="auto"/>
        <w:tabs>
          <w:tab w:leader="none" w:pos="2523"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“Obligations” (as defined in the Bank Credit Agreement) in an aggregate principal amount of up to $1,000,000,000, including any additional “Commitments” and/or “Incremental Term Loans” (as such terms are defined therein) pursuant to Section 2.20 of the Bank Credit Agreement, any “Specified Ancillary Obligations” or other defined term of similar import (as defined in the Bank Credit Agreement), and any amendments, modifications, extensions, refinancings, renewals and replacements of any such Indebtedness to the extent not resulting in the aggregate principal amount of all Indebtedness outstanding at any time pursuant to this Section 9(a)</w:t>
      </w:r>
    </w:p>
    <w:p>
      <w:pPr>
        <w:spacing w:after="0" w:line="1" w:lineRule="exact"/>
        <w:rPr>
          <w:rFonts w:ascii="Arial" w:cs="Arial" w:eastAsia="Arial" w:hAnsi="Arial"/>
          <w:sz w:val="16"/>
          <w:szCs w:val="16"/>
          <w:color w:val="auto"/>
        </w:rPr>
      </w:pPr>
    </w:p>
    <w:p>
      <w:pPr>
        <w:jc w:val="both"/>
        <w:ind w:left="1300" w:firstLine="4"/>
        <w:spacing w:after="0" w:line="277" w:lineRule="auto"/>
        <w:tabs>
          <w:tab w:leader="none" w:pos="174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exceeding $1,000,000,000 (other than with respect to increases pursuant to any such amendment, modification, extension, refinancing, renewal and/or replacement on account of unpaid accrued interest and premium on such Indebtedness, any committed or undrawn amounts and underwriting discounts, fees, commissions, premiums and expenses associated with such Indebtedness);</w:t>
      </w:r>
    </w:p>
    <w:p>
      <w:pPr>
        <w:spacing w:after="0" w:line="172" w:lineRule="exact"/>
        <w:rPr>
          <w:rFonts w:ascii="Arial" w:cs="Arial" w:eastAsia="Arial" w:hAnsi="Arial"/>
          <w:sz w:val="17"/>
          <w:szCs w:val="17"/>
          <w:color w:val="auto"/>
        </w:rPr>
      </w:pPr>
    </w:p>
    <w:p>
      <w:pPr>
        <w:ind w:left="1300" w:firstLine="652"/>
        <w:spacing w:after="0" w:line="277" w:lineRule="auto"/>
        <w:tabs>
          <w:tab w:leader="none" w:pos="255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Indebtedness of the Lessee or any Subsidiary incurred to develop Permitted Developed Areas, Undeveloped Areas and/or Permitted Development Projects; and</w:t>
      </w:r>
    </w:p>
    <w:p>
      <w:pPr>
        <w:spacing w:after="0" w:line="170" w:lineRule="exact"/>
        <w:rPr>
          <w:rFonts w:ascii="Arial" w:cs="Arial" w:eastAsia="Arial" w:hAnsi="Arial"/>
          <w:sz w:val="18"/>
          <w:szCs w:val="18"/>
          <w:color w:val="auto"/>
        </w:rPr>
      </w:pPr>
    </w:p>
    <w:p>
      <w:pPr>
        <w:jc w:val="both"/>
        <w:ind w:left="1300" w:firstLine="652"/>
        <w:spacing w:after="0" w:line="275" w:lineRule="auto"/>
        <w:tabs>
          <w:tab w:leader="none" w:pos="2578" w:val="left"/>
        </w:tabs>
        <w:numPr>
          <w:ilvl w:val="1"/>
          <w:numId w:val="224"/>
        </w:numPr>
        <w:rPr>
          <w:rFonts w:ascii="Arial" w:cs="Arial" w:eastAsia="Arial" w:hAnsi="Arial"/>
          <w:sz w:val="17"/>
          <w:szCs w:val="17"/>
          <w:color w:val="auto"/>
        </w:rPr>
      </w:pPr>
      <w:r>
        <w:rPr>
          <w:rFonts w:ascii="Arial" w:cs="Arial" w:eastAsia="Arial" w:hAnsi="Arial"/>
          <w:sz w:val="17"/>
          <w:szCs w:val="17"/>
          <w:color w:val="auto"/>
        </w:rPr>
        <w:t>liabilities incurred in the ordinary course of business relating to the ownership and operation of the Leased Property and other Collateral and the routine administration of Lessee, in amounts not to exceed six percent (6%) of the principal balance of the Rent Assignment Contributions, which liabilities are not more than sixty (60) days past the date invoiced (unless being contested in good faith in accordance with the terms of this Guaranty and the other Operative Documents), are not evidenced by a promissory note, and which amounts are normal and reasonable under the circumstance.</w:t>
      </w:r>
    </w:p>
    <w:p>
      <w:pPr>
        <w:spacing w:after="0" w:line="176" w:lineRule="exact"/>
        <w:rPr>
          <w:sz w:val="20"/>
          <w:szCs w:val="20"/>
          <w:color w:val="auto"/>
        </w:rPr>
      </w:pPr>
    </w:p>
    <w:p>
      <w:pPr>
        <w:ind w:left="660" w:right="20" w:firstLine="644"/>
        <w:spacing w:after="0" w:line="342" w:lineRule="auto"/>
        <w:tabs>
          <w:tab w:leader="none" w:pos="1787" w:val="left"/>
        </w:tabs>
        <w:numPr>
          <w:ilvl w:val="0"/>
          <w:numId w:val="225"/>
        </w:numPr>
        <w:rPr>
          <w:rFonts w:ascii="Arial" w:cs="Arial" w:eastAsia="Arial" w:hAnsi="Arial"/>
          <w:sz w:val="16"/>
          <w:szCs w:val="16"/>
          <w:color w:val="auto"/>
        </w:rPr>
      </w:pPr>
      <w:r>
        <w:rPr>
          <w:rFonts w:ascii="Arial" w:cs="Arial" w:eastAsia="Arial" w:hAnsi="Arial"/>
          <w:sz w:val="16"/>
          <w:szCs w:val="16"/>
          <w:i w:val="1"/>
          <w:iCs w:val="1"/>
          <w:color w:val="auto"/>
        </w:rPr>
        <w:t>Liens</w:t>
      </w:r>
      <w:r>
        <w:rPr>
          <w:rFonts w:ascii="Arial" w:cs="Arial" w:eastAsia="Arial" w:hAnsi="Arial"/>
          <w:sz w:val="16"/>
          <w:szCs w:val="16"/>
          <w:color w:val="auto"/>
        </w:rPr>
        <w:t>. The Parent Guarantor will not, and will not permit Lessee or any other Subsidiary to, create, incur, assume or permit to exist</w:t>
      </w:r>
      <w:r>
        <w:rPr>
          <w:rFonts w:ascii="Arial" w:cs="Arial" w:eastAsia="Arial" w:hAnsi="Arial"/>
          <w:sz w:val="16"/>
          <w:szCs w:val="16"/>
          <w:i w:val="1"/>
          <w:iCs w:val="1"/>
          <w:color w:val="auto"/>
        </w:rPr>
        <w:t xml:space="preserve"> </w:t>
      </w:r>
      <w:r>
        <w:rPr>
          <w:rFonts w:ascii="Arial" w:cs="Arial" w:eastAsia="Arial" w:hAnsi="Arial"/>
          <w:sz w:val="16"/>
          <w:szCs w:val="16"/>
          <w:color w:val="auto"/>
        </w:rPr>
        <w:t>any Lien on (y) the Leased Property other than Permitted Liens or (z) any other property or asset now owned or hereafter acquired by it except:</w:t>
      </w:r>
    </w:p>
    <w:p>
      <w:pPr>
        <w:spacing w:after="0" w:line="123" w:lineRule="exact"/>
        <w:rPr>
          <w:rFonts w:ascii="Arial" w:cs="Arial" w:eastAsia="Arial" w:hAnsi="Arial"/>
          <w:sz w:val="16"/>
          <w:szCs w:val="16"/>
          <w:color w:val="auto"/>
        </w:rPr>
      </w:pPr>
    </w:p>
    <w:p>
      <w:pPr>
        <w:ind w:left="2480" w:hanging="528"/>
        <w:spacing w:after="0"/>
        <w:tabs>
          <w:tab w:leader="none" w:pos="248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Liens (if any) created pursuant to any Operative Document including with respect to any obligation to provide cash</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collateral;</w:t>
      </w:r>
    </w:p>
    <w:p>
      <w:pPr>
        <w:spacing w:after="0" w:line="210" w:lineRule="exact"/>
        <w:rPr>
          <w:rFonts w:ascii="Arial" w:cs="Arial" w:eastAsia="Arial" w:hAnsi="Arial"/>
          <w:sz w:val="17"/>
          <w:szCs w:val="17"/>
          <w:color w:val="auto"/>
        </w:rPr>
      </w:pPr>
    </w:p>
    <w:p>
      <w:pPr>
        <w:ind w:left="2480" w:hanging="528"/>
        <w:spacing w:after="0"/>
        <w:tabs>
          <w:tab w:leader="none" w:pos="24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Permitted Encumbrances and Permitted Liens;</w:t>
      </w:r>
    </w:p>
    <w:p>
      <w:pPr>
        <w:spacing w:after="0" w:line="225" w:lineRule="exact"/>
        <w:rPr>
          <w:rFonts w:ascii="Arial" w:cs="Arial" w:eastAsia="Arial" w:hAnsi="Arial"/>
          <w:sz w:val="18"/>
          <w:szCs w:val="18"/>
          <w:color w:val="auto"/>
        </w:rPr>
      </w:pPr>
    </w:p>
    <w:p>
      <w:pPr>
        <w:jc w:val="both"/>
        <w:ind w:left="1300" w:firstLine="652"/>
        <w:spacing w:after="0" w:line="291" w:lineRule="auto"/>
        <w:tabs>
          <w:tab w:leader="none" w:pos="251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Parent Guarantor or any Subsidiary existing on the Restatement Date and set forth in Schedule 9(b) and any amendments, modifications, extensions, renewals, refinancings and replacements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jc w:val="both"/>
        <w:ind w:left="1300"/>
        <w:spacing w:after="0" w:line="269" w:lineRule="auto"/>
        <w:rPr>
          <w:rFonts w:ascii="Arial" w:cs="Arial" w:eastAsia="Arial" w:hAnsi="Arial"/>
          <w:sz w:val="16"/>
          <w:szCs w:val="16"/>
          <w:color w:val="auto"/>
        </w:rPr>
      </w:pPr>
      <w:r>
        <w:rPr>
          <w:rFonts w:ascii="Arial" w:cs="Arial" w:eastAsia="Arial" w:hAnsi="Arial"/>
          <w:sz w:val="17"/>
          <w:szCs w:val="17"/>
          <w:color w:val="auto"/>
        </w:rPr>
        <w:t>(1) such Lien shall not apply to any other property or asset of the Parent Guarantor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(2) the amount secured or benefited thereby is not increased (other than as not otherwise prohibited by this Guaranty) and amendments, modifications, extensions, refinancings, renewals and replacements thereof that do not increase the outstanding principal amount thereof (other than as not otherwise prohibited by this Guaranty);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7" w:name="page238"/>
    <w:bookmarkEnd w:id="237"/>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1300" w:firstLine="652"/>
        <w:spacing w:after="0" w:line="286" w:lineRule="auto"/>
        <w:tabs>
          <w:tab w:leader="none" w:pos="2477" w:val="left"/>
        </w:tabs>
        <w:numPr>
          <w:ilvl w:val="1"/>
          <w:numId w:val="226"/>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the Parent Guarantor or any Subsidiary or existing on any property or asset of any Person that becomes a Subsidiary after the Restatement Date prior to the time such Person becomes a Subsidiary or existing on any asset of any Person existing at the time such Person is merged into or consolidated with the Parent Guarantor or a Subsidiary and any amendments, modifications, extensions, renewals and replacements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jc w:val="both"/>
        <w:ind w:left="1300" w:firstLine="4"/>
        <w:spacing w:after="0" w:line="287" w:lineRule="auto"/>
        <w:tabs>
          <w:tab w:leader="none" w:pos="155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such Lien is not created in contemplation of or in connection with such acquisition or such Person becoming a Subsidiary, as the case may be, (2) such Lien shall not apply to any other property or assets of the Parent Guarantor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(3) such Lien shall secure only those obligations which it secures on the date of such acquisition or the date such Person becomes a Subsidiary or the date of such merger or consolidation, as the case may be, and amendments, modifications, extensions, refinancings, renewals and replacements thereof that do not increase the outstanding principal amount thereof (other than as not prohibited by this Guaranty);</w:t>
      </w:r>
    </w:p>
    <w:p>
      <w:pPr>
        <w:spacing w:after="0" w:line="169" w:lineRule="exact"/>
        <w:rPr>
          <w:rFonts w:ascii="Arial" w:cs="Arial" w:eastAsia="Arial" w:hAnsi="Arial"/>
          <w:sz w:val="16"/>
          <w:szCs w:val="16"/>
          <w:color w:val="auto"/>
        </w:rPr>
      </w:pPr>
    </w:p>
    <w:p>
      <w:pPr>
        <w:jc w:val="both"/>
        <w:ind w:left="1300" w:firstLine="652"/>
        <w:spacing w:after="0" w:line="289" w:lineRule="auto"/>
        <w:tabs>
          <w:tab w:leader="none" w:pos="245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 xml:space="preserve">Liens on assets (including capital leases) acquired (including as a replacement), constructed, repaired, leased or improved by the Parent Guarantor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Liens secure Indebtedness or Capital Lease Obligations of the Parent Guarantor or any Subsidiary permitted by Section 9(a)(v) (or, in the case of the Parent Guarantor, that would have been permitted by Section 9(a)(v) had such Indebtedness or Capital Lease Obligations instead been incurred by a Subsidiary), (B) such Liens and the Indebtedness secured thereby are initially incurred prior to or within one hundred eighty (180) days after such acquisition or lease or the completion of such construction, replacement, repair or improvement and (C) such Liens shall not apply to any other property or assets of the Parent Guarantor or any Subsidiary other than improvements thereon, replacements and products thereof, additions and accessions thereto or proceeds thereof and customary security deposits;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individual financings of equipment provided by one lender (or a syndicate of lenders) may be cross-collateralized to other financings of equipment provided by such lender (or syndicate);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8" w:name="page239"/>
    <w:bookmarkEnd w:id="238"/>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left="1300" w:firstLine="652"/>
        <w:spacing w:after="0" w:line="255" w:lineRule="auto"/>
        <w:tabs>
          <w:tab w:leader="none" w:pos="247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Liens granted by (A) a Subsidiary that is not a Subsidiary Guarantor in favor of the Parent Guarantor, the Lessee or another Subsidiary in respect of Indebtedness or other obligations owed by such Subsidiary to the Parent Guarantor, the Lessee or such other Subsidiary and (B) Lessee, a Guarantor or a Bank Credit Agreement Specified Loan Party in favor of another Guarantor, another Bank Credit Agreement Specified Loan Party or Lessee in respect of Indebtedness or other obligations owed by Lessee, such Guarantor or such Bank Credit Agreement Specified Loan Party to such other Guarantor, such other Bank Credit Agreement Specified Loan Party or Lessee;</w:t>
      </w:r>
    </w:p>
    <w:p>
      <w:pPr>
        <w:spacing w:after="0" w:line="192" w:lineRule="exact"/>
        <w:rPr>
          <w:rFonts w:ascii="Arial" w:cs="Arial" w:eastAsia="Arial" w:hAnsi="Arial"/>
          <w:sz w:val="18"/>
          <w:szCs w:val="18"/>
          <w:color w:val="auto"/>
        </w:rPr>
      </w:pPr>
    </w:p>
    <w:p>
      <w:pPr>
        <w:ind w:left="1300" w:firstLine="652"/>
        <w:spacing w:after="0" w:line="277" w:lineRule="auto"/>
        <w:tabs>
          <w:tab w:leader="none" w:pos="250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Liens arising out of any conditional sale, title retention, consignment or other similar arrangements for the sale of goods entered into by the Parent Guarantor or any of its Subsidiaries the ordinary course of business;</w:t>
      </w:r>
    </w:p>
    <w:p>
      <w:pPr>
        <w:spacing w:after="0" w:line="170" w:lineRule="exact"/>
        <w:rPr>
          <w:rFonts w:ascii="Arial" w:cs="Arial" w:eastAsia="Arial" w:hAnsi="Arial"/>
          <w:sz w:val="18"/>
          <w:szCs w:val="18"/>
          <w:color w:val="auto"/>
        </w:rPr>
      </w:pPr>
    </w:p>
    <w:p>
      <w:pPr>
        <w:ind w:left="2540" w:hanging="588"/>
        <w:spacing w:after="0"/>
        <w:tabs>
          <w:tab w:leader="none" w:pos="2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Liens securing the financing of insurance premiums solely to the extent of such premiums;</w:t>
      </w:r>
    </w:p>
    <w:p>
      <w:pPr>
        <w:spacing w:after="0" w:line="225" w:lineRule="exact"/>
        <w:rPr>
          <w:rFonts w:ascii="Arial" w:cs="Arial" w:eastAsia="Arial" w:hAnsi="Arial"/>
          <w:sz w:val="18"/>
          <w:szCs w:val="18"/>
          <w:color w:val="auto"/>
        </w:rPr>
      </w:pPr>
    </w:p>
    <w:p>
      <w:pPr>
        <w:jc w:val="both"/>
        <w:ind w:left="1300" w:firstLine="652"/>
        <w:spacing w:after="0" w:line="279" w:lineRule="auto"/>
        <w:tabs>
          <w:tab w:leader="none" w:pos="250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71" w:lineRule="exact"/>
        <w:rPr>
          <w:rFonts w:ascii="Arial" w:cs="Arial" w:eastAsia="Arial" w:hAnsi="Arial"/>
          <w:sz w:val="17"/>
          <w:szCs w:val="17"/>
          <w:color w:val="auto"/>
        </w:rPr>
      </w:pPr>
    </w:p>
    <w:p>
      <w:pPr>
        <w:ind w:left="1300" w:right="20" w:firstLine="652"/>
        <w:spacing w:after="0" w:line="277" w:lineRule="auto"/>
        <w:tabs>
          <w:tab w:leader="none" w:pos="247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5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Liens on any cash earnest money deposits made by the Parent Guarantor or any of its Subsidiaries in connection with an Acquisition or other investment not prohibited hereunder, including, without limitation, in connection with any letter of intent or purchase agreement relating thereto;</w:t>
      </w:r>
    </w:p>
    <w:p>
      <w:pPr>
        <w:spacing w:after="0" w:line="183" w:lineRule="exact"/>
        <w:rPr>
          <w:rFonts w:ascii="Arial" w:cs="Arial" w:eastAsia="Arial" w:hAnsi="Arial"/>
          <w:sz w:val="18"/>
          <w:szCs w:val="18"/>
          <w:color w:val="auto"/>
        </w:rPr>
      </w:pPr>
    </w:p>
    <w:p>
      <w:pPr>
        <w:ind w:left="1300" w:firstLine="652"/>
        <w:spacing w:after="0" w:line="277" w:lineRule="auto"/>
        <w:tabs>
          <w:tab w:leader="none" w:pos="252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Liens in connection with the sale or transfer of any assets in a transaction permitted under Section 9(c), customary rights and restrictions contained in agreements relating to such sale or transfer pending the completion thereof;</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55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Liens in the nature of the right of setoff in favor of counterparties to contractual agreements with the Parent Guarantor or any Subsidiary (A) in the ordinary course of business or (B) not otherwise prohibited hereunder other than in connection with Indebtedness;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ind w:left="2520" w:hanging="568"/>
        <w:spacing w:after="0"/>
        <w:tabs>
          <w:tab w:leader="none" w:pos="25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dispositions and other sales of assets permitted under Section 9(c);</w:t>
      </w:r>
    </w:p>
    <w:p>
      <w:pPr>
        <w:spacing w:after="0" w:line="225" w:lineRule="exact"/>
        <w:rPr>
          <w:rFonts w:ascii="Arial" w:cs="Arial" w:eastAsia="Arial" w:hAnsi="Arial"/>
          <w:sz w:val="18"/>
          <w:szCs w:val="18"/>
          <w:color w:val="auto"/>
        </w:rPr>
      </w:pPr>
    </w:p>
    <w:p>
      <w:pPr>
        <w:ind w:left="1300" w:firstLine="652"/>
        <w:spacing w:after="0" w:line="277" w:lineRule="auto"/>
        <w:tabs>
          <w:tab w:leader="none" w:pos="24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the extent constituting a Lien, Liens with respect to repurchase obligations in the ordinary course of business in connection with the cash management activities of the Parent Guarantor or any Subsidiary;</w:t>
      </w:r>
    </w:p>
    <w:p>
      <w:pPr>
        <w:spacing w:after="0" w:line="170" w:lineRule="exact"/>
        <w:rPr>
          <w:rFonts w:ascii="Arial" w:cs="Arial" w:eastAsia="Arial" w:hAnsi="Arial"/>
          <w:sz w:val="18"/>
          <w:szCs w:val="18"/>
          <w:color w:val="auto"/>
        </w:rPr>
      </w:pPr>
    </w:p>
    <w:p>
      <w:pPr>
        <w:jc w:val="both"/>
        <w:ind w:left="1300" w:firstLine="652"/>
        <w:spacing w:after="0" w:line="259" w:lineRule="auto"/>
        <w:tabs>
          <w:tab w:leader="none" w:pos="254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Liens that are contractual rights of set-off (A) relating to the establishment of depositary relations with banks or other financial institutions not given in connection with the issuance of Indebtedness or (B) relating to pooled deposit or sweep accounts of Parent Guarantor or any Subsidiary to permit satisfaction of overdraft or similar obligations incurred in the ordinary course of business of the Parent Guarantor or any Subsidiary;</w:t>
      </w:r>
    </w:p>
    <w:p>
      <w:pPr>
        <w:spacing w:after="0" w:line="186" w:lineRule="exact"/>
        <w:rPr>
          <w:rFonts w:ascii="Arial" w:cs="Arial" w:eastAsia="Arial" w:hAnsi="Arial"/>
          <w:sz w:val="18"/>
          <w:szCs w:val="18"/>
          <w:color w:val="auto"/>
        </w:rPr>
      </w:pPr>
    </w:p>
    <w:p>
      <w:pPr>
        <w:ind w:left="1300" w:right="20" w:firstLine="652"/>
        <w:spacing w:after="0" w:line="277" w:lineRule="auto"/>
        <w:tabs>
          <w:tab w:leader="none" w:pos="255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Lien (and rights of set-off) arising under Section 24 or 25 of the general terms and conditions (</w:t>
      </w:r>
      <w:r>
        <w:rPr>
          <w:rFonts w:ascii="Arial" w:cs="Arial" w:eastAsia="Arial" w:hAnsi="Arial"/>
          <w:sz w:val="18"/>
          <w:szCs w:val="18"/>
          <w:i w:val="1"/>
          <w:iCs w:val="1"/>
          <w:color w:val="auto"/>
        </w:rPr>
        <w:t>algemene</w:t>
      </w:r>
      <w:r>
        <w:rPr>
          <w:rFonts w:ascii="Arial" w:cs="Arial" w:eastAsia="Arial" w:hAnsi="Arial"/>
          <w:sz w:val="18"/>
          <w:szCs w:val="18"/>
          <w:color w:val="auto"/>
        </w:rPr>
        <w:t xml:space="preserve"> </w:t>
      </w:r>
      <w:r>
        <w:rPr>
          <w:rFonts w:ascii="Arial" w:cs="Arial" w:eastAsia="Arial" w:hAnsi="Arial"/>
          <w:sz w:val="18"/>
          <w:szCs w:val="18"/>
          <w:i w:val="1"/>
          <w:iCs w:val="1"/>
          <w:color w:val="auto"/>
        </w:rPr>
        <w:t>bankvoorwaarden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6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Liens of sellers of goods to the Parent Guarantor, any Subsidiary Guarantor and any of their respective Subsidiaries arising under Article 2 of the UCC or similar provisions of applicable law in the ordinary course of business, covering only the goods sold and securing only the unpaid purchase price for such goods and related expenses;</w:t>
      </w:r>
    </w:p>
    <w:p>
      <w:pPr>
        <w:spacing w:after="0" w:line="183" w:lineRule="exact"/>
        <w:rPr>
          <w:rFonts w:ascii="Arial" w:cs="Arial" w:eastAsia="Arial" w:hAnsi="Arial"/>
          <w:sz w:val="18"/>
          <w:szCs w:val="18"/>
          <w:color w:val="auto"/>
        </w:rPr>
      </w:pPr>
    </w:p>
    <w:p>
      <w:pPr>
        <w:jc w:val="both"/>
        <w:ind w:left="1300" w:firstLine="652"/>
        <w:spacing w:after="0" w:line="253" w:lineRule="auto"/>
        <w:tabs>
          <w:tab w:leader="none" w:pos="254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Liens securing (A) Indebtedness of any Subsidiary described in clause (a) of the definition of Priority Indebtedness outstanding in reliance on Section 9(a)(xvii), (B) Priority Indebtedness of the Parent Guarantor and (C) other obligations (excluding Indebtedness) of the Parent Guarantor or any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immediately after giving effect to the incurrence of any Indebtedness or obligations secured by Liens in reliance on this clause (xix), the sum of (without duplication) (x) the aggregate principal amount of all Priority Indebtedness of any Subsidiary outstanding in reliance on Section 9(a)(xvii),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aggregate outstanding principal amount of all Indebtedness and other obligations of the Parent Guarantor and its Subsidiaries secured by Liens in reliance on subclause (B) or (C) above shall not exceed fifteen percent (15%) of the Parent Guarantor’s Consolidated Net Worth (determined as of the last day of the most recent fiscal quarter for which financial statements shall have been delivered pursuant to Section 8(a)(i) or Section 8(a)(ii));</w:t>
      </w:r>
    </w:p>
    <w:p>
      <w:pPr>
        <w:spacing w:after="0" w:line="196" w:lineRule="exact"/>
        <w:rPr>
          <w:rFonts w:ascii="Arial" w:cs="Arial" w:eastAsia="Arial" w:hAnsi="Arial"/>
          <w:sz w:val="18"/>
          <w:szCs w:val="18"/>
          <w:color w:val="auto"/>
        </w:rPr>
      </w:pPr>
    </w:p>
    <w:p>
      <w:pPr>
        <w:jc w:val="both"/>
        <w:ind w:left="1300" w:firstLine="652"/>
        <w:spacing w:after="0" w:line="263" w:lineRule="auto"/>
        <w:tabs>
          <w:tab w:leader="none" w:pos="251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40" w:name="page241"/>
    <w:bookmarkEnd w:id="240"/>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left="1300" w:firstLine="652"/>
        <w:spacing w:after="0" w:line="263" w:lineRule="auto"/>
        <w:tabs>
          <w:tab w:leader="none" w:pos="2545" w:val="left"/>
        </w:tabs>
        <w:numPr>
          <w:ilvl w:val="1"/>
          <w:numId w:val="230"/>
        </w:numPr>
        <w:rPr>
          <w:rFonts w:ascii="Arial" w:cs="Arial" w:eastAsia="Arial" w:hAnsi="Arial"/>
          <w:sz w:val="18"/>
          <w:szCs w:val="18"/>
          <w:color w:val="auto"/>
        </w:rPr>
      </w:pPr>
      <w:r>
        <w:rPr>
          <w:rFonts w:ascii="Arial" w:cs="Arial" w:eastAsia="Arial" w:hAnsi="Arial"/>
          <w:sz w:val="18"/>
          <w:szCs w:val="18"/>
          <w:color w:val="auto"/>
        </w:rPr>
        <w:t>pledges or deposits to secure Indebtedness of the Parent Guarantor or any Subsidiary as an account party in respect of letters of credit, bank guarantees, letters of guaranty or similar instruments so long as the aggregate principal amount of such Indebtedness so secured does not exceed $50,000,000;</w:t>
      </w:r>
    </w:p>
    <w:p>
      <w:pPr>
        <w:spacing w:after="0" w:line="183" w:lineRule="exact"/>
        <w:rPr>
          <w:rFonts w:ascii="Arial" w:cs="Arial" w:eastAsia="Arial" w:hAnsi="Arial"/>
          <w:sz w:val="18"/>
          <w:szCs w:val="18"/>
          <w:color w:val="auto"/>
        </w:rPr>
      </w:pPr>
    </w:p>
    <w:p>
      <w:pPr>
        <w:ind w:left="1300" w:firstLine="652"/>
        <w:spacing w:after="0" w:line="277" w:lineRule="auto"/>
        <w:tabs>
          <w:tab w:leader="none" w:pos="257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pledges or transfers of collateral to support bilateral mark-to-market security arrangements in respect of uncleared swap or derivative transactions;</w:t>
      </w:r>
    </w:p>
    <w:p>
      <w:pPr>
        <w:spacing w:after="0" w:line="170" w:lineRule="exact"/>
        <w:rPr>
          <w:rFonts w:ascii="Arial" w:cs="Arial" w:eastAsia="Arial" w:hAnsi="Arial"/>
          <w:sz w:val="18"/>
          <w:szCs w:val="18"/>
          <w:color w:val="auto"/>
        </w:rPr>
      </w:pPr>
    </w:p>
    <w:p>
      <w:pPr>
        <w:ind w:left="1300" w:firstLine="652"/>
        <w:spacing w:after="0" w:line="342" w:lineRule="auto"/>
        <w:tabs>
          <w:tab w:leader="none" w:pos="260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Liens on assets of the Parent Guarantor and its Subsidiaries not otherwise permitted under this Section 9(b) so long as the aggregate principal amount of the Indebtedness and other obligations subject to such Liens does not at any time exceed $75,000,000;</w:t>
      </w:r>
    </w:p>
    <w:p>
      <w:pPr>
        <w:spacing w:after="0" w:line="123" w:lineRule="exact"/>
        <w:rPr>
          <w:rFonts w:ascii="Arial" w:cs="Arial" w:eastAsia="Arial" w:hAnsi="Arial"/>
          <w:sz w:val="16"/>
          <w:szCs w:val="16"/>
          <w:color w:val="auto"/>
        </w:rPr>
      </w:pPr>
    </w:p>
    <w:p>
      <w:pPr>
        <w:ind w:left="1300" w:firstLine="652"/>
        <w:spacing w:after="0" w:line="277" w:lineRule="auto"/>
        <w:tabs>
          <w:tab w:leader="none" w:pos="259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in the case of any joint venture, any put and call arrangements related to its Equity Interests set forth in its organizational documents or any related joint venture or similar agreement;</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56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Liens (if any) created pursuant to the Bank Credit Agreement with respect to any obligation to provide cash collateral in connection with any defaulting lenders thereunder, any letters of credit issued thereunder and/or extensions of credit thereunder denominated in a currency other than Dollars; and</w:t>
      </w:r>
    </w:p>
    <w:p>
      <w:pPr>
        <w:spacing w:after="0" w:line="183" w:lineRule="exact"/>
        <w:rPr>
          <w:rFonts w:ascii="Arial" w:cs="Arial" w:eastAsia="Arial" w:hAnsi="Arial"/>
          <w:sz w:val="18"/>
          <w:szCs w:val="18"/>
          <w:color w:val="auto"/>
        </w:rPr>
      </w:pPr>
    </w:p>
    <w:p>
      <w:pPr>
        <w:jc w:val="both"/>
        <w:ind w:left="1300" w:firstLine="652"/>
        <w:spacing w:after="0" w:line="291" w:lineRule="auto"/>
        <w:tabs>
          <w:tab w:leader="none" w:pos="259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Liens on Permitted Developed Areas, Undeveloped Areas and/or Permitted Development Projects and property related to any of the foregoing (other than any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secure (A) Indebtedness permitted by Section 9(a)(xxii) or</w:t>
      </w:r>
    </w:p>
    <w:p>
      <w:pPr>
        <w:ind w:left="1580" w:hanging="276"/>
        <w:spacing w:after="0"/>
        <w:tabs>
          <w:tab w:leader="none" w:pos="15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obligations not constituting Indebtedness that were incurred in connection with the development of any such property.</w:t>
      </w:r>
    </w:p>
    <w:p>
      <w:pPr>
        <w:spacing w:after="0" w:line="211" w:lineRule="exact"/>
        <w:rPr>
          <w:sz w:val="20"/>
          <w:szCs w:val="20"/>
          <w:color w:val="auto"/>
        </w:rPr>
      </w:pPr>
    </w:p>
    <w:p>
      <w:pPr>
        <w:jc w:val="both"/>
        <w:ind w:left="660" w:firstLine="644"/>
        <w:spacing w:after="0" w:line="257" w:lineRule="auto"/>
        <w:tabs>
          <w:tab w:leader="none" w:pos="1777" w:val="left"/>
        </w:tabs>
        <w:numPr>
          <w:ilvl w:val="0"/>
          <w:numId w:val="232"/>
        </w:numPr>
        <w:rPr>
          <w:rFonts w:ascii="Arial" w:cs="Arial" w:eastAsia="Arial" w:hAnsi="Arial"/>
          <w:sz w:val="18"/>
          <w:szCs w:val="18"/>
          <w:color w:val="auto"/>
        </w:rPr>
      </w:pPr>
      <w:r>
        <w:rPr>
          <w:rFonts w:ascii="Arial" w:cs="Arial" w:eastAsia="Arial" w:hAnsi="Arial"/>
          <w:sz w:val="18"/>
          <w:szCs w:val="18"/>
          <w:i w:val="1"/>
          <w:iCs w:val="1"/>
          <w:color w:val="auto"/>
        </w:rPr>
        <w:t>Fundamental Changes and Asset Sales</w:t>
      </w:r>
      <w:r>
        <w:rPr>
          <w:rFonts w:ascii="Arial" w:cs="Arial" w:eastAsia="Arial" w:hAnsi="Arial"/>
          <w:sz w:val="18"/>
          <w:szCs w:val="18"/>
          <w:color w:val="auto"/>
        </w:rPr>
        <w:t>. (i) The Parent Guarantor will not, and will not permit Lessee or any other Subsidiary to,</w:t>
      </w:r>
      <w:r>
        <w:rPr>
          <w:rFonts w:ascii="Arial" w:cs="Arial" w:eastAsia="Arial" w:hAnsi="Arial"/>
          <w:sz w:val="18"/>
          <w:szCs w:val="18"/>
          <w:i w:val="1"/>
          <w:iCs w:val="1"/>
          <w:color w:val="auto"/>
        </w:rPr>
        <w:t xml:space="preserve"> </w:t>
      </w:r>
      <w:r>
        <w:rPr>
          <w:rFonts w:ascii="Arial" w:cs="Arial" w:eastAsia="Arial" w:hAnsi="Arial"/>
          <w:sz w:val="18"/>
          <w:szCs w:val="18"/>
          <w:color w:val="auto"/>
        </w:rPr>
        <w:t>merge 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Parent Guarantor and its Subsidiaries (taken as a whole) (whether now owned or hereafter acquired), or liquidate or dissolve, except that:</w:t>
      </w:r>
    </w:p>
    <w:p>
      <w:pPr>
        <w:spacing w:after="0" w:line="187" w:lineRule="exact"/>
        <w:rPr>
          <w:rFonts w:ascii="Arial" w:cs="Arial" w:eastAsia="Arial" w:hAnsi="Arial"/>
          <w:sz w:val="18"/>
          <w:szCs w:val="18"/>
          <w:color w:val="auto"/>
        </w:rPr>
      </w:pPr>
    </w:p>
    <w:p>
      <w:pPr>
        <w:jc w:val="both"/>
        <w:ind w:left="1300" w:firstLine="652"/>
        <w:spacing w:after="0" w:line="287" w:lineRule="auto"/>
        <w:tabs>
          <w:tab w:leader="none" w:pos="2468" w:val="left"/>
        </w:tabs>
        <w:numPr>
          <w:ilvl w:val="1"/>
          <w:numId w:val="232"/>
        </w:numPr>
        <w:rPr>
          <w:rFonts w:ascii="Arial" w:cs="Arial" w:eastAsia="Arial" w:hAnsi="Arial"/>
          <w:sz w:val="16"/>
          <w:szCs w:val="16"/>
          <w:color w:val="auto"/>
        </w:rPr>
      </w:pPr>
      <w:r>
        <w:rPr>
          <w:rFonts w:ascii="Arial" w:cs="Arial" w:eastAsia="Arial" w:hAnsi="Arial"/>
          <w:sz w:val="16"/>
          <w:szCs w:val="16"/>
          <w:color w:val="auto"/>
        </w:rPr>
        <w:t xml:space="preserve">any Person (other than the Parent Guarantor or any of its Subsidiaries) may merge or consolidate with the Parent Guarantor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merger or consolidation involving (1) the Lessee must result in the Lessee as the surviving entity (unless in connection therewith an Affiliate Transferee becomes the Lessee pursuant to Article VI of the Lease),</w:t>
      </w:r>
    </w:p>
    <w:p>
      <w:pPr>
        <w:spacing w:after="0" w:line="2" w:lineRule="exact"/>
        <w:rPr>
          <w:rFonts w:ascii="Arial" w:cs="Arial" w:eastAsia="Arial" w:hAnsi="Arial"/>
          <w:sz w:val="16"/>
          <w:szCs w:val="16"/>
          <w:color w:val="auto"/>
        </w:rPr>
      </w:pPr>
    </w:p>
    <w:p>
      <w:pPr>
        <w:ind w:left="1300" w:right="20"/>
        <w:spacing w:after="0" w:line="260" w:lineRule="auto"/>
        <w:rPr>
          <w:rFonts w:ascii="Arial" w:cs="Arial" w:eastAsia="Arial" w:hAnsi="Arial"/>
          <w:sz w:val="16"/>
          <w:szCs w:val="16"/>
          <w:color w:val="auto"/>
        </w:rPr>
      </w:pPr>
      <w:r>
        <w:rPr>
          <w:rFonts w:ascii="Arial" w:cs="Arial" w:eastAsia="Arial" w:hAnsi="Arial"/>
          <w:sz w:val="18"/>
          <w:szCs w:val="18"/>
          <w:color w:val="auto"/>
        </w:rPr>
        <w:t>(2) the Parent Guarantor must result in the Parent Guarantor as the surviving entity and (3) a Subsidiary Guarantor must result in a Subsidiary Guarantor (or any entity that becomes a Subsidiary Guarantor) as the surviving entity;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left="1300" w:firstLine="652"/>
        <w:spacing w:after="0" w:line="254" w:lineRule="auto"/>
        <w:tabs>
          <w:tab w:leader="none" w:pos="245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any Subsidiary may merge into or consolidate with a Guarantor, the Lessee, or a Bank Credit Agreement Specified Loan Party in a transaction in which the surviving entity is such Guarantor, the Lessee or such Bank Credit Agreement Specified Loan Party;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such merger or consolidation involving (1) the Lessee must result in the Lessee as the surviving entity (unless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therewith an Affiliate Transferee becomes the Lessee pursuant to Article VI of the Lease), (2) the Parent Guarantor must result in the Parent Guarantor as the surviving entity and (3) a Subsidiary Guarantor must result in a Subsidiary Guarantor as the surviving entity (unless also involving the Lessee or Parent Guarantor, in which case, subclause (1) or (2) above shall apply, as applicable);</w:t>
      </w:r>
    </w:p>
    <w:p>
      <w:pPr>
        <w:spacing w:after="0" w:line="194" w:lineRule="exact"/>
        <w:rPr>
          <w:rFonts w:ascii="Arial" w:cs="Arial" w:eastAsia="Arial" w:hAnsi="Arial"/>
          <w:sz w:val="18"/>
          <w:szCs w:val="18"/>
          <w:color w:val="auto"/>
        </w:rPr>
      </w:pPr>
    </w:p>
    <w:p>
      <w:pPr>
        <w:jc w:val="both"/>
        <w:ind w:left="1300" w:firstLine="652"/>
        <w:spacing w:after="0" w:line="263" w:lineRule="auto"/>
        <w:tabs>
          <w:tab w:leader="none" w:pos="245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any Subsidiary that is not a Subsidiary Guarantor may merge into or consolidate with, or sell, transfer, lease or otherwise dispose of any or all of its assets to, another Subsidiary that is not a Subsidiary Guarantor (in connection with a liquidation, winding up or dissolution or otherwise);</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46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any Subsidiary may sell, transfer, lease or otherwise dispose of any or all of its assets to the Parent Guarantor, the Lessee, a Subsidiary Guarantor or a Bank Credit Agreement Specified Loan Party (in connection with a liquidation, winding up or dissolution or otherwise);</w:t>
      </w:r>
    </w:p>
    <w:p>
      <w:pPr>
        <w:spacing w:after="0" w:line="183" w:lineRule="exact"/>
        <w:rPr>
          <w:rFonts w:ascii="Arial" w:cs="Arial" w:eastAsia="Arial" w:hAnsi="Arial"/>
          <w:sz w:val="18"/>
          <w:szCs w:val="18"/>
          <w:color w:val="auto"/>
        </w:rPr>
      </w:pPr>
    </w:p>
    <w:p>
      <w:pPr>
        <w:jc w:val="both"/>
        <w:ind w:left="1300" w:firstLine="652"/>
        <w:spacing w:after="0" w:line="259" w:lineRule="auto"/>
        <w:tabs>
          <w:tab w:leader="none" w:pos="247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any Subsidiary that is not a Subsidiary Guarantor may liquidate, wind up or dissolve (1) if the Parent Guarantor determines in good faith that such liquidation, winding up or dissolution is in the best interests of the Parent Guarantor and is not materially disadvantageous to the Participants or (2) to the extent undertaken in good faith for the purpose of improving the overall tax efficiency of the Parent Guarantor and its Subsidiaries;</w:t>
      </w:r>
    </w:p>
    <w:p>
      <w:pPr>
        <w:spacing w:after="0" w:line="186" w:lineRule="exact"/>
        <w:rPr>
          <w:rFonts w:ascii="Arial" w:cs="Arial" w:eastAsia="Arial" w:hAnsi="Arial"/>
          <w:sz w:val="18"/>
          <w:szCs w:val="18"/>
          <w:color w:val="auto"/>
        </w:rPr>
      </w:pPr>
    </w:p>
    <w:p>
      <w:pPr>
        <w:ind w:left="2460" w:hanging="508"/>
        <w:spacing w:after="0"/>
        <w:tabs>
          <w:tab w:leader="none" w:pos="24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Parent Guarantor and its Subsidiaries may consummate Permitted Restructurings;</w:t>
      </w:r>
    </w:p>
    <w:p>
      <w:pPr>
        <w:spacing w:after="0" w:line="225" w:lineRule="exact"/>
        <w:rPr>
          <w:rFonts w:ascii="Arial" w:cs="Arial" w:eastAsia="Arial" w:hAnsi="Arial"/>
          <w:sz w:val="18"/>
          <w:szCs w:val="18"/>
          <w:color w:val="auto"/>
        </w:rPr>
      </w:pPr>
    </w:p>
    <w:p>
      <w:pPr>
        <w:jc w:val="both"/>
        <w:ind w:left="1300" w:firstLine="652"/>
        <w:spacing w:after="0" w:line="311" w:lineRule="auto"/>
        <w:tabs>
          <w:tab w:leader="none" w:pos="249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the Parent Guarantor and its Subsidiaries may enter into, terminate or modify leases, subleases, licenses and sublicenses of technology and other property (1) in the ordinary course of business, (2) between or among the Parent Guarantor, the Lessee, any Subsidiary Guarantors and any of their Subsidiaries (or any combination thereof) or (3) as permitted by Article VI of the Lease;</w:t>
      </w:r>
    </w:p>
    <w:p>
      <w:pPr>
        <w:spacing w:after="0" w:line="148" w:lineRule="exact"/>
        <w:rPr>
          <w:rFonts w:ascii="Arial" w:cs="Arial" w:eastAsia="Arial" w:hAnsi="Arial"/>
          <w:sz w:val="16"/>
          <w:szCs w:val="16"/>
          <w:color w:val="auto"/>
        </w:rPr>
      </w:pPr>
    </w:p>
    <w:p>
      <w:pPr>
        <w:ind w:left="2480" w:hanging="528"/>
        <w:spacing w:after="0"/>
        <w:tabs>
          <w:tab w:leader="none" w:pos="24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Parent Guarantor and its Subsidiaries may incur Liens permitted under Section 9(b); and</w:t>
      </w:r>
    </w:p>
    <w:p>
      <w:pPr>
        <w:spacing w:after="0" w:line="225" w:lineRule="exact"/>
        <w:rPr>
          <w:rFonts w:ascii="Arial" w:cs="Arial" w:eastAsia="Arial" w:hAnsi="Arial"/>
          <w:sz w:val="18"/>
          <w:szCs w:val="18"/>
          <w:color w:val="auto"/>
        </w:rPr>
      </w:pPr>
    </w:p>
    <w:p>
      <w:pPr>
        <w:jc w:val="both"/>
        <w:ind w:left="1300" w:firstLine="652"/>
        <w:spacing w:after="0" w:line="291" w:lineRule="auto"/>
        <w:tabs>
          <w:tab w:leader="none" w:pos="2442" w:val="left"/>
        </w:tabs>
        <w:numPr>
          <w:ilvl w:val="1"/>
          <w:numId w:val="233"/>
        </w:numPr>
        <w:rPr>
          <w:rFonts w:ascii="Arial" w:cs="Arial" w:eastAsia="Arial" w:hAnsi="Arial"/>
          <w:sz w:val="16"/>
          <w:szCs w:val="16"/>
          <w:color w:val="auto"/>
        </w:rPr>
      </w:pPr>
      <w:r>
        <w:rPr>
          <w:rFonts w:ascii="Arial" w:cs="Arial" w:eastAsia="Arial" w:hAnsi="Arial"/>
          <w:sz w:val="16"/>
          <w:szCs w:val="16"/>
          <w:color w:val="auto"/>
        </w:rPr>
        <w:t>with respect to any rights, title or interest of the Parent Guarantor and its Subsidiaries in the Collateral and the Purchase Agreement, leases, subleases, assignments and other transfers pursuant to or permitted by any of the Operative Documents, including</w:t>
      </w:r>
    </w:p>
    <w:p>
      <w:pPr>
        <w:jc w:val="both"/>
        <w:ind w:left="1300" w:firstLine="4"/>
        <w:spacing w:after="0" w:line="302" w:lineRule="auto"/>
        <w:tabs>
          <w:tab w:leader="none" w:pos="1599"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assignment of some or all of the rights under the Purchase Agreement (including the right to take title to the Facility) pursuant to the Assignment of Purchase Agreement and (B) the assignment or other transfer to Parent Guarantor or a directly or indirectly wholly-owned Domestic Subsidiary of Parent Guarantor as an affiliate transferee pursuant to the Operative Documents; and</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left="1300" w:firstLine="652"/>
        <w:spacing w:after="0" w:line="255" w:lineRule="auto"/>
        <w:tabs>
          <w:tab w:leader="none" w:pos="240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with respect to any rights, title or interest of the Parent Guarantor and its Subsidiaries in any Permitted Developed Areas, Undeveloped Areas and/or Permitted Development Projects and property related to any of the foregoing (other than any Collateral pursuant to this subclause (J)), leases, subleases, licenses, sublicenses, assignments and other transfers (including, without limitation, any termination or modification of any such lease, sublease, license or sublicense), in any such case of this subclause (J), to the extent (x) not in violation of the Lease and (y) made pursuant to or not prohibited by any definitive documentation governing related Indebtedness (if any) permitted by Section 9(a)(xxii).</w:t>
      </w:r>
    </w:p>
    <w:p>
      <w:pPr>
        <w:spacing w:after="0" w:line="192" w:lineRule="exact"/>
        <w:rPr>
          <w:rFonts w:ascii="Arial" w:cs="Arial" w:eastAsia="Arial" w:hAnsi="Arial"/>
          <w:sz w:val="18"/>
          <w:szCs w:val="18"/>
          <w:color w:val="auto"/>
        </w:rPr>
      </w:pPr>
    </w:p>
    <w:p>
      <w:pPr>
        <w:jc w:val="both"/>
        <w:ind w:left="660" w:firstLine="644"/>
        <w:spacing w:after="0" w:line="259" w:lineRule="auto"/>
        <w:tabs>
          <w:tab w:leader="none" w:pos="179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Parent Guarantor will not, and will not permit Lessee or any other Subsidiary to, engage to any material extent in any business substantially different from businesses of the type conducted by the Parent Guarantor and its Subsidiaries (taken as a whole) on the Restatement Date and businesses reasonably related, ancillary, similar, complementary or synergistic thereto or reasonable extensions, development or expansion thereof.</w:t>
      </w:r>
    </w:p>
    <w:p>
      <w:pPr>
        <w:spacing w:after="0" w:line="187" w:lineRule="exact"/>
        <w:rPr>
          <w:sz w:val="20"/>
          <w:szCs w:val="20"/>
          <w:color w:val="auto"/>
        </w:rPr>
      </w:pPr>
    </w:p>
    <w:p>
      <w:pPr>
        <w:jc w:val="both"/>
        <w:ind w:left="660" w:firstLine="644"/>
        <w:spacing w:after="0" w:line="282" w:lineRule="auto"/>
        <w:tabs>
          <w:tab w:leader="none" w:pos="1787" w:val="left"/>
        </w:tabs>
        <w:numPr>
          <w:ilvl w:val="1"/>
          <w:numId w:val="237"/>
        </w:numPr>
        <w:rPr>
          <w:rFonts w:ascii="Arial" w:cs="Arial" w:eastAsia="Arial" w:hAnsi="Arial"/>
          <w:sz w:val="16"/>
          <w:szCs w:val="16"/>
          <w:color w:val="auto"/>
        </w:rPr>
      </w:pPr>
      <w:r>
        <w:rPr>
          <w:rFonts w:ascii="Arial" w:cs="Arial" w:eastAsia="Arial" w:hAnsi="Arial"/>
          <w:sz w:val="16"/>
          <w:szCs w:val="16"/>
          <w:i w:val="1"/>
          <w:iCs w:val="1"/>
          <w:color w:val="auto"/>
        </w:rPr>
        <w:t>Restricted Payments</w:t>
      </w:r>
      <w:r>
        <w:rPr>
          <w:rFonts w:ascii="Arial" w:cs="Arial" w:eastAsia="Arial" w:hAnsi="Arial"/>
          <w:sz w:val="16"/>
          <w:szCs w:val="16"/>
          <w:color w:val="auto"/>
        </w:rPr>
        <w:t>. The Parent Guarantor will not, and will not permit Lessee or any other Subsidiary to, make,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any Restricted Payment, except (i) the Parent Guarantor may pay dividends or make other Restricted Payments with respect to its Equity Interests payable solely in additional Equity Interests, (ii) the Parent Guarantor may purchase, redeem or otherwise acquire Equity Interests upon the exercise of stock options or warrants if such Equity Interests represent a portion of the exercise price of such options or warrants or with the proceeds received from the substantially concurrent issue of new Equity Interests, (iii) the Parent Guarantor may make cash payments (A) on securities convertible into or exchangeable for Equity Interests in the Parent Guarantor in accordance with their terms or (B) in lieu of the issuance of fractional Equity Interests in connection with any dividend, split or combination thereof or the exercise of warrants, options or other securities convertible into or exchangeable for Equity Interests in the Parent Guarantor, (iv) Subsidiaries may (A) make dividends or other distributions to their respective equityholders with respect to their Equity Interests (which distributions shall be (x) made on at least a ratable basis to any such equityholders that are Guarantors and (y) in the case of a Subsidiary that is not a wholly-owned Subsidiary, made on at least a ratable basis to any such equityholders that are the Parent Guarantor or a Subsidiary), (B) make other Restricted Payments to Parent Guarantor, the Lessee or any Subsidiary Guarantor (either directly or indirectly through one or more Subsidiaries that are not Subsidiary Guarantors or the Lessee), (C) other than with respect to any such distributions by a Subsidiary Guarantor, make other Restricted Payments to a Bank Credit Agreement Specified Loan Party (either directly or indirectly through one or more Subsidiaries that are not Bank Credit Agreement Specified Loan Parties, Subsidiary Guarantors or the Lessee) and (D) make any Restricted Payments that the Parent Guarantor would have otherwise been permitted to make pursuant to this Section 9(d), (v) the Parent Guarantor may make Restricted Payments (A) for the repurchase, retirement or other acquisition or retirement for value of Equity Interests of the Parent Guarantor from any future, present or former employee, officer, director, manager or consultant of the Parent Guarantor or any Subsidiary upon the death, disability, retirement or termination of employment of any such Person or</w:t>
      </w:r>
    </w:p>
    <w:p>
      <w:pPr>
        <w:spacing w:after="0" w:line="11" w:lineRule="exact"/>
        <w:rPr>
          <w:rFonts w:ascii="Arial" w:cs="Arial" w:eastAsia="Arial" w:hAnsi="Arial"/>
          <w:sz w:val="16"/>
          <w:szCs w:val="16"/>
          <w:color w:val="auto"/>
        </w:rPr>
      </w:pPr>
    </w:p>
    <w:p>
      <w:pPr>
        <w:jc w:val="both"/>
        <w:ind w:left="660" w:hanging="4"/>
        <w:spacing w:after="0" w:line="267" w:lineRule="auto"/>
        <w:tabs>
          <w:tab w:leader="none" w:pos="957"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pursuant to and in accordance with any agreement (including any employment agreement), stock option or stock ownership plans, incentive plans or other benefit plans, in each case for future, present or former directors, officers, managers, employees or consultants of the Parent Guarantor and its Subsidiaries (including, without limitation, in respect of tax withholding or other similar tax obligation related to the foregoing), (vi) the Parent Guarantor and its Subsidiaries may make any other Restricted Payment so long as no Event of Default has occurred and is continuing at the time such Restricted Payment is made or would arise immediately after giving effect (on a pro forma basis) thereto and the aggregate amount of all such Restricted Payments pursuant to this clause (vi) during any fiscal year of the Parent Guarantor does not exceed $100,000,000;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Dollar limitation shall not be applicable, and such Restricted Payment shall not count against such Dollar limitation, if at the time of the making of such Restricted Payment and immediately after giving effect (on a pro forma basis) thereto, the Total Leverage Ratio is equal to or less than 3.00 to 1.00, and (vii) the Parent Guarantor may pay any dividend or distribution or make any irrevocable Restricted Payment within 60 days after the date of declaration of such dividend or distribution or giving irrevocable notice with respect to such Restricted Payment, as the case may be, if at the date of declaration or notice such Restricted Payment would have complied with the provisions of this Guaranty (including the other provisions of this Section 9(d)).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660" w:firstLine="644"/>
        <w:spacing w:after="0" w:line="283" w:lineRule="auto"/>
        <w:tabs>
          <w:tab w:leader="none" w:pos="1777" w:val="left"/>
        </w:tabs>
        <w:numPr>
          <w:ilvl w:val="0"/>
          <w:numId w:val="239"/>
        </w:numPr>
        <w:rPr>
          <w:rFonts w:ascii="Arial" w:cs="Arial" w:eastAsia="Arial" w:hAnsi="Arial"/>
          <w:sz w:val="16"/>
          <w:szCs w:val="16"/>
          <w:color w:val="auto"/>
        </w:rPr>
      </w:pPr>
      <w:r>
        <w:rPr>
          <w:rFonts w:ascii="Arial" w:cs="Arial" w:eastAsia="Arial" w:hAnsi="Arial"/>
          <w:sz w:val="16"/>
          <w:szCs w:val="16"/>
          <w:i w:val="1"/>
          <w:iCs w:val="1"/>
          <w:color w:val="auto"/>
        </w:rPr>
        <w:t>Transactions with Affiliates</w:t>
      </w:r>
      <w:r>
        <w:rPr>
          <w:rFonts w:ascii="Arial" w:cs="Arial" w:eastAsia="Arial" w:hAnsi="Arial"/>
          <w:sz w:val="16"/>
          <w:szCs w:val="16"/>
          <w:color w:val="auto"/>
        </w:rPr>
        <w:t>. The Parent Guarantor will not, and will not permit Lessee or any other Subsidiary to, sell, lease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transfer any property or assets to, or purchase, lease or otherwise acquire any property or assets from, or otherwise engage in any other transactions with, any of its Affiliates, except (i) transactions on terms and conditions not materially less favorable to the Parent Guarantor or such Subsidiary than could be obtained on an arm’s-length basis from a Person that is not an Affiliate for a comparable transaction (considering such transactions and all other related transactions as a whole), (ii) transactions between or among the Parent Guarantor and its Subsidiaries (or an entity that becomes a Subsidiary of the Parent Guarantor as a result of such transaction) (or any combination thereof), (iii) the payment of customary fees to directors of the Parent Guarantor or any of its Subsidiaries, and customary compensation, reasonable out-of-pocket expense reimbursement and indemnification (including the provision of directors and officers insurance) of, and other employment or consulting agreements and arrangements, employee benefit plans and stock incentive plans paid to, future, present or past directors, officers, managers and employees of the Parent Guarantor or any of its Subsidiaries, (iv) transactions undertaken in good faith for the purpose of improving the overall tax efficiency of the Parent Guarantor and its Subsidiaries, (v) loans, advances and other transactions to the extent not prohibited by the terms of this Guaranty, the Lease or the Participation Agreement, including without limitation any Restricted Payment permitted by Section 9(d) and transactions permitted by Section 9(c), (vi) issuances of Equity Interests to Affiliates and the registration rights and other customary rights associated therewith, (vii) any Collaboration Arrangement or any other license, sublicense, lease or sublease (A) in existence on the Restatement Date (together with any amendments, restatements, extensions, replacements or other modifications thereto that are not materially adverse to the interests of the Rent Assignees in their capacities as such), (B) in the ordinary course of business or (C) substantially consistent with past practices, (viii) transactions with Affiliates that are Disclosed Matters, (ix) transactions pursuant to agreements in effect on the Restatement Date (together with any amendments, restatements, extensions, replacements or other modifications thereto that are not materially adverse to the interests of the Participants in their capacities as such), (x) transactions with joint ventures for the purchase or sale of property or other assets and services entered into in the ordinary course of business and investments in joint ventures, (xi) transactions approved by (A) a majority of Disinterested Directors of the Parent Guarantor or of the applicable Subsidiary in good faith or (B) a committee of the board of directors (or other governing body) of such Person that is comprised of Disinterested Directors (or such committee otherwise approves such transactions by action of Disinterested Directors), (xii) any transaction or series of related transactions with respect to which the aggregate consideration paid, or fair market value of property disposed of, by the Parent Guarantor and its Subsidiaries is less than $2,000,000 for any such individual transaction or series of related transactions, (xiii) subleases and assignments permitted by the Operative Documents, including Article VI of the Lease, and other transactions permitted by Section 9(c)(J), (xiv) any transaction in respect of which the Parent Guarantor delivers to the Administrative Agent (for delivery to the Lessor or the Participants) a letter addressed to the Board of Directors of the Parent Guarantor (or the board of directors or other relevant governing body of the relevant Subsidiary) from an accounting, appraisal or investment banking firm that is in the good faith determination of the Parent Guarantor qualified to render such letter, which letter states that such transaction is on terms that are no less favorable to the Parent Guarantor or the relevant Subsidiary, as applicable, than would be obtained on an arm’s-length basis from a Person that is not an Affiliate for a comparable transaction, and (xv) any transaction with an Affiliate where the only consideration paid consists of Equity Interests of the Parent Guarantor.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44" w:name="page245"/>
    <w:bookmarkEnd w:id="244"/>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660" w:firstLine="644"/>
        <w:spacing w:after="0" w:line="286" w:lineRule="auto"/>
        <w:tabs>
          <w:tab w:leader="none" w:pos="1758" w:val="left"/>
        </w:tabs>
        <w:numPr>
          <w:ilvl w:val="0"/>
          <w:numId w:val="240"/>
        </w:numPr>
        <w:rPr>
          <w:rFonts w:ascii="Arial" w:cs="Arial" w:eastAsia="Arial" w:hAnsi="Arial"/>
          <w:sz w:val="16"/>
          <w:szCs w:val="16"/>
          <w:color w:val="auto"/>
        </w:rPr>
      </w:pPr>
      <w:r>
        <w:rPr>
          <w:rFonts w:ascii="Arial" w:cs="Arial" w:eastAsia="Arial" w:hAnsi="Arial"/>
          <w:sz w:val="16"/>
          <w:szCs w:val="16"/>
          <w:i w:val="1"/>
          <w:iCs w:val="1"/>
          <w:color w:val="auto"/>
        </w:rPr>
        <w:t>Maximum Total Leverage Ratio</w:t>
      </w:r>
      <w:r>
        <w:rPr>
          <w:rFonts w:ascii="Arial" w:cs="Arial" w:eastAsia="Arial" w:hAnsi="Arial"/>
          <w:sz w:val="16"/>
          <w:szCs w:val="16"/>
          <w:color w:val="auto"/>
        </w:rPr>
        <w:t>. The Parent Guarantor will not permit the ratio (the</w:t>
      </w:r>
      <w:r>
        <w:rPr>
          <w:rFonts w:ascii="Arial" w:cs="Arial" w:eastAsia="Arial" w:hAnsi="Arial"/>
          <w:sz w:val="16"/>
          <w:szCs w:val="16"/>
          <w:i w:val="1"/>
          <w:iCs w:val="1"/>
          <w:color w:val="auto"/>
        </w:rPr>
        <w:t xml:space="preserve"> “Total Leverage Ratio”</w:t>
      </w:r>
      <w:r>
        <w:rPr>
          <w:rFonts w:ascii="Arial" w:cs="Arial" w:eastAsia="Arial" w:hAnsi="Arial"/>
          <w:sz w:val="16"/>
          <w:szCs w:val="16"/>
          <w:color w:val="auto"/>
        </w:rPr>
        <w:t>), determined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end of each of its fiscal quarters ending on and after March 31, 2022, of (i) Consolidated Total Indebtedness to (ii) Consolidated EBITDA for the period of four (4) consecutive fiscal quarters ending with the end of such fiscal quarter, all calculated for the Parent Guarantor and its Subsidiaries on a consolidated basis, to be greater than 3.50 to 1.00. Notwithstanding the foregoing, the Parent Guarantor shall be permitted (such permission, the </w:t>
      </w:r>
      <w:r>
        <w:rPr>
          <w:rFonts w:ascii="Arial" w:cs="Arial" w:eastAsia="Arial" w:hAnsi="Arial"/>
          <w:sz w:val="16"/>
          <w:szCs w:val="16"/>
          <w:i w:val="1"/>
          <w:iCs w:val="1"/>
          <w:color w:val="auto"/>
        </w:rPr>
        <w:t>“Acquisition Holiday”</w:t>
      </w:r>
      <w:r>
        <w:rPr>
          <w:rFonts w:ascii="Arial" w:cs="Arial" w:eastAsia="Arial" w:hAnsi="Arial"/>
          <w:sz w:val="16"/>
          <w:szCs w:val="16"/>
          <w:color w:val="auto"/>
        </w:rPr>
        <w:t xml:space="preserve">) on no more than two (2) occasions during the term of the Participation Agreement to allow the maximum Total Leverage Ratio under this Section 9(f) to be increased to 4.00 to 1.00 for a period of four consecutive fiscal quarters in connection with an Acquisition occurring during the first of such four fiscal quarters if the aggregate consideration paid or to be paid in respect of such Acquisition exceeds $500,000,000, so long as the Parent Guarantor is in compliance on a pro forma basis with the maximum Total Leverage Ratio of 4.00 to 1.00 on the closing date of such Acquisition immediately after giving effect to such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Parent Guarantor shall provide notice in writing to the Administrative Agent of such increase and a transaction description of such Acquisition (regarding the name of the Person or summary description of the assets being acquired and the approximate purchase price), (y) the Parent Guarantor may not elect a new Acquisition Holiday for at least two (2) fiscal quarters following the end of an Acquisition Holiday and (z) at the end of such period of four consecutive fiscal quarters, the maximum Total Leverage Ratio permitted under this Section 9(f) shall revert to 3.50 to 1.00.</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45" w:name="page246"/>
    <w:bookmarkEnd w:id="245"/>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left="660" w:firstLine="644"/>
        <w:spacing w:after="0" w:line="291" w:lineRule="auto"/>
        <w:tabs>
          <w:tab w:leader="none" w:pos="1765" w:val="left"/>
        </w:tabs>
        <w:numPr>
          <w:ilvl w:val="1"/>
          <w:numId w:val="241"/>
        </w:numPr>
        <w:rPr>
          <w:rFonts w:ascii="Arial" w:cs="Arial" w:eastAsia="Arial" w:hAnsi="Arial"/>
          <w:sz w:val="16"/>
          <w:szCs w:val="16"/>
          <w:color w:val="auto"/>
        </w:rPr>
      </w:pPr>
      <w:r>
        <w:rPr>
          <w:rFonts w:ascii="Arial" w:cs="Arial" w:eastAsia="Arial" w:hAnsi="Arial"/>
          <w:sz w:val="16"/>
          <w:szCs w:val="16"/>
          <w:i w:val="1"/>
          <w:iCs w:val="1"/>
          <w:color w:val="auto"/>
        </w:rPr>
        <w:t>Minimum Interest Coverage Ratio</w:t>
      </w:r>
      <w:r>
        <w:rPr>
          <w:rFonts w:ascii="Arial" w:cs="Arial" w:eastAsia="Arial" w:hAnsi="Arial"/>
          <w:sz w:val="16"/>
          <w:szCs w:val="16"/>
          <w:color w:val="auto"/>
        </w:rPr>
        <w:t>. The Parent Guarantor will not permit the ratio, determined as of the end of each of its fiscal</w:t>
      </w:r>
      <w:r>
        <w:rPr>
          <w:rFonts w:ascii="Arial" w:cs="Arial" w:eastAsia="Arial" w:hAnsi="Arial"/>
          <w:sz w:val="16"/>
          <w:szCs w:val="16"/>
          <w:i w:val="1"/>
          <w:iCs w:val="1"/>
          <w:color w:val="auto"/>
        </w:rPr>
        <w:t xml:space="preserve"> </w:t>
      </w:r>
      <w:r>
        <w:rPr>
          <w:rFonts w:ascii="Arial" w:cs="Arial" w:eastAsia="Arial" w:hAnsi="Arial"/>
          <w:sz w:val="16"/>
          <w:szCs w:val="16"/>
          <w:color w:val="auto"/>
        </w:rPr>
        <w:t>quarters ending on and after March 31, 2022, of (i) Consolidated EBITDA to (ii) Consolidated Interest Expense, in each case for the period of four</w:t>
      </w:r>
    </w:p>
    <w:p>
      <w:pPr>
        <w:ind w:left="660" w:hanging="4"/>
        <w:spacing w:after="0" w:line="260" w:lineRule="auto"/>
        <w:tabs>
          <w:tab w:leader="none" w:pos="94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consecutive fiscal quarters ending with the end of such fiscal quarter, all calculated for the Parent Guarantor and its Subsidiaries on a consolidated basis, to be less than 2.50 to 1.00.</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10. Successors and Assigns</w:t>
      </w:r>
      <w:r>
        <w:rPr>
          <w:rFonts w:ascii="Arial" w:cs="Arial" w:eastAsia="Arial" w:hAnsi="Arial"/>
          <w:sz w:val="18"/>
          <w:szCs w:val="18"/>
          <w:color w:val="auto"/>
        </w:rPr>
        <w:t>. This Guaranty shall be binding upon each Guarantor and upon each Guarantor’s successors and assigns;</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no Guarantor shall assign or transfer any of its interests or obligations hereunder without the prior written consent of the requisite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Section 15.5 of the Participation Agreement (it being understood that the foregoing proviso shall not prohibit transactions permitted by Section 9(c) of this Guaranty).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11. Severability</w:t>
      </w:r>
      <w:r>
        <w:rPr>
          <w:rFonts w:ascii="Arial" w:cs="Arial" w:eastAsia="Arial" w:hAnsi="Arial"/>
          <w:sz w:val="18"/>
          <w:szCs w:val="18"/>
          <w:color w:val="auto"/>
        </w:rPr>
        <w:t>. Any provision of this Guaranty that is prohibited or unenforceable in any jurisdiction shall, as to such jurisdiction, be</w:t>
      </w:r>
      <w:r>
        <w:rPr>
          <w:rFonts w:ascii="Arial" w:cs="Arial" w:eastAsia="Arial" w:hAnsi="Arial"/>
          <w:sz w:val="18"/>
          <w:szCs w:val="18"/>
          <w:i w:val="1"/>
          <w:i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Section 12. Submission to Jurisdiction; Service of Process</w:t>
      </w:r>
      <w:r>
        <w:rPr>
          <w:rFonts w:ascii="Arial" w:cs="Arial" w:eastAsia="Arial" w:hAnsi="Arial"/>
          <w:sz w:val="17"/>
          <w:szCs w:val="17"/>
          <w:color w:val="auto"/>
        </w:rPr>
        <w:t>. Each Guarantor: (a) submits for itself and its property in any legal action or</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relating to this Guaranty, or for recognition and enforcement of any judgment in respect thereof, to the exclusive general jurisdiction of the United States District Court for the Southern District of New York and of any New York state court sitting in the borough of Manhattan, and appellate courts from any thereof; (b) consents that any such action or proceedings may be brought to such courts, and waives any objection that it may now or hereafter have to the venue of any such action or proceeding in any such court or that such action or proceeding was brought in an inconvenient court and agrees not to plead or claim the same; (c) agrees, to the fullest extent of Applicable Law, that service of process in any such action or proceeding may be effected by mailing a copy thereof by registered or certified mail (or any substantially similar form of mail), postage prepaid, to it at its address referred to in Section 13 below or at such other address of which the other parties hereto shall have been notified pursuant to Section 13; and (d) agrees that nothing herein shall affect the right to effect service of process in any other manner permitted by law or shall affect the right that any Beneficiary may otherwise have to sue in any other jurisdiction.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13. Notices</w:t>
      </w:r>
      <w:r>
        <w:rPr>
          <w:rFonts w:ascii="Arial" w:cs="Arial" w:eastAsia="Arial" w:hAnsi="Arial"/>
          <w:sz w:val="18"/>
          <w:szCs w:val="18"/>
          <w:color w:val="auto"/>
        </w:rPr>
        <w:t>. All notices, requests, demands or other communications (i) to any Guarantor or (ii) that are required or permitted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by any Guarantor pursuant to this Guaranty to Administrative Agent and/or any Participant shall be in writing and shall be deemed to have been duly given when addressed to the appropriate Person and delivered in the manner specified in Section 15.3 of the Participation Agreement. The initial address for notices to each Guarantor is set forth on Schedule III to the Participation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Section 14. Amendment. </w:t>
      </w:r>
      <w:r>
        <w:rPr>
          <w:rFonts w:ascii="Arial" w:cs="Arial" w:eastAsia="Arial" w:hAnsi="Arial"/>
          <w:sz w:val="18"/>
          <w:szCs w:val="18"/>
          <w:color w:val="auto"/>
        </w:rPr>
        <w:t>This Guaranty may not be amended or modified or any of its provisions waived, except in accordance with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Section 15.5 of the Participation Agreement.</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Section 15. Governing Law; Waiver of Jury Trial</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GUARANTY SHALL IN ALL RESPECTS, EXCEPT AS SET FORTH IN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 xml:space="preserve">PROVISO, BE GOVERNED BY THE INTERNAL LAW OF THE STATE OF NEW YORK AS TO ALL MATTERS OF CONSTRUCTION, VALIDITY AND PERFORMANCE, WITHOUT REGARD TO CONFLICTS OF LAW PRINCIPLES, EXCEPT TITLE 14 OF ARTICLE 5 OF THE NEW YORK GENERAL OBLIGATIONS LAW; </w:t>
      </w:r>
      <w:r>
        <w:rPr>
          <w:rFonts w:ascii="Arial" w:cs="Arial" w:eastAsia="Arial" w:hAnsi="Arial"/>
          <w:sz w:val="18"/>
          <w:szCs w:val="18"/>
          <w:b w:val="1"/>
          <w:bCs w:val="1"/>
          <w:i w:val="1"/>
          <w:iCs w:val="1"/>
          <w:color w:val="auto"/>
        </w:rPr>
        <w:t>PROVIDED, HOWEVER,</w:t>
      </w:r>
      <w:r>
        <w:rPr>
          <w:rFonts w:ascii="Arial" w:cs="Arial" w:eastAsia="Arial" w:hAnsi="Arial"/>
          <w:sz w:val="18"/>
          <w:szCs w:val="18"/>
          <w:b w:val="1"/>
          <w:bCs w:val="1"/>
          <w:color w:val="auto"/>
        </w:rPr>
        <w:t xml:space="preserve"> THAT WITH RESPECT TO THE CREATION, PERFECTION, EFFECT OF PERFECTION, PRIORITY AND ENFORCEMENT OF SECURITY INTERESTS AND LIENS IN THE LEASED PROPERTY AND COLLATERAL, SUCH MATTERS SHALL BE GOVERNED BY THE LAWS OF THE STATE OF NEW YORK AND, TO THE EXTENT APPLICABLE, THE UNIFORM COMMERCIAL CODE OF SUCH STATE (INCLUDING THE CHOICE OF LAW RULES UNDER SUCH UNIFORM COMMERCIAL CODE). EACH GUARANTOR HEREBY EXPRESSLY WAIVES ANY RIGHT TO A TRIAL BY JURY IN ANY ACTION OR PROCEEDING TO ENFORCE OR DEFEND ANY RIGHTS UNDER THIS GUARANTY OR UNDER ANY AMENDMENT, INSTRUMENT, DOCUMENT OR AGREEMENT DELIVERED OR WHICH MAY IN THE FUTURE BE DELIVERED IN CONNECTION HEREWITH OR ARISING FROM ANY RELATIONSHIP EXISTING IN CONNECTION WITH THIS GUARANTY, AND AGREES THAT ANY SUCH ACTION OR PROCEEDING SHALL BE TRIED BEFORE A COURT AND NOT BEFORE A JURY.</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Section 16. No Advisory or Fiduciary Responsibility</w:t>
      </w:r>
      <w:r>
        <w:rPr>
          <w:rFonts w:ascii="Arial" w:cs="Arial" w:eastAsia="Arial" w:hAnsi="Arial"/>
          <w:sz w:val="17"/>
          <w:szCs w:val="17"/>
          <w:color w:val="auto"/>
        </w:rPr>
        <w:t>. In connection with all aspects of each transaction contemplated hereby (including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any amendment, waiver or other modification hereof or of any other Operative Document), each Guarantor acknowledges and agrees that: (i)(A) the services regarding this Guaranty provided by the Administrative Agent and the Participants are arm’s-length commercial transactions between the Guarantors, on the one hand, and the Administrative Agent and the Participants, on the other hand, (B) each Guarantor has consulted its own legal, accounting, regulatory and tax advisors to the extent it has deemed appropriate, and (C) each Guarantor is capable of evaluating, and understands and accepts, the terms, risks and conditions of the transactions contemplated hereby and by the other Operative Documents; (ii)(A) the Administrative Agent and each Participant is and has been acting solely as a principal and, except as expressly agreed in writing by the relevant parties, has not been, is not, and will not be acting as an advisor, agent or fiduciary for any Guarantor or any other Person and (B) neither the Administrative Agent nor any Participant has any obligation to any Guarantor or any of its Affiliates with respect to the transactions contemplated hereby except those obligations expressly set forth herein and in the other Operative Documents; and (iii) the Administrative Agent and the Participants and their respective Affiliates may be engaged in a broad range of transactions that involve interests that differ from those of the Guarantors and their respective Affiliates, and neither the Administrative Agent, nor any Participant has any obligation to disclose any of such interests to any Guarantor or any of its Affiliates. None of the Administrative Agent and the Participants will use confidential information obtained from or on behalf of Lessee or any Guarantor by virtue of the transactions contemplated by the Operative Documents or its other relationships with Lessee or any Guarantor in connection with the performance by the Administrative Agent or such Participant of services for other companies, and none of the Administrative Agent and the Participants will furnish any such information to other companies. To the fullest extent permitted by law, each Guarantor hereby waives and releases any claims that it may have against the Administrative Agent, or any Participant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17. Releases; Termination of Guaranty</w:t>
      </w:r>
      <w:r>
        <w:rPr>
          <w:rFonts w:ascii="Arial" w:cs="Arial" w:eastAsia="Arial" w:hAnsi="Arial"/>
          <w:sz w:val="18"/>
          <w:szCs w:val="18"/>
          <w:color w:val="auto"/>
        </w:rPr>
        <w:t>. (a) A Subsidiary Guarantor shall automatically be released from its obligations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Guaranty upon the consummation of any transaction permitted by this Guaranty as a result of which such Subsidiary Guarantor ceases to be a Subsidiary, so long as, immediately after giving effect to the consummation of such transaction, no Default or Event of Default results therefrom;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so required by this Guaranty or the Participation Agreement, the Required Participants shall have consented to such transaction and the terms of such consent shall not have provided otherwise.</w:t>
      </w:r>
    </w:p>
    <w:p>
      <w:pPr>
        <w:spacing w:after="0" w:line="188" w:lineRule="exact"/>
        <w:rPr>
          <w:sz w:val="20"/>
          <w:szCs w:val="20"/>
          <w:color w:val="auto"/>
        </w:rPr>
      </w:pPr>
    </w:p>
    <w:p>
      <w:pPr>
        <w:jc w:val="both"/>
        <w:ind w:firstLine="656"/>
        <w:spacing w:after="0" w:line="255" w:lineRule="auto"/>
        <w:tabs>
          <w:tab w:leader="none" w:pos="112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Further, the Administrative Agent may (and is hereby irrevocably authorized by each Participant to), upon the request of the Parent Guarantor or Lessee, release any Subsidiary Guarantor from its obligations under this Guaranty if such Subsidiary Guarantor is no longer a Material Domestic Subsidiary, becomes an Excluded Subsidiary or is otherwise not required pursuant to this terms of this Guaranty to provide a Subsidiary Guaranty;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such Subsidiary Guarantor is a Bank Credit Agreement Specified Loan Party, prior to or substantially concurrently with the release of such Subsidiary Guarantor pursuant to this Section 17(b), it ceases to be a loan party (whether as a guarantor and/or borrower) under the Bank Credit Agreement and related loan documents.</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11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Further, the Administrative Agent may (and is hereby irrevocably authorized by each Participant to), upon the request of the Parent Guarantor or Lessee, release any Guarantor from its obligations under this Guaranty if such release is approved, authorized or ratified by the requisite Participants pursuant to Section 15.5 of the Participation Agreement.</w:t>
      </w:r>
    </w:p>
    <w:p>
      <w:pPr>
        <w:spacing w:after="0" w:line="183" w:lineRule="exact"/>
        <w:rPr>
          <w:rFonts w:ascii="Arial" w:cs="Arial" w:eastAsia="Arial" w:hAnsi="Arial"/>
          <w:sz w:val="18"/>
          <w:szCs w:val="18"/>
          <w:color w:val="auto"/>
        </w:rPr>
      </w:pPr>
    </w:p>
    <w:p>
      <w:pPr>
        <w:jc w:val="both"/>
        <w:ind w:firstLine="656"/>
        <w:spacing w:after="0" w:line="293" w:lineRule="auto"/>
        <w:tabs>
          <w:tab w:leader="none" w:pos="112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At such time as the Liabilities (other than Liabilities expressly stated to survive such payment and termination) shall have been indefeasibly paid in full in cash, all obligations of each Guarantor under this Guaranty shall automatically terminate (other than with respect to Liabilities expressly stated to survive such payment and termination), all without delivery of any instrument or performance of any act by any Person (it being agreed that, upon indefeasible payment in full in cash of the Liabilities (other than (i) Liabilities expressly stated to survive such payment and termination and (ii) contingent Liabilities for costs, expenses, indemnities and similar obligations not then due and payable), Sections 8 and 9 of this Guaranty shall automatically terminate, notwithstanding the survival of this Guaranty with respect to Liabilities expressly stated to survive such payment and termination).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firstLine="656"/>
        <w:spacing w:after="0" w:line="273" w:lineRule="auto"/>
        <w:tabs>
          <w:tab w:leader="none" w:pos="1117" w:val="left"/>
        </w:tabs>
        <w:numPr>
          <w:ilvl w:val="0"/>
          <w:numId w:val="244"/>
        </w:numPr>
        <w:rPr>
          <w:rFonts w:ascii="Arial" w:cs="Arial" w:eastAsia="Arial" w:hAnsi="Arial"/>
          <w:sz w:val="17"/>
          <w:szCs w:val="17"/>
          <w:color w:val="auto"/>
        </w:rPr>
      </w:pPr>
      <w:r>
        <w:rPr>
          <w:rFonts w:ascii="Arial" w:cs="Arial" w:eastAsia="Arial" w:hAnsi="Arial"/>
          <w:sz w:val="17"/>
          <w:szCs w:val="17"/>
          <w:color w:val="auto"/>
        </w:rPr>
        <w:t>Upon request by the Administrative Agent at any time, the Participants will confirm in writing the Administrative Agent’s authority to release any particular Guarantor pursuant hereto. In connection with any termination or release pursuant to this Section 17, the Administrative Agent shall (and is hereby irrevocably authorized by each Participant to) execute and deliver to any Guarantor or Lessee, at such Guarantor’s or Lessee’s expense, all documents that such Guarantor or Lessee shall reasonably request to evidence such termination or release. Any execution and delivery of documents pursuant to this Section 17 shall be without recourse to or warranty by the Administrative Agent except with respect to any customary further assurances that are expressly agreed to in writing by the Administrative Agent.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Section 18. Contribution with Respect to Liabilities</w:t>
      </w:r>
      <w:r>
        <w:rPr>
          <w:rFonts w:ascii="Arial" w:cs="Arial" w:eastAsia="Arial" w:hAnsi="Arial"/>
          <w:sz w:val="17"/>
          <w:szCs w:val="17"/>
          <w:color w:val="auto"/>
        </w:rPr>
        <w:t>. (a) To the extent that any Guarantor shall make a payment under this Guaranty (a</w:t>
      </w:r>
      <w:r>
        <w:rPr>
          <w:rFonts w:ascii="Arial" w:cs="Arial" w:eastAsia="Arial" w:hAnsi="Arial"/>
          <w:sz w:val="17"/>
          <w:szCs w:val="17"/>
          <w:i w:val="1"/>
          <w:iCs w:val="1"/>
          <w:color w:val="auto"/>
        </w:rPr>
        <w:t xml:space="preserve"> “Guarantor Payment”</w:t>
      </w:r>
      <w:r>
        <w:rPr>
          <w:rFonts w:ascii="Arial" w:cs="Arial" w:eastAsia="Arial" w:hAnsi="Arial"/>
          <w:sz w:val="17"/>
          <w:szCs w:val="17"/>
          <w:color w:val="auto"/>
        </w:rPr>
        <w:t>) which, taking into account all other Guarantor Payments then previously or concurrently made by any other Guarantor, exceeds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which otherwise would have been paid by or attributable to such Guarantor if each Guarantor had paid the aggregate Liabilities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Liabilities and termination of this Guaranty,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spacing w:after="0" w:line="178" w:lineRule="exact"/>
        <w:rPr>
          <w:sz w:val="20"/>
          <w:szCs w:val="20"/>
          <w:color w:val="auto"/>
        </w:rPr>
      </w:pPr>
    </w:p>
    <w:p>
      <w:pPr>
        <w:jc w:val="both"/>
        <w:ind w:firstLine="656"/>
        <w:spacing w:after="0" w:line="279" w:lineRule="auto"/>
        <w:tabs>
          <w:tab w:leader="none" w:pos="112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71" w:lineRule="exact"/>
        <w:rPr>
          <w:rFonts w:ascii="Arial" w:cs="Arial" w:eastAsia="Arial" w:hAnsi="Arial"/>
          <w:sz w:val="17"/>
          <w:szCs w:val="17"/>
          <w:color w:val="auto"/>
        </w:rPr>
      </w:pPr>
    </w:p>
    <w:p>
      <w:pPr>
        <w:jc w:val="both"/>
        <w:ind w:firstLine="656"/>
        <w:spacing w:after="0" w:line="263" w:lineRule="auto"/>
        <w:tabs>
          <w:tab w:leader="none" w:pos="111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This Section 18 is intended only to define the relative rights of the Guarantors, and nothing set forth in this Section 18 is intended to or shall impair the obligations of the Guarantors, jointly and severally, to pay any amounts as and when the same shall become due and payable in accordance with the terms of this Guaranty.</w:t>
      </w:r>
    </w:p>
    <w:p>
      <w:pPr>
        <w:spacing w:after="0" w:line="183" w:lineRule="exact"/>
        <w:rPr>
          <w:rFonts w:ascii="Arial" w:cs="Arial" w:eastAsia="Arial" w:hAnsi="Arial"/>
          <w:sz w:val="18"/>
          <w:szCs w:val="18"/>
          <w:color w:val="auto"/>
        </w:rPr>
      </w:pPr>
    </w:p>
    <w:p>
      <w:pPr>
        <w:ind w:firstLine="656"/>
        <w:spacing w:after="0" w:line="277" w:lineRule="auto"/>
        <w:tabs>
          <w:tab w:leader="none" w:pos="112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Guarantor or Guarantors to which such contribution and indemnification is owing.</w:t>
      </w:r>
    </w:p>
    <w:p>
      <w:pPr>
        <w:spacing w:after="0" w:line="170" w:lineRule="exact"/>
        <w:rPr>
          <w:rFonts w:ascii="Arial" w:cs="Arial" w:eastAsia="Arial" w:hAnsi="Arial"/>
          <w:sz w:val="18"/>
          <w:szCs w:val="18"/>
          <w:color w:val="auto"/>
        </w:rPr>
      </w:pPr>
    </w:p>
    <w:p>
      <w:pPr>
        <w:ind w:firstLine="656"/>
        <w:spacing w:after="0" w:line="277" w:lineRule="auto"/>
        <w:tabs>
          <w:tab w:leader="none" w:pos="111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rights of the indemnifying Guarantors against other Guarantors under this Section 18 shall be exercisable upon the full and indefeasible payment of the Liabilities in cash and the termination of this Guaranty pursuant to Section 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spacing w:after="0"/>
        <w:tabs>
          <w:tab w:leader="none" w:pos="826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Second Amended and Restated Guaranty</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 xml:space="preserve">Section 19. Effectiveness of Second Amended and Restated Guaranty; Effect of Restatement. </w:t>
      </w:r>
      <w:r>
        <w:rPr>
          <w:rFonts w:ascii="Arial" w:cs="Arial" w:eastAsia="Arial" w:hAnsi="Arial"/>
          <w:sz w:val="16"/>
          <w:szCs w:val="16"/>
          <w:color w:val="auto"/>
        </w:rPr>
        <w:t>This Guaranty shall be effective as of,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Existing Guaranty shall be amended and restated as set forth in this Guaranty on, the Restatement Date. The parties hereto acknowledge and agree, however, that (a) this Guaranty and the other Restated Operative Documents do not constitute a novation or termination of the Liabilities under and as defined in the Previously Existing Guaranty or under the other Operative Documents as in effect immediately prior to the Restatement Date, (b) such Liabilities are in all respects continuing with only the terms being modified from and after the Restatement Date as provided in this Guaranty and the other Restated Operative Documents, (c) except as provided in, or contemplated by, the Restated Operative Documents, the mortgage, liens and security interests in favor of the Lessor securing payment of such Obligations are in all respects continuing and in full force and effect with respect to all Obligations and</w:t>
      </w:r>
    </w:p>
    <w:p>
      <w:pPr>
        <w:spacing w:after="0" w:line="2" w:lineRule="exact"/>
        <w:rPr>
          <w:sz w:val="20"/>
          <w:szCs w:val="20"/>
          <w:color w:val="auto"/>
        </w:rPr>
      </w:pPr>
    </w:p>
    <w:p>
      <w:pPr>
        <w:jc w:val="both"/>
        <w:ind w:firstLine="8"/>
        <w:spacing w:after="0" w:line="253" w:lineRule="auto"/>
        <w:tabs>
          <w:tab w:leader="none" w:pos="28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except to the extent the context requires otherwise, from and after the Restatement Date, all references in the other Operative Documents to the “Guaranty” and all other references in the other Operative Documents originally applicable to the Previously Existing Guaranty shall be deemed to refer without further amendment to this Guaranty, as amended, restated, supplemented or otherwise modified from time to time in accordance with the terms hereof.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ND OF</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AGES</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0" w:name="page251"/>
    <w:bookmarkEnd w:id="250"/>
    <w:p>
      <w:pPr>
        <w:ind w:firstLine="648"/>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each Initial Guarantor has caused this Second Amended and Restated Guaranty to be executed and delivered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Parent Guarantor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Leonard N. Brooks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Second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1" w:name="page252"/>
    <w:bookmarkEnd w:id="251"/>
    <w:p>
      <w:pPr>
        <w:jc w:val="right"/>
        <w:ind w:right="205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G</w:t>
      </w:r>
      <w:r>
        <w:rPr>
          <w:rFonts w:ascii="Arial" w:cs="Arial" w:eastAsia="Arial" w:hAnsi="Arial"/>
          <w:sz w:val="12"/>
          <w:szCs w:val="12"/>
          <w:color w:val="auto"/>
        </w:rPr>
        <w:t>ENETICS</w:t>
      </w:r>
      <w:r>
        <w:rPr>
          <w:rFonts w:ascii="Arial" w:cs="Arial" w:eastAsia="Arial" w:hAnsi="Arial"/>
          <w:sz w:val="18"/>
          <w:szCs w:val="18"/>
          <w:color w:val="auto"/>
        </w:rPr>
        <w:t xml:space="preserve"> C</w:t>
      </w:r>
      <w:r>
        <w:rPr>
          <w:rFonts w:ascii="Arial" w:cs="Arial" w:eastAsia="Arial" w:hAnsi="Arial"/>
          <w:sz w:val="12"/>
          <w:szCs w:val="12"/>
          <w:color w:val="auto"/>
        </w:rPr>
        <w:t>ENTER</w:t>
      </w:r>
      <w:r>
        <w:rPr>
          <w:rFonts w:ascii="Arial" w:cs="Arial" w:eastAsia="Arial" w:hAnsi="Arial"/>
          <w:sz w:val="18"/>
          <w:szCs w:val="18"/>
          <w:color w:val="auto"/>
        </w:rPr>
        <w:t xml:space="preserve"> LLC,</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a Subsidiary Guarantor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Leonard N. Brooks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52" w:name="page253"/>
    <w:bookmarkEnd w:id="252"/>
    <w:p>
      <w:pPr>
        <w:jc w:val="right"/>
        <w:ind w:right="167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H</w:t>
      </w:r>
      <w:r>
        <w:rPr>
          <w:rFonts w:ascii="Arial" w:cs="Arial" w:eastAsia="Arial" w:hAnsi="Arial"/>
          <w:sz w:val="12"/>
          <w:szCs w:val="12"/>
          <w:color w:val="auto"/>
        </w:rPr>
        <w:t>EALTHCARE</w:t>
      </w:r>
      <w:r>
        <w:rPr>
          <w:rFonts w:ascii="Arial" w:cs="Arial" w:eastAsia="Arial" w:hAnsi="Arial"/>
          <w:sz w:val="18"/>
          <w:szCs w:val="18"/>
          <w:color w:val="auto"/>
        </w:rPr>
        <w:t xml:space="preserve"> S</w:t>
      </w:r>
      <w:r>
        <w:rPr>
          <w:rFonts w:ascii="Arial" w:cs="Arial" w:eastAsia="Arial" w:hAnsi="Arial"/>
          <w:sz w:val="12"/>
          <w:szCs w:val="12"/>
          <w:color w:val="auto"/>
        </w:rPr>
        <w:t>OLUTIONS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a Subsidiary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Marion McCourt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Marion McCourt</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Manager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Second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465455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53" w:name="page254"/>
    <w:bookmarkEnd w:id="253"/>
    <w:p>
      <w:pPr>
        <w:ind w:left="4520"/>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jc w:val="right"/>
        <w:ind w:right="1819"/>
        <w:spacing w:after="0"/>
        <w:rPr>
          <w:sz w:val="20"/>
          <w:szCs w:val="20"/>
          <w:color w:val="auto"/>
        </w:rPr>
      </w:pPr>
      <w:r>
        <w:rPr>
          <w:rFonts w:ascii="Arial" w:cs="Arial" w:eastAsia="Arial" w:hAnsi="Arial"/>
          <w:sz w:val="18"/>
          <w:szCs w:val="18"/>
          <w:color w:val="auto"/>
        </w:rPr>
        <w:t>as of the date first written above: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ANK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N.A.,</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Aamir Saleem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Aamir Saleem</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97E3E4"/>
    <w:multiLevelType w:val="hybridMultilevel"/>
    <w:lvl w:ilvl="0">
      <w:lvlJc w:val="left"/>
      <w:lvlText w:val="☐"/>
      <w:numFmt w:val="bullet"/>
      <w:start w:val="1"/>
    </w:lvl>
  </w:abstractNum>
  <w:abstractNum w:abstractNumId="1">
    <w:nsid w:val="53B0A9E"/>
    <w:multiLevelType w:val="hybridMultilevel"/>
    <w:lvl w:ilvl="0">
      <w:lvlJc w:val="left"/>
      <w:lvlText w:val="(%1)"/>
      <w:numFmt w:val="lowerRoman"/>
      <w:start w:val="4"/>
    </w:lvl>
  </w:abstractNum>
  <w:abstractNum w:abstractNumId="2">
    <w:nsid w:val="34FD6B4F"/>
    <w:multiLevelType w:val="hybridMultilevel"/>
    <w:lvl w:ilvl="0">
      <w:lvlJc w:val="left"/>
      <w:lvlText w:val="(%1)"/>
      <w:numFmt w:val="lowerLetter"/>
      <w:start w:val="4"/>
    </w:lvl>
  </w:abstractNum>
  <w:abstractNum w:abstractNumId="3">
    <w:nsid w:val="5915FF32"/>
    <w:multiLevelType w:val="hybridMultilevel"/>
    <w:lvl w:ilvl="0">
      <w:lvlJc w:val="left"/>
      <w:lvlText w:val="*"/>
      <w:numFmt w:val="bullet"/>
      <w:start w:val="1"/>
    </w:lvl>
  </w:abstractNum>
  <w:abstractNum w:abstractNumId="4">
    <w:nsid w:val="56438D15"/>
    <w:multiLevelType w:val="hybridMultilevel"/>
    <w:lvl w:ilvl="0">
      <w:lvlJc w:val="left"/>
      <w:lvlText w:val="%1."/>
      <w:numFmt w:val="upperLetter"/>
      <w:start w:val="1"/>
    </w:lvl>
  </w:abstractNum>
  <w:abstractNum w:abstractNumId="5">
    <w:nsid w:val="519E3149"/>
    <w:multiLevelType w:val="hybridMultilevel"/>
    <w:lvl w:ilvl="0">
      <w:lvlJc w:val="left"/>
      <w:lvlText w:val="%1."/>
      <w:numFmt w:val="upperLetter"/>
      <w:start w:val="7"/>
    </w:lvl>
  </w:abstractNum>
  <w:abstractNum w:abstractNumId="6">
    <w:nsid w:val="2C6E4AFD"/>
    <w:multiLevelType w:val="hybridMultilevel"/>
    <w:lvl w:ilvl="0">
      <w:lvlJc w:val="left"/>
      <w:lvlText w:val="(%1)"/>
      <w:numFmt w:val="lowerLetter"/>
      <w:start w:val="1"/>
    </w:lvl>
  </w:abstractNum>
  <w:abstractNum w:abstractNumId="7">
    <w:nsid w:val="17A1B582"/>
    <w:multiLevelType w:val="hybridMultilevel"/>
    <w:lvl w:ilvl="0">
      <w:lvlJc w:val="left"/>
      <w:lvlText w:val="(%1)"/>
      <w:numFmt w:val="lowerLetter"/>
      <w:start w:val="4"/>
    </w:lvl>
  </w:abstractNum>
  <w:abstractNum w:abstractNumId="8">
    <w:nsid w:val="4DF72E4E"/>
    <w:multiLevelType w:val="hybridMultilevel"/>
    <w:lvl w:ilvl="0">
      <w:lvlJc w:val="left"/>
      <w:lvlText w:val="(%1)"/>
      <w:numFmt w:val="lowerLetter"/>
      <w:start w:val="2"/>
    </w:lvl>
  </w:abstractNum>
  <w:abstractNum w:abstractNumId="9">
    <w:nsid w:val="5046B5A9"/>
    <w:multiLevelType w:val="hybridMultilevel"/>
    <w:lvl w:ilvl="0">
      <w:lvlJc w:val="left"/>
      <w:lvlText w:val="(%1)"/>
      <w:numFmt w:val="lowerLetter"/>
      <w:start w:val="1"/>
    </w:lvl>
  </w:abstractNum>
  <w:abstractNum w:abstractNumId="10">
    <w:nsid w:val="5D888A08"/>
    <w:multiLevelType w:val="hybridMultilevel"/>
    <w:lvl w:ilvl="0">
      <w:lvlJc w:val="left"/>
      <w:lvlText w:val="(%1)"/>
      <w:numFmt w:val="lowerLetter"/>
      <w:start w:val="2"/>
    </w:lvl>
  </w:abstractNum>
  <w:abstractNum w:abstractNumId="11">
    <w:nsid w:val="2A082C70"/>
    <w:multiLevelType w:val="hybridMultilevel"/>
    <w:lvl w:ilvl="0">
      <w:lvlJc w:val="left"/>
      <w:lvlText w:val="(%1)"/>
      <w:numFmt w:val="lowerLetter"/>
      <w:start w:val="2"/>
    </w:lvl>
  </w:abstractNum>
  <w:abstractNum w:abstractNumId="12">
    <w:nsid w:val="5EC6AFD4"/>
    <w:multiLevelType w:val="hybridMultilevel"/>
    <w:lvl w:ilvl="0">
      <w:lvlJc w:val="left"/>
      <w:lvlText w:val="(%1)"/>
      <w:numFmt w:val="lowerLetter"/>
      <w:start w:val="3"/>
    </w:lvl>
  </w:abstractNum>
  <w:abstractNum w:abstractNumId="13">
    <w:nsid w:val="19E21BB2"/>
    <w:multiLevelType w:val="hybridMultilevel"/>
    <w:lvl w:ilvl="0">
      <w:lvlJc w:val="left"/>
      <w:lvlText w:val="(%1)"/>
      <w:numFmt w:val="lowerLetter"/>
      <w:start w:val="1"/>
    </w:lvl>
    <w:lvl w:ilvl="1">
      <w:lvlJc w:val="left"/>
      <w:lvlText w:val="(%2)"/>
      <w:numFmt w:val="lowerRoman"/>
      <w:start w:val="1"/>
    </w:lvl>
  </w:abstractNum>
  <w:abstractNum w:abstractNumId="14">
    <w:nsid w:val="75E0858A"/>
    <w:multiLevelType w:val="hybridMultilevel"/>
    <w:lvl w:ilvl="0">
      <w:lvlJc w:val="left"/>
      <w:lvlText w:val="(%1)"/>
      <w:numFmt w:val="lowerLetter"/>
      <w:start w:val="2"/>
    </w:lvl>
  </w:abstractNum>
  <w:abstractNum w:abstractNumId="15">
    <w:nsid w:val="57A61A29"/>
    <w:multiLevelType w:val="hybridMultilevel"/>
    <w:lvl w:ilvl="0">
      <w:lvlJc w:val="left"/>
      <w:lvlText w:val="(%1)"/>
      <w:numFmt w:val="lowerRoman"/>
      <w:start w:val="2"/>
    </w:lvl>
  </w:abstractNum>
  <w:abstractNum w:abstractNumId="16">
    <w:nsid w:val="5399C654"/>
    <w:multiLevelType w:val="hybridMultilevel"/>
    <w:lvl w:ilvl="0">
      <w:lvlJc w:val="left"/>
      <w:lvlText w:val="(%1)"/>
      <w:numFmt w:val="lowerLetter"/>
      <w:start w:val="2"/>
    </w:lvl>
    <w:lvl w:ilvl="1">
      <w:lvlJc w:val="left"/>
      <w:lvlText w:val="(%2)"/>
      <w:numFmt w:val="lowerRoman"/>
      <w:start w:val="1"/>
    </w:lvl>
  </w:abstractNum>
  <w:abstractNum w:abstractNumId="17">
    <w:nsid w:val="20EE1348"/>
    <w:multiLevelType w:val="hybridMultilevel"/>
    <w:lvl w:ilvl="0">
      <w:lvlJc w:val="left"/>
      <w:lvlText w:val="(%1)"/>
      <w:numFmt w:val="lowerLetter"/>
      <w:start w:val="3"/>
    </w:lvl>
  </w:abstractNum>
  <w:abstractNum w:abstractNumId="18">
    <w:nsid w:val="4427069A"/>
    <w:multiLevelType w:val="hybridMultilevel"/>
    <w:lvl w:ilvl="0">
      <w:lvlJc w:val="left"/>
      <w:lvlText w:val="(%1)"/>
      <w:numFmt w:val="lowerLetter"/>
      <w:start w:val="4"/>
    </w:lvl>
  </w:abstractNum>
  <w:abstractNum w:abstractNumId="19">
    <w:nsid w:val="B37E80A"/>
    <w:multiLevelType w:val="hybridMultilevel"/>
    <w:lvl w:ilvl="0">
      <w:lvlJc w:val="left"/>
      <w:lvlText w:val="(%1)"/>
      <w:numFmt w:val="lowerLetter"/>
      <w:start w:val="5"/>
    </w:lvl>
  </w:abstractNum>
  <w:abstractNum w:abstractNumId="20">
    <w:nsid w:val="2157F6BC"/>
    <w:multiLevelType w:val="hybridMultilevel"/>
    <w:lvl w:ilvl="0">
      <w:lvlJc w:val="left"/>
      <w:lvlText w:val="(%1)"/>
      <w:numFmt w:val="lowerLetter"/>
      <w:start w:val="7"/>
    </w:lvl>
  </w:abstractNum>
  <w:abstractNum w:abstractNumId="21">
    <w:nsid w:val="704E1DD5"/>
    <w:multiLevelType w:val="hybridMultilevel"/>
    <w:lvl w:ilvl="0">
      <w:lvlJc w:val="left"/>
      <w:lvlText w:val="(%1)"/>
      <w:numFmt w:val="lowerRoman"/>
      <w:start w:val="2"/>
    </w:lvl>
  </w:abstractNum>
  <w:abstractNum w:abstractNumId="22">
    <w:nsid w:val="57D2F10E"/>
    <w:multiLevelType w:val="hybridMultilevel"/>
    <w:lvl w:ilvl="0">
      <w:lvlJc w:val="left"/>
      <w:lvlText w:val="(%1)"/>
      <w:numFmt w:val="lowerLetter"/>
      <w:start w:val="8"/>
    </w:lvl>
  </w:abstractNum>
  <w:abstractNum w:abstractNumId="23">
    <w:nsid w:val="BFFAE18"/>
    <w:multiLevelType w:val="hybridMultilevel"/>
    <w:lvl w:ilvl="0">
      <w:lvlJc w:val="left"/>
      <w:lvlText w:val="%1"/>
      <w:numFmt w:val="lowerRoman"/>
      <w:start w:val="1"/>
    </w:lvl>
    <w:lvl w:ilvl="1">
      <w:lvlJc w:val="left"/>
      <w:lvlText w:val="(%2)"/>
      <w:numFmt w:val="lowerRoman"/>
      <w:start w:val="1"/>
    </w:lvl>
  </w:abstractNum>
  <w:abstractNum w:abstractNumId="24">
    <w:nsid w:val="E3E47A8"/>
    <w:multiLevelType w:val="hybridMultilevel"/>
    <w:lvl w:ilvl="0">
      <w:lvlJc w:val="left"/>
      <w:lvlText w:val="(%1)"/>
      <w:numFmt w:val="lowerRoman"/>
      <w:start w:val="5"/>
    </w:lvl>
    <w:lvl w:ilvl="1">
      <w:lvlJc w:val="left"/>
      <w:lvlText w:val="%2"/>
      <w:numFmt w:val="lowerRoman"/>
      <w:start w:val="1"/>
    </w:lvl>
  </w:abstractNum>
  <w:abstractNum w:abstractNumId="25">
    <w:nsid w:val="2E48F044"/>
    <w:multiLevelType w:val="hybridMultilevel"/>
    <w:lvl w:ilvl="0">
      <w:lvlJc w:val="left"/>
      <w:lvlText w:val="(%1)"/>
      <w:numFmt w:val="lowerRoman"/>
      <w:start w:val="5"/>
    </w:lvl>
  </w:abstractNum>
  <w:abstractNum w:abstractNumId="26">
    <w:nsid w:val="49D0FEAC"/>
    <w:multiLevelType w:val="hybridMultilevel"/>
    <w:lvl w:ilvl="0">
      <w:lvlJc w:val="left"/>
      <w:lvlText w:val="%1"/>
      <w:numFmt w:val="decimal"/>
      <w:start w:val="1"/>
    </w:lvl>
    <w:lvl w:ilvl="1">
      <w:lvlJc w:val="left"/>
      <w:lvlText w:val="(%2)"/>
      <w:numFmt w:val="lowerRoman"/>
      <w:start w:val="1"/>
    </w:lvl>
  </w:abstractNum>
  <w:abstractNum w:abstractNumId="27">
    <w:nsid w:val="4BEE5A5B"/>
    <w:multiLevelType w:val="hybridMultilevel"/>
    <w:lvl w:ilvl="0">
      <w:lvlJc w:val="left"/>
      <w:lvlText w:val="(%1)"/>
      <w:numFmt w:val="decimal"/>
      <w:start w:val="2"/>
    </w:lvl>
    <w:lvl w:ilvl="1">
      <w:lvlJc w:val="left"/>
      <w:lvlText w:val="%2"/>
      <w:numFmt w:val="lowerRoman"/>
      <w:start w:val="1"/>
    </w:lvl>
  </w:abstractNum>
  <w:abstractNum w:abstractNumId="28">
    <w:nsid w:val="5551B9F3"/>
    <w:multiLevelType w:val="hybridMultilevel"/>
    <w:lvl w:ilvl="0">
      <w:lvlJc w:val="left"/>
      <w:lvlText w:val="(%1)"/>
      <w:numFmt w:val="lowerRoman"/>
      <w:start w:val="2"/>
    </w:lvl>
  </w:abstractNum>
  <w:abstractNum w:abstractNumId="29">
    <w:nsid w:val="24F6AB8E"/>
    <w:multiLevelType w:val="hybridMultilevel"/>
    <w:lvl w:ilvl="0">
      <w:lvlJc w:val="left"/>
      <w:lvlText w:val="(%1)"/>
      <w:numFmt w:val="lowerRoman"/>
      <w:start w:val="5"/>
    </w:lvl>
    <w:lvl w:ilvl="1">
      <w:lvlJc w:val="left"/>
      <w:lvlText w:val="(%2)"/>
      <w:numFmt w:val="upperLetter"/>
      <w:start w:val="1"/>
    </w:lvl>
  </w:abstractNum>
  <w:abstractNum w:abstractNumId="30">
    <w:nsid w:val="634C574C"/>
    <w:multiLevelType w:val="hybridMultilevel"/>
    <w:lvl w:ilvl="0">
      <w:lvlJc w:val="left"/>
      <w:lvlText w:val="(%1)"/>
      <w:numFmt w:val="lowerRoman"/>
      <w:start w:val="10"/>
    </w:lvl>
  </w:abstractNum>
  <w:abstractNum w:abstractNumId="31">
    <w:nsid w:val="24E99DD7"/>
    <w:multiLevelType w:val="hybridMultilevel"/>
    <w:lvl w:ilvl="0">
      <w:lvlJc w:val="left"/>
      <w:lvlText w:val="(%1)"/>
      <w:numFmt w:val="lowerLetter"/>
      <w:start w:val="1"/>
    </w:lvl>
  </w:abstractNum>
  <w:abstractNum w:abstractNumId="32">
    <w:nsid w:val="2A31B62D"/>
    <w:multiLevelType w:val="hybridMultilevel"/>
    <w:lvl w:ilvl="0">
      <w:lvlJc w:val="left"/>
      <w:lvlText w:val="(%1)"/>
      <w:numFmt w:val="lowerLetter"/>
      <w:start w:val="1"/>
    </w:lvl>
  </w:abstractNum>
  <w:abstractNum w:abstractNumId="33">
    <w:nsid w:val="1849C29B"/>
    <w:multiLevelType w:val="hybridMultilevel"/>
    <w:lvl w:ilvl="0">
      <w:lvlJc w:val="left"/>
      <w:lvlText w:val="(%1)"/>
      <w:numFmt w:val="lowerLetter"/>
      <w:start w:val="1"/>
    </w:lvl>
  </w:abstractNum>
  <w:abstractNum w:abstractNumId="34">
    <w:nsid w:val="7DFF9D09"/>
    <w:multiLevelType w:val="hybridMultilevel"/>
    <w:lvl w:ilvl="0">
      <w:lvlJc w:val="left"/>
      <w:lvlText w:val="(%1)"/>
      <w:numFmt w:val="lowerLetter"/>
      <w:start w:val="5"/>
    </w:lvl>
  </w:abstractNum>
  <w:abstractNum w:abstractNumId="35">
    <w:nsid w:val="754342"/>
    <w:multiLevelType w:val="hybridMultilevel"/>
    <w:lvl w:ilvl="0">
      <w:lvlJc w:val="left"/>
      <w:lvlText w:val="(%1)"/>
      <w:numFmt w:val="lowerLetter"/>
      <w:start w:val="1"/>
    </w:lvl>
  </w:abstractNum>
  <w:abstractNum w:abstractNumId="36">
    <w:nsid w:val="69E7F3E5"/>
    <w:multiLevelType w:val="hybridMultilevel"/>
    <w:lvl w:ilvl="0">
      <w:lvlJc w:val="left"/>
      <w:lvlText w:val="%1"/>
      <w:numFmt w:val="lowerLetter"/>
      <w:start w:val="1"/>
    </w:lvl>
    <w:lvl w:ilvl="1">
      <w:lvlJc w:val="left"/>
      <w:lvlText w:val="(%2)"/>
      <w:numFmt w:val="lowerLetter"/>
      <w:start w:val="4"/>
    </w:lvl>
  </w:abstractNum>
  <w:abstractNum w:abstractNumId="37">
    <w:nsid w:val="2A6DE806"/>
    <w:multiLevelType w:val="hybridMultilevel"/>
    <w:lvl w:ilvl="0">
      <w:lvlJc w:val="left"/>
      <w:lvlText w:val="(%1)"/>
      <w:numFmt w:val="lowerLetter"/>
      <w:start w:val="35"/>
    </w:lvl>
    <w:lvl w:ilvl="1">
      <w:lvlJc w:val="left"/>
      <w:lvlText w:val="(%2)"/>
      <w:numFmt w:val="lowerLetter"/>
      <w:start w:val="6"/>
    </w:lvl>
  </w:abstractNum>
  <w:abstractNum w:abstractNumId="38">
    <w:nsid w:val="1816F8C4"/>
    <w:multiLevelType w:val="hybridMultilevel"/>
    <w:lvl w:ilvl="0">
      <w:lvlJc w:val="left"/>
      <w:lvlText w:val="(%1)"/>
      <w:numFmt w:val="lowerLetter"/>
      <w:start w:val="1"/>
    </w:lvl>
    <w:lvl w:ilvl="1">
      <w:lvlJc w:val="left"/>
      <w:lvlText w:val="(%2)"/>
      <w:numFmt w:val="lowerRoman"/>
      <w:start w:val="1"/>
    </w:lvl>
  </w:abstractNum>
  <w:abstractNum w:abstractNumId="39">
    <w:nsid w:val="37DF2233"/>
    <w:multiLevelType w:val="hybridMultilevel"/>
    <w:lvl w:ilvl="0">
      <w:lvlJc w:val="left"/>
      <w:lvlText w:val="(%1)"/>
      <w:numFmt w:val="lowerLetter"/>
      <w:start w:val="3"/>
    </w:lvl>
  </w:abstractNum>
  <w:abstractNum w:abstractNumId="40">
    <w:nsid w:val="7AB49DAF"/>
    <w:multiLevelType w:val="hybridMultilevel"/>
    <w:lvl w:ilvl="0">
      <w:lvlJc w:val="left"/>
      <w:lvlText w:val="(%1)"/>
      <w:numFmt w:val="lowerLetter"/>
      <w:start w:val="8"/>
    </w:lvl>
  </w:abstractNum>
  <w:abstractNum w:abstractNumId="41">
    <w:nsid w:val="759F82CD"/>
    <w:multiLevelType w:val="hybridMultilevel"/>
    <w:lvl w:ilvl="0">
      <w:lvlJc w:val="left"/>
      <w:lvlText w:val="(%1)"/>
      <w:numFmt w:val="lowerRoman"/>
      <w:start w:val="4"/>
    </w:lvl>
  </w:abstractNum>
  <w:abstractNum w:abstractNumId="42">
    <w:nsid w:val="61E74EA3"/>
    <w:multiLevelType w:val="hybridMultilevel"/>
    <w:lvl w:ilvl="0">
      <w:lvlJc w:val="left"/>
      <w:lvlText w:val="(%1)"/>
      <w:numFmt w:val="lowerLetter"/>
      <w:start w:val="2"/>
    </w:lvl>
  </w:abstractNum>
  <w:abstractNum w:abstractNumId="43">
    <w:nsid w:val="597B4D84"/>
    <w:multiLevelType w:val="hybridMultilevel"/>
    <w:lvl w:ilvl="0">
      <w:lvlJc w:val="left"/>
      <w:lvlText w:val="(%1)"/>
      <w:numFmt w:val="decimal"/>
      <w:start w:val="1"/>
    </w:lvl>
  </w:abstractNum>
  <w:abstractNum w:abstractNumId="44">
    <w:nsid w:val="F819E7F"/>
    <w:multiLevelType w:val="hybridMultilevel"/>
    <w:lvl w:ilvl="0">
      <w:lvlJc w:val="left"/>
      <w:lvlText w:val="(%1)"/>
      <w:numFmt w:val="lowerLetter"/>
      <w:start w:val="3"/>
    </w:lvl>
  </w:abstractNum>
  <w:abstractNum w:abstractNumId="45">
    <w:nsid w:val="57C7D42D"/>
    <w:multiLevelType w:val="hybridMultilevel"/>
    <w:lvl w:ilvl="0">
      <w:lvlJc w:val="left"/>
      <w:lvlText w:val="(%1)"/>
      <w:numFmt w:val="lowerLetter"/>
      <w:start w:val="1"/>
    </w:lvl>
  </w:abstractNum>
  <w:abstractNum w:abstractNumId="46">
    <w:nsid w:val="312167AD"/>
    <w:multiLevelType w:val="hybridMultilevel"/>
    <w:lvl w:ilvl="0">
      <w:lvlJc w:val="left"/>
      <w:lvlText w:val="%1"/>
      <w:numFmt w:val="lowerLetter"/>
      <w:start w:val="1"/>
    </w:lvl>
    <w:lvl w:ilvl="1">
      <w:lvlJc w:val="left"/>
      <w:lvlText w:val="(%2)"/>
      <w:numFmt w:val="lowerLetter"/>
      <w:start w:val="2"/>
    </w:lvl>
  </w:abstractNum>
  <w:abstractNum w:abstractNumId="47">
    <w:nsid w:val="631B64D4"/>
    <w:multiLevelType w:val="hybridMultilevel"/>
    <w:lvl w:ilvl="0">
      <w:lvlJc w:val="left"/>
      <w:lvlText w:val="(%1)"/>
      <w:numFmt w:val="lowerLetter"/>
      <w:start w:val="9"/>
    </w:lvl>
    <w:lvl w:ilvl="1">
      <w:lvlJc w:val="left"/>
      <w:lvlText w:val="%2"/>
      <w:numFmt w:val="lowerLetter"/>
      <w:start w:val="1"/>
    </w:lvl>
  </w:abstractNum>
  <w:abstractNum w:abstractNumId="48">
    <w:nsid w:val="78B5E776"/>
    <w:multiLevelType w:val="hybridMultilevel"/>
    <w:lvl w:ilvl="0">
      <w:lvlJc w:val="left"/>
      <w:lvlText w:val="(%1)"/>
      <w:numFmt w:val="lowerLetter"/>
      <w:start w:val="61"/>
    </w:lvl>
    <w:lvl w:ilvl="1">
      <w:lvlJc w:val="left"/>
      <w:lvlText w:val="(%2)"/>
      <w:numFmt w:val="lowerLetter"/>
      <w:start w:val="3"/>
    </w:lvl>
  </w:abstractNum>
  <w:abstractNum w:abstractNumId="49">
    <w:nsid w:val="75486E47"/>
    <w:multiLevelType w:val="hybridMultilevel"/>
    <w:lvl w:ilvl="0">
      <w:lvlJc w:val="left"/>
      <w:lvlText w:val="(%1)"/>
      <w:numFmt w:val="lowerLetter"/>
      <w:start w:val="1"/>
    </w:lvl>
    <w:lvl w:ilvl="1">
      <w:lvlJc w:val="left"/>
      <w:lvlText w:val="(%2)"/>
      <w:numFmt w:val="decimal"/>
      <w:start w:val="1"/>
    </w:lvl>
  </w:abstractNum>
  <w:abstractNum w:abstractNumId="50">
    <w:nsid w:val="6E534CDE"/>
    <w:multiLevelType w:val="hybridMultilevel"/>
    <w:lvl w:ilvl="0">
      <w:lvlJc w:val="left"/>
      <w:lvlText w:val="(%1)"/>
      <w:numFmt w:val="lowerLetter"/>
      <w:start w:val="61"/>
    </w:lvl>
    <w:lvl w:ilvl="1">
      <w:lvlJc w:val="left"/>
      <w:lvlText w:val="%2"/>
      <w:numFmt w:val="decimal"/>
      <w:start w:val="1"/>
    </w:lvl>
  </w:abstractNum>
  <w:abstractNum w:abstractNumId="51">
    <w:nsid w:val="1A0DDE32"/>
    <w:multiLevelType w:val="hybridMultilevel"/>
    <w:lvl w:ilvl="0">
      <w:lvlJc w:val="left"/>
      <w:lvlText w:val="(%1)"/>
      <w:numFmt w:val="decimal"/>
      <w:start w:val="4"/>
    </w:lvl>
  </w:abstractNum>
  <w:abstractNum w:abstractNumId="52">
    <w:nsid w:val="65968C1C"/>
    <w:multiLevelType w:val="hybridMultilevel"/>
    <w:lvl w:ilvl="0">
      <w:lvlJc w:val="left"/>
      <w:lvlText w:val="(%1)"/>
      <w:numFmt w:val="lowerLetter"/>
      <w:start w:val="2"/>
    </w:lvl>
  </w:abstractNum>
  <w:abstractNum w:abstractNumId="53">
    <w:nsid w:val="46263DEC"/>
    <w:multiLevelType w:val="hybridMultilevel"/>
    <w:lvl w:ilvl="0">
      <w:lvlJc w:val="left"/>
      <w:lvlText w:val="(%1)"/>
      <w:numFmt w:val="lowerLetter"/>
      <w:start w:val="1"/>
    </w:lvl>
  </w:abstractNum>
  <w:abstractNum w:abstractNumId="54">
    <w:nsid w:val="260D8C4A"/>
    <w:multiLevelType w:val="hybridMultilevel"/>
    <w:lvl w:ilvl="0">
      <w:lvlJc w:val="left"/>
      <w:lvlText w:val="(%1)"/>
      <w:numFmt w:val="lowerLetter"/>
      <w:start w:val="25"/>
    </w:lvl>
  </w:abstractNum>
  <w:abstractNum w:abstractNumId="55">
    <w:nsid w:val="73D4D3C4"/>
    <w:multiLevelType w:val="hybridMultilevel"/>
    <w:lvl w:ilvl="0">
      <w:lvlJc w:val="left"/>
      <w:lvlText w:val="(%1)"/>
      <w:numFmt w:val="lowerLetter"/>
      <w:start w:val="3"/>
    </w:lvl>
    <w:lvl w:ilvl="1">
      <w:lvlJc w:val="left"/>
      <w:lvlText w:val="(%2)"/>
      <w:numFmt w:val="lowerRoman"/>
      <w:start w:val="1"/>
    </w:lvl>
  </w:abstractNum>
  <w:abstractNum w:abstractNumId="56">
    <w:nsid w:val="746F2E30"/>
    <w:multiLevelType w:val="hybridMultilevel"/>
    <w:lvl w:ilvl="0">
      <w:lvlJc w:val="left"/>
      <w:lvlText w:val="%1"/>
      <w:numFmt w:val="lowerLetter"/>
      <w:start w:val="1"/>
    </w:lvl>
    <w:lvl w:ilvl="1">
      <w:lvlJc w:val="left"/>
      <w:lvlText w:val="(%2)"/>
      <w:numFmt w:val="lowerLetter"/>
      <w:start w:val="25"/>
    </w:lvl>
  </w:abstractNum>
  <w:abstractNum w:abstractNumId="57">
    <w:nsid w:val="6FDE8AF6"/>
    <w:multiLevelType w:val="hybridMultilevel"/>
    <w:lvl w:ilvl="0">
      <w:lvlJc w:val="left"/>
      <w:lvlText w:val="(%1)"/>
      <w:numFmt w:val="lowerLetter"/>
      <w:start w:val="4"/>
    </w:lvl>
    <w:lvl w:ilvl="1">
      <w:lvlJc w:val="left"/>
      <w:lvlText w:val="%2"/>
      <w:numFmt w:val="lowerLetter"/>
      <w:start w:val="1"/>
    </w:lvl>
  </w:abstractNum>
  <w:abstractNum w:abstractNumId="58">
    <w:nsid w:val="3FC32E20"/>
    <w:multiLevelType w:val="hybridMultilevel"/>
    <w:lvl w:ilvl="0">
      <w:lvlJc w:val="left"/>
      <w:lvlText w:val="(%1)"/>
      <w:numFmt w:val="upperLetter"/>
      <w:start w:val="1"/>
    </w:lvl>
  </w:abstractNum>
  <w:abstractNum w:abstractNumId="59">
    <w:nsid w:val="49C0E823"/>
    <w:multiLevelType w:val="hybridMultilevel"/>
    <w:lvl w:ilvl="0">
      <w:lvlJc w:val="left"/>
      <w:lvlText w:val="(%1)"/>
      <w:numFmt w:val="upperLetter"/>
      <w:start w:val="3"/>
    </w:lvl>
  </w:abstractNum>
  <w:abstractNum w:abstractNumId="60">
    <w:nsid w:val="14D53685"/>
    <w:multiLevelType w:val="hybridMultilevel"/>
    <w:lvl w:ilvl="0">
      <w:lvlJc w:val="left"/>
      <w:lvlText w:val="(%1)"/>
      <w:numFmt w:val="lowerRoman"/>
      <w:start w:val="2"/>
    </w:lvl>
  </w:abstractNum>
  <w:abstractNum w:abstractNumId="61">
    <w:nsid w:val="230F856C"/>
    <w:multiLevelType w:val="hybridMultilevel"/>
    <w:lvl w:ilvl="0">
      <w:lvlJc w:val="left"/>
      <w:lvlText w:val="(%1)"/>
      <w:numFmt w:val="lowerLetter"/>
      <w:start w:val="6"/>
    </w:lvl>
  </w:abstractNum>
  <w:abstractNum w:abstractNumId="62">
    <w:nsid w:val="6EAA85FB"/>
    <w:multiLevelType w:val="hybridMultilevel"/>
    <w:lvl w:ilvl="0">
      <w:lvlJc w:val="left"/>
      <w:lvlText w:val="(%1)"/>
      <w:numFmt w:val="lowerLetter"/>
      <w:start w:val="1"/>
    </w:lvl>
  </w:abstractNum>
  <w:abstractNum w:abstractNumId="63">
    <w:nsid w:val="3F06ECB2"/>
    <w:multiLevelType w:val="hybridMultilevel"/>
    <w:lvl w:ilvl="0">
      <w:lvlJc w:val="left"/>
      <w:lvlText w:val="(%1)"/>
      <w:numFmt w:val="lowerLetter"/>
      <w:start w:val="5"/>
    </w:lvl>
  </w:abstractNum>
  <w:abstractNum w:abstractNumId="64">
    <w:nsid w:val="3B594807"/>
    <w:multiLevelType w:val="hybridMultilevel"/>
    <w:lvl w:ilvl="0">
      <w:lvlJc w:val="left"/>
      <w:lvlText w:val="(%1)"/>
      <w:numFmt w:val="lowerLetter"/>
      <w:start w:val="1"/>
    </w:lvl>
  </w:abstractNum>
  <w:abstractNum w:abstractNumId="65">
    <w:nsid w:val="6CAA2304"/>
    <w:multiLevelType w:val="hybridMultilevel"/>
    <w:lvl w:ilvl="0">
      <w:lvlJc w:val="left"/>
      <w:lvlText w:val="(%1)"/>
      <w:numFmt w:val="lowerRoman"/>
      <w:start w:val="10"/>
    </w:lvl>
  </w:abstractNum>
  <w:abstractNum w:abstractNumId="66">
    <w:nsid w:val="3F7C2FF4"/>
    <w:multiLevelType w:val="hybridMultilevel"/>
    <w:lvl w:ilvl="0">
      <w:lvlJc w:val="left"/>
      <w:lvlText w:val="(%1)"/>
      <w:numFmt w:val="decimal"/>
      <w:start w:val="1"/>
    </w:lvl>
    <w:lvl w:ilvl="1">
      <w:lvlJc w:val="left"/>
      <w:lvlText w:val="(%2)"/>
      <w:numFmt w:val="lowerLetter"/>
      <w:start w:val="2"/>
    </w:lvl>
  </w:abstractNum>
  <w:abstractNum w:abstractNumId="67">
    <w:nsid w:val="25413BEC"/>
    <w:multiLevelType w:val="hybridMultilevel"/>
    <w:lvl w:ilvl="0">
      <w:lvlJc w:val="left"/>
      <w:lvlText w:val="(%1)"/>
      <w:numFmt w:val="lowerLetter"/>
      <w:start w:val="3"/>
    </w:lvl>
  </w:abstractNum>
  <w:abstractNum w:abstractNumId="68">
    <w:nsid w:val="17180B0B"/>
    <w:multiLevelType w:val="hybridMultilevel"/>
    <w:lvl w:ilvl="0">
      <w:lvlJc w:val="left"/>
      <w:lvlText w:val="(%1)"/>
      <w:numFmt w:val="lowerLetter"/>
      <w:start w:val="1"/>
    </w:lvl>
  </w:abstractNum>
  <w:abstractNum w:abstractNumId="69">
    <w:nsid w:val="579328B9"/>
    <w:multiLevelType w:val="hybridMultilevel"/>
    <w:lvl w:ilvl="0">
      <w:lvlJc w:val="left"/>
      <w:lvlText w:val="(%1)"/>
      <w:numFmt w:val="lowerLetter"/>
      <w:start w:val="2"/>
    </w:lvl>
  </w:abstractNum>
  <w:abstractNum w:abstractNumId="70">
    <w:nsid w:val="5D205E20"/>
    <w:multiLevelType w:val="hybridMultilevel"/>
    <w:lvl w:ilvl="0">
      <w:lvlJc w:val="left"/>
      <w:lvlText w:val="(%1)"/>
      <w:numFmt w:val="lowerRoman"/>
      <w:start w:val="1"/>
    </w:lvl>
  </w:abstractNum>
  <w:abstractNum w:abstractNumId="71">
    <w:nsid w:val="11CCA8BA"/>
    <w:multiLevelType w:val="hybridMultilevel"/>
    <w:lvl w:ilvl="0">
      <w:lvlJc w:val="left"/>
      <w:lvlText w:val="(%1)"/>
      <w:numFmt w:val="lowerLetter"/>
      <w:start w:val="2"/>
    </w:lvl>
  </w:abstractNum>
  <w:abstractNum w:abstractNumId="72">
    <w:nsid w:val="4D32AB86"/>
    <w:multiLevelType w:val="hybridMultilevel"/>
    <w:lvl w:ilvl="0">
      <w:lvlJc w:val="left"/>
      <w:lvlText w:val="(%1)"/>
      <w:numFmt w:val="lowerLetter"/>
      <w:start w:val="5"/>
    </w:lvl>
  </w:abstractNum>
  <w:abstractNum w:abstractNumId="73">
    <w:nsid w:val="3F07ACC3"/>
    <w:multiLevelType w:val="hybridMultilevel"/>
    <w:lvl w:ilvl="0">
      <w:lvlJc w:val="left"/>
      <w:lvlText w:val="(%1)"/>
      <w:numFmt w:val="lowerLetter"/>
      <w:start w:val="7"/>
    </w:lvl>
  </w:abstractNum>
  <w:abstractNum w:abstractNumId="74">
    <w:nsid w:val="6B47F63E"/>
    <w:multiLevelType w:val="hybridMultilevel"/>
    <w:lvl w:ilvl="0">
      <w:lvlJc w:val="left"/>
      <w:lvlText w:val="(%1)"/>
      <w:numFmt w:val="lowerLetter"/>
      <w:start w:val="2"/>
    </w:lvl>
    <w:lvl w:ilvl="1">
      <w:lvlJc w:val="left"/>
      <w:lvlText w:val="(%2)"/>
      <w:numFmt w:val="lowerLetter"/>
      <w:start w:val="4"/>
    </w:lvl>
  </w:abstractNum>
  <w:abstractNum w:abstractNumId="75">
    <w:nsid w:val="5CB44A05"/>
    <w:multiLevelType w:val="hybridMultilevel"/>
    <w:lvl w:ilvl="0">
      <w:lvlJc w:val="left"/>
      <w:lvlText w:val="(%1)"/>
      <w:numFmt w:val="lowerLetter"/>
      <w:start w:val="1"/>
    </w:lvl>
  </w:abstractNum>
  <w:abstractNum w:abstractNumId="76">
    <w:nsid w:val="16CF80F1"/>
    <w:multiLevelType w:val="hybridMultilevel"/>
    <w:lvl w:ilvl="0">
      <w:lvlJc w:val="left"/>
      <w:lvlText w:val="(%1)"/>
      <w:numFmt w:val="lowerLetter"/>
      <w:start w:val="3"/>
    </w:lvl>
  </w:abstractNum>
  <w:abstractNum w:abstractNumId="77">
    <w:nsid w:val="1C695DEC"/>
    <w:multiLevelType w:val="hybridMultilevel"/>
    <w:lvl w:ilvl="0">
      <w:lvlJc w:val="left"/>
      <w:lvlText w:val="(%1)"/>
      <w:numFmt w:val="decimal"/>
      <w:start w:val="2"/>
    </w:lvl>
  </w:abstractNum>
  <w:abstractNum w:abstractNumId="78">
    <w:nsid w:val="3FCFAED9"/>
    <w:multiLevelType w:val="hybridMultilevel"/>
    <w:lvl w:ilvl="0">
      <w:lvlJc w:val="left"/>
      <w:lvlText w:val="(%1)"/>
      <w:numFmt w:val="lowerLetter"/>
      <w:start w:val="1"/>
    </w:lvl>
  </w:abstractNum>
  <w:abstractNum w:abstractNumId="79">
    <w:nsid w:val="F856867"/>
    <w:multiLevelType w:val="hybridMultilevel"/>
    <w:lvl w:ilvl="0">
      <w:lvlJc w:val="left"/>
      <w:lvlText w:val="%1"/>
      <w:numFmt w:val="lowerLetter"/>
      <w:start w:val="1"/>
    </w:lvl>
    <w:lvl w:ilvl="1">
      <w:lvlJc w:val="left"/>
      <w:lvlText w:val="(%2)"/>
      <w:numFmt w:val="lowerLetter"/>
      <w:start w:val="1"/>
    </w:lvl>
  </w:abstractNum>
  <w:abstractNum w:abstractNumId="80">
    <w:nsid w:val="11B1CC33"/>
    <w:multiLevelType w:val="hybridMultilevel"/>
    <w:lvl w:ilvl="0">
      <w:lvlJc w:val="left"/>
      <w:lvlText w:val="(%1)"/>
      <w:numFmt w:val="lowerLetter"/>
      <w:start w:val="35"/>
    </w:lvl>
    <w:lvl w:ilvl="1">
      <w:lvlJc w:val="left"/>
      <w:lvlText w:val="%2"/>
      <w:numFmt w:val="lowerLetter"/>
      <w:start w:val="1"/>
    </w:lvl>
  </w:abstractNum>
  <w:abstractNum w:abstractNumId="81">
    <w:nsid w:val="2E22FBB7"/>
    <w:multiLevelType w:val="hybridMultilevel"/>
    <w:lvl w:ilvl="0">
      <w:lvlJc w:val="left"/>
      <w:lvlText w:val="(%1)"/>
      <w:numFmt w:val="lowerLetter"/>
      <w:start w:val="9"/>
    </w:lvl>
    <w:lvl w:ilvl="1">
      <w:lvlJc w:val="left"/>
      <w:lvlText w:val="(%2)"/>
      <w:numFmt w:val="lowerLetter"/>
      <w:start w:val="2"/>
    </w:lvl>
  </w:abstractNum>
  <w:abstractNum w:abstractNumId="82">
    <w:nsid w:val="29934699"/>
    <w:multiLevelType w:val="hybridMultilevel"/>
    <w:lvl w:ilvl="0">
      <w:lvlJc w:val="left"/>
      <w:lvlText w:val="(%1)"/>
      <w:numFmt w:val="lowerRoman"/>
      <w:start w:val="4"/>
    </w:lvl>
  </w:abstractNum>
  <w:abstractNum w:abstractNumId="83">
    <w:nsid w:val="77485850"/>
    <w:multiLevelType w:val="hybridMultilevel"/>
    <w:lvl w:ilvl="0">
      <w:lvlJc w:val="left"/>
      <w:lvlText w:val="(%1)"/>
      <w:numFmt w:val="lowerLetter"/>
      <w:start w:val="1"/>
    </w:lvl>
  </w:abstractNum>
  <w:abstractNum w:abstractNumId="84">
    <w:nsid w:val="744939A3"/>
    <w:multiLevelType w:val="hybridMultilevel"/>
    <w:lvl w:ilvl="0">
      <w:lvlJc w:val="left"/>
      <w:lvlText w:val="(%1)"/>
      <w:numFmt w:val="lowerLetter"/>
      <w:start w:val="1"/>
    </w:lvl>
    <w:lvl w:ilvl="1">
      <w:lvlJc w:val="left"/>
      <w:lvlText w:val="(%2)"/>
      <w:numFmt w:val="lowerRoman"/>
      <w:start w:val="1"/>
    </w:lvl>
  </w:abstractNum>
  <w:abstractNum w:abstractNumId="85">
    <w:nsid w:val="4FA0D2E3"/>
    <w:multiLevelType w:val="hybridMultilevel"/>
    <w:lvl w:ilvl="0">
      <w:lvlJc w:val="left"/>
      <w:lvlText w:val="%1"/>
      <w:numFmt w:val="lowerLetter"/>
      <w:start w:val="1"/>
    </w:lvl>
    <w:lvl w:ilvl="1">
      <w:lvlJc w:val="left"/>
      <w:lvlText w:val="(%2)"/>
      <w:numFmt w:val="lowerRoman"/>
      <w:start w:val="11"/>
    </w:lvl>
  </w:abstractNum>
  <w:abstractNum w:abstractNumId="86">
    <w:nsid w:val="6B1D2C14"/>
    <w:multiLevelType w:val="hybridMultilevel"/>
    <w:lvl w:ilvl="0">
      <w:lvlJc w:val="left"/>
      <w:lvlText w:val="(%1)"/>
      <w:numFmt w:val="lowerLetter"/>
      <w:start w:val="2"/>
    </w:lvl>
    <w:lvl w:ilvl="1">
      <w:lvlJc w:val="left"/>
      <w:lvlText w:val="%2"/>
      <w:numFmt w:val="lowerRoman"/>
      <w:start w:val="1"/>
    </w:lvl>
  </w:abstractNum>
  <w:abstractNum w:abstractNumId="87">
    <w:nsid w:val="68B867D3"/>
    <w:multiLevelType w:val="hybridMultilevel"/>
    <w:lvl w:ilvl="0">
      <w:lvlJc w:val="left"/>
      <w:lvlText w:val="(%1)"/>
      <w:numFmt w:val="lowerRoman"/>
      <w:start w:val="2"/>
    </w:lvl>
  </w:abstractNum>
  <w:abstractNum w:abstractNumId="88">
    <w:nsid w:val="3F7F5DD9"/>
    <w:multiLevelType w:val="hybridMultilevel"/>
    <w:lvl w:ilvl="0">
      <w:lvlJc w:val="left"/>
      <w:lvlText w:val="(%1)"/>
      <w:numFmt w:val="lowerLetter"/>
      <w:start w:val="3"/>
    </w:lvl>
  </w:abstractNum>
  <w:abstractNum w:abstractNumId="89">
    <w:nsid w:val="2AE05A34"/>
    <w:multiLevelType w:val="hybridMultilevel"/>
    <w:lvl w:ilvl="0">
      <w:lvlJc w:val="left"/>
      <w:lvlText w:val="(%1)"/>
      <w:numFmt w:val="lowerLetter"/>
      <w:start w:val="4"/>
    </w:lvl>
  </w:abstractNum>
  <w:abstractNum w:abstractNumId="90">
    <w:nsid w:val="32794FF7"/>
    <w:multiLevelType w:val="hybridMultilevel"/>
    <w:lvl w:ilvl="0">
      <w:lvlJc w:val="left"/>
      <w:lvlText w:val="(%1)"/>
      <w:numFmt w:val="lowerRoman"/>
      <w:start w:val="10"/>
    </w:lvl>
  </w:abstractNum>
  <w:abstractNum w:abstractNumId="91">
    <w:nsid w:val="5454945E"/>
    <w:multiLevelType w:val="hybridMultilevel"/>
    <w:lvl w:ilvl="0">
      <w:lvlJc w:val="left"/>
      <w:lvlText w:val="(%1)"/>
      <w:numFmt w:val="lowerRoman"/>
      <w:start w:val="10"/>
    </w:lvl>
  </w:abstractNum>
  <w:abstractNum w:abstractNumId="92">
    <w:nsid w:val="4DEFDFA0"/>
    <w:multiLevelType w:val="hybridMultilevel"/>
    <w:lvl w:ilvl="0">
      <w:lvlJc w:val="left"/>
      <w:lvlText w:val="(%1)"/>
      <w:numFmt w:val="lowerRoman"/>
      <w:start w:val="2"/>
    </w:lvl>
  </w:abstractNum>
  <w:abstractNum w:abstractNumId="93">
    <w:nsid w:val="2123D5F2"/>
    <w:multiLevelType w:val="hybridMultilevel"/>
    <w:lvl w:ilvl="0">
      <w:lvlJc w:val="left"/>
      <w:lvlText w:val="(%1)"/>
      <w:numFmt w:val="lowerLetter"/>
      <w:start w:val="2"/>
    </w:lvl>
  </w:abstractNum>
  <w:abstractNum w:abstractNumId="94">
    <w:nsid w:val="135B8110"/>
    <w:multiLevelType w:val="hybridMultilevel"/>
    <w:lvl w:ilvl="0">
      <w:lvlJc w:val="left"/>
      <w:lvlText w:val="(%1)"/>
      <w:numFmt w:val="lowerLetter"/>
      <w:start w:val="1"/>
    </w:lvl>
  </w:abstractNum>
  <w:abstractNum w:abstractNumId="95">
    <w:nsid w:val="94927A8"/>
    <w:multiLevelType w:val="hybridMultilevel"/>
    <w:lvl w:ilvl="0">
      <w:lvlJc w:val="left"/>
      <w:lvlText w:val="(%1)"/>
      <w:numFmt w:val="lowerRoman"/>
      <w:start w:val="2"/>
    </w:lvl>
  </w:abstractNum>
  <w:abstractNum w:abstractNumId="96">
    <w:nsid w:val="DCDF8F6"/>
    <w:multiLevelType w:val="hybridMultilevel"/>
    <w:lvl w:ilvl="0">
      <w:lvlJc w:val="left"/>
      <w:lvlText w:val="(%1)"/>
      <w:numFmt w:val="lowerRoman"/>
      <w:start w:val="2"/>
    </w:lvl>
  </w:abstractNum>
  <w:abstractNum w:abstractNumId="97">
    <w:nsid w:val="52D7B105"/>
    <w:multiLevelType w:val="hybridMultilevel"/>
    <w:lvl w:ilvl="0">
      <w:lvlJc w:val="left"/>
      <w:lvlText w:val="(%1)"/>
      <w:numFmt w:val="lowerLetter"/>
      <w:start w:val="2"/>
    </w:lvl>
  </w:abstractNum>
  <w:abstractNum w:abstractNumId="98">
    <w:nsid w:val="2E8A6394"/>
    <w:multiLevelType w:val="hybridMultilevel"/>
    <w:lvl w:ilvl="0">
      <w:lvlJc w:val="left"/>
      <w:lvlText w:val="(%1)"/>
      <w:numFmt w:val="lowerLetter"/>
      <w:start w:val="5"/>
    </w:lvl>
  </w:abstractNum>
  <w:abstractNum w:abstractNumId="99">
    <w:nsid w:val="24E60401"/>
    <w:multiLevelType w:val="hybridMultilevel"/>
    <w:lvl w:ilvl="0">
      <w:lvlJc w:val="left"/>
      <w:lvlText w:val="(%1)"/>
      <w:numFmt w:val="lowerLetter"/>
      <w:start w:val="4"/>
    </w:lvl>
  </w:abstractNum>
  <w:abstractNum w:abstractNumId="100">
    <w:nsid w:val="2A6AD9BE"/>
    <w:multiLevelType w:val="hybridMultilevel"/>
    <w:lvl w:ilvl="0">
      <w:lvlJc w:val="left"/>
      <w:lvlText w:val="(%1)"/>
      <w:numFmt w:val="lowerLetter"/>
      <w:start w:val="35"/>
    </w:lvl>
  </w:abstractNum>
  <w:abstractNum w:abstractNumId="101">
    <w:nsid w:val="BAAC1B4"/>
    <w:multiLevelType w:val="hybridMultilevel"/>
    <w:lvl w:ilvl="0">
      <w:lvlJc w:val="left"/>
      <w:lvlText w:val="(%1)"/>
      <w:numFmt w:val="decimal"/>
      <w:start w:val="5"/>
    </w:lvl>
    <w:lvl w:ilvl="1">
      <w:lvlJc w:val="left"/>
      <w:lvlText w:val="(%2)"/>
      <w:numFmt w:val="lowerLetter"/>
      <w:start w:val="1"/>
    </w:lvl>
  </w:abstractNum>
  <w:abstractNum w:abstractNumId="102">
    <w:nsid w:val="36B2ACBC"/>
    <w:multiLevelType w:val="hybridMultilevel"/>
    <w:lvl w:ilvl="0">
      <w:lvlJc w:val="left"/>
      <w:lvlText w:val="(%1)"/>
      <w:numFmt w:val="lowerLetter"/>
      <w:start w:val="3"/>
    </w:lvl>
  </w:abstractNum>
  <w:abstractNum w:abstractNumId="103">
    <w:nsid w:val="779D8544"/>
    <w:multiLevelType w:val="hybridMultilevel"/>
    <w:lvl w:ilvl="0">
      <w:lvlJc w:val="left"/>
      <w:lvlText w:val="(%1)"/>
      <w:numFmt w:val="lowerLetter"/>
      <w:start w:val="3"/>
    </w:lvl>
  </w:abstractNum>
  <w:abstractNum w:abstractNumId="104">
    <w:nsid w:val="4AB26E78"/>
    <w:multiLevelType w:val="hybridMultilevel"/>
    <w:lvl w:ilvl="0">
      <w:lvlJc w:val="left"/>
      <w:lvlText w:val="(%1)"/>
      <w:numFmt w:val="lowerRoman"/>
      <w:start w:val="1"/>
    </w:lvl>
  </w:abstractNum>
  <w:abstractNum w:abstractNumId="105">
    <w:nsid w:val="21FAA2FA"/>
    <w:multiLevelType w:val="hybridMultilevel"/>
    <w:lvl w:ilvl="0">
      <w:lvlJc w:val="left"/>
      <w:lvlText w:val="(%1)"/>
      <w:numFmt w:val="lowerRoman"/>
      <w:start w:val="2"/>
    </w:lvl>
  </w:abstractNum>
  <w:abstractNum w:abstractNumId="106">
    <w:nsid w:val="5451CF49"/>
    <w:multiLevelType w:val="hybridMultilevel"/>
    <w:lvl w:ilvl="0">
      <w:lvlJc w:val="left"/>
      <w:lvlText w:val="(%1)"/>
      <w:numFmt w:val="lowerRoman"/>
      <w:start w:val="7"/>
    </w:lvl>
  </w:abstractNum>
  <w:abstractNum w:abstractNumId="107">
    <w:nsid w:val="6181EF69"/>
    <w:multiLevelType w:val="hybridMultilevel"/>
    <w:lvl w:ilvl="0">
      <w:lvlJc w:val="left"/>
      <w:lvlText w:val="(%1)"/>
      <w:numFmt w:val="lowerLetter"/>
      <w:start w:val="4"/>
    </w:lvl>
  </w:abstractNum>
  <w:abstractNum w:abstractNumId="108">
    <w:nsid w:val="3E6400E6"/>
    <w:multiLevelType w:val="hybridMultilevel"/>
    <w:lvl w:ilvl="0">
      <w:lvlJc w:val="left"/>
      <w:lvlText w:val="(%1)"/>
      <w:numFmt w:val="lowerRoman"/>
      <w:start w:val="2"/>
    </w:lvl>
  </w:abstractNum>
  <w:abstractNum w:abstractNumId="109">
    <w:nsid w:val="14217E23"/>
    <w:multiLevelType w:val="hybridMultilevel"/>
    <w:lvl w:ilvl="0">
      <w:lvlJc w:val="left"/>
      <w:lvlText w:val="(%1)"/>
      <w:numFmt w:val="lowerLetter"/>
      <w:start w:val="1"/>
    </w:lvl>
  </w:abstractNum>
  <w:abstractNum w:abstractNumId="110">
    <w:nsid w:val="710757D0"/>
    <w:multiLevelType w:val="hybridMultilevel"/>
    <w:lvl w:ilvl="0">
      <w:lvlJc w:val="left"/>
      <w:lvlText w:val="(%1)"/>
      <w:numFmt w:val="lowerLetter"/>
      <w:start w:val="7"/>
    </w:lvl>
  </w:abstractNum>
  <w:abstractNum w:abstractNumId="111">
    <w:nsid w:val="5015CD1A"/>
    <w:multiLevelType w:val="hybridMultilevel"/>
    <w:lvl w:ilvl="0">
      <w:lvlJc w:val="left"/>
      <w:lvlText w:val="(%1)"/>
      <w:numFmt w:val="lowerLetter"/>
      <w:start w:val="1"/>
    </w:lvl>
  </w:abstractNum>
  <w:abstractNum w:abstractNumId="112">
    <w:nsid w:val="424479DA"/>
    <w:multiLevelType w:val="hybridMultilevel"/>
    <w:lvl w:ilvl="0">
      <w:lvlJc w:val="left"/>
      <w:lvlText w:val="(%1)"/>
      <w:numFmt w:val="lowerLetter"/>
      <w:start w:val="9"/>
    </w:lvl>
  </w:abstractNum>
  <w:abstractNum w:abstractNumId="113">
    <w:nsid w:val="1A9A9E69"/>
    <w:multiLevelType w:val="hybridMultilevel"/>
    <w:lvl w:ilvl="0">
      <w:lvlJc w:val="left"/>
      <w:lvlText w:val="(%1)"/>
      <w:numFmt w:val="lowerLetter"/>
      <w:start w:val="2"/>
    </w:lvl>
  </w:abstractNum>
  <w:abstractNum w:abstractNumId="114">
    <w:nsid w:val="475E256A"/>
    <w:multiLevelType w:val="hybridMultilevel"/>
    <w:lvl w:ilvl="0">
      <w:lvlJc w:val="left"/>
      <w:lvlText w:val="(%1)"/>
      <w:numFmt w:val="lowerRoman"/>
      <w:start w:val="1"/>
    </w:lvl>
  </w:abstractNum>
  <w:abstractNum w:abstractNumId="115">
    <w:nsid w:val="368DB37E"/>
    <w:multiLevelType w:val="hybridMultilevel"/>
    <w:lvl w:ilvl="0">
      <w:lvlJc w:val="left"/>
      <w:lvlText w:val="(%1)"/>
      <w:numFmt w:val="lowerRoman"/>
      <w:start w:val="1"/>
    </w:lvl>
  </w:abstractNum>
  <w:abstractNum w:abstractNumId="116">
    <w:nsid w:val="6A3B714C"/>
    <w:multiLevelType w:val="hybridMultilevel"/>
    <w:lvl w:ilvl="0">
      <w:lvlJc w:val="left"/>
      <w:lvlText w:val="(%1)"/>
      <w:numFmt w:val="lowerLetter"/>
      <w:start w:val="5"/>
    </w:lvl>
  </w:abstractNum>
  <w:abstractNum w:abstractNumId="117">
    <w:nsid w:val="327B517E"/>
    <w:multiLevelType w:val="hybridMultilevel"/>
    <w:lvl w:ilvl="0">
      <w:lvlJc w:val="left"/>
      <w:lvlText w:val="(%1)"/>
      <w:numFmt w:val="lowerLetter"/>
      <w:start w:val="1"/>
    </w:lvl>
  </w:abstractNum>
  <w:abstractNum w:abstractNumId="118">
    <w:nsid w:val="1F461B51"/>
    <w:multiLevelType w:val="hybridMultilevel"/>
    <w:lvl w:ilvl="0">
      <w:lvlJc w:val="left"/>
      <w:lvlText w:val="(%1)"/>
      <w:numFmt w:val="lowerLetter"/>
      <w:start w:val="5"/>
    </w:lvl>
  </w:abstractNum>
  <w:abstractNum w:abstractNumId="119">
    <w:nsid w:val="29BACF25"/>
    <w:multiLevelType w:val="hybridMultilevel"/>
    <w:lvl w:ilvl="0">
      <w:lvlJc w:val="left"/>
      <w:lvlText w:val="%1"/>
      <w:numFmt w:val="lowerRoman"/>
      <w:start w:val="1"/>
    </w:lvl>
    <w:lvl w:ilvl="1">
      <w:lvlJc w:val="left"/>
      <w:lvlText w:val="%2."/>
      <w:numFmt w:val="upperLetter"/>
      <w:start w:val="1"/>
    </w:lvl>
  </w:abstractNum>
  <w:abstractNum w:abstractNumId="120">
    <w:nsid w:val="5D5BABB3"/>
    <w:multiLevelType w:val="hybridMultilevel"/>
    <w:lvl w:ilvl="0">
      <w:lvlJc w:val="left"/>
      <w:lvlText w:val="(%1)"/>
      <w:numFmt w:val="lowerRoman"/>
      <w:start w:val="2"/>
    </w:lvl>
    <w:lvl w:ilvl="1">
      <w:lvlJc w:val="left"/>
      <w:lvlText w:val="%2"/>
      <w:numFmt w:val="upperLetter"/>
      <w:start w:val="1"/>
    </w:lvl>
  </w:abstractNum>
  <w:abstractNum w:abstractNumId="121">
    <w:nsid w:val="51BF6B48"/>
    <w:multiLevelType w:val="hybridMultilevel"/>
    <w:lvl w:ilvl="0">
      <w:lvlJc w:val="left"/>
      <w:lvlText w:val="(%1)"/>
      <w:numFmt w:val="lowerLetter"/>
      <w:start w:val="2"/>
    </w:lvl>
  </w:abstractNum>
  <w:abstractNum w:abstractNumId="122">
    <w:nsid w:val="7E0F6384"/>
    <w:multiLevelType w:val="hybridMultilevel"/>
    <w:lvl w:ilvl="0">
      <w:lvlJc w:val="left"/>
      <w:lvlText w:val="(%1)"/>
      <w:numFmt w:val="lowerLetter"/>
      <w:start w:val="2"/>
    </w:lvl>
  </w:abstractNum>
  <w:abstractNum w:abstractNumId="123">
    <w:nsid w:val="2B4B8B53"/>
    <w:multiLevelType w:val="hybridMultilevel"/>
    <w:lvl w:ilvl="0">
      <w:lvlJc w:val="left"/>
      <w:lvlText w:val="(%1)"/>
      <w:numFmt w:val="lowerLetter"/>
      <w:start w:val="2"/>
    </w:lvl>
  </w:abstractNum>
  <w:abstractNum w:abstractNumId="124">
    <w:nsid w:val="72E3413A"/>
    <w:multiLevelType w:val="hybridMultilevel"/>
    <w:lvl w:ilvl="0">
      <w:lvlJc w:val="left"/>
      <w:lvlText w:val="(%1)"/>
      <w:numFmt w:val="decimal"/>
      <w:start w:val="15"/>
    </w:lvl>
  </w:abstractNum>
  <w:abstractNum w:abstractNumId="125">
    <w:nsid w:val="116AE494"/>
    <w:multiLevelType w:val="hybridMultilevel"/>
    <w:lvl w:ilvl="0">
      <w:lvlJc w:val="left"/>
      <w:lvlText w:val="(%1)"/>
      <w:numFmt w:val="lowerLetter"/>
      <w:start w:val="2"/>
    </w:lvl>
  </w:abstractNum>
  <w:abstractNum w:abstractNumId="126">
    <w:nsid w:val="3494B2FB"/>
    <w:multiLevelType w:val="hybridMultilevel"/>
    <w:lvl w:ilvl="0">
      <w:lvlJc w:val="left"/>
      <w:lvlText w:val="(%1)"/>
      <w:numFmt w:val="lowerRoman"/>
      <w:start w:val="3"/>
    </w:lvl>
  </w:abstractNum>
  <w:abstractNum w:abstractNumId="127">
    <w:nsid w:val="B13A31"/>
    <w:multiLevelType w:val="hybridMultilevel"/>
    <w:lvl w:ilvl="0">
      <w:lvlJc w:val="left"/>
      <w:lvlText w:val="(%1)"/>
      <w:numFmt w:val="lowerRoman"/>
      <w:start w:val="1"/>
    </w:lvl>
  </w:abstractNum>
  <w:abstractNum w:abstractNumId="128">
    <w:nsid w:val="64429599"/>
    <w:multiLevelType w:val="hybridMultilevel"/>
    <w:lvl w:ilvl="0">
      <w:lvlJc w:val="left"/>
      <w:lvlText w:val="(%1)"/>
      <w:numFmt w:val="lowerLetter"/>
      <w:start w:val="2"/>
    </w:lvl>
    <w:lvl w:ilvl="1">
      <w:lvlJc w:val="left"/>
      <w:lvlText w:val="(%2)"/>
      <w:numFmt w:val="lowerRoman"/>
      <w:start w:val="1"/>
    </w:lvl>
  </w:abstractNum>
  <w:abstractNum w:abstractNumId="129">
    <w:nsid w:val="631F1690"/>
    <w:multiLevelType w:val="hybridMultilevel"/>
    <w:lvl w:ilvl="0">
      <w:lvlJc w:val="left"/>
      <w:lvlText w:val="(%1)"/>
      <w:numFmt w:val="lowerRoman"/>
      <w:start w:val="5"/>
    </w:lvl>
  </w:abstractNum>
  <w:abstractNum w:abstractNumId="130">
    <w:nsid w:val="25973E32"/>
    <w:multiLevelType w:val="hybridMultilevel"/>
    <w:lvl w:ilvl="0">
      <w:lvlJc w:val="left"/>
      <w:lvlText w:val="(%1)"/>
      <w:numFmt w:val="lowerRoman"/>
      <w:start w:val="1"/>
    </w:lvl>
  </w:abstractNum>
  <w:abstractNum w:abstractNumId="131">
    <w:nsid w:val="EAD6F57"/>
    <w:multiLevelType w:val="hybridMultilevel"/>
    <w:lvl w:ilvl="0">
      <w:lvlJc w:val="left"/>
      <w:lvlText w:val="(%1)"/>
      <w:numFmt w:val="lowerLetter"/>
      <w:start w:val="2"/>
    </w:lvl>
  </w:abstractNum>
  <w:abstractNum w:abstractNumId="132">
    <w:nsid w:val="6EC9D844"/>
    <w:multiLevelType w:val="hybridMultilevel"/>
    <w:lvl w:ilvl="0">
      <w:lvlJc w:val="left"/>
      <w:lvlText w:val="(%1)"/>
      <w:numFmt w:val="lowerLetter"/>
      <w:start w:val="4"/>
    </w:lvl>
  </w:abstractNum>
  <w:abstractNum w:abstractNumId="133">
    <w:nsid w:val="5C49EAEE"/>
    <w:multiLevelType w:val="hybridMultilevel"/>
    <w:lvl w:ilvl="0">
      <w:lvlJc w:val="left"/>
      <w:lvlText w:val="%1"/>
      <w:numFmt w:val="lowerLetter"/>
      <w:start w:val="1"/>
    </w:lvl>
    <w:lvl w:ilvl="1">
      <w:lvlJc w:val="left"/>
      <w:lvlText w:val="(%2)"/>
      <w:numFmt w:val="lowerRoman"/>
      <w:start w:val="1"/>
    </w:lvl>
  </w:abstractNum>
  <w:abstractNum w:abstractNumId="134">
    <w:nsid w:val="64AF49B"/>
    <w:multiLevelType w:val="hybridMultilevel"/>
    <w:lvl w:ilvl="0">
      <w:lvlJc w:val="left"/>
      <w:lvlText w:val="(%1)"/>
      <w:numFmt w:val="lowerLetter"/>
      <w:start w:val="2"/>
    </w:lvl>
    <w:lvl w:ilvl="1">
      <w:lvlJc w:val="left"/>
      <w:lvlText w:val="%2"/>
      <w:numFmt w:val="lowerRoman"/>
      <w:start w:val="1"/>
    </w:lvl>
  </w:abstractNum>
  <w:abstractNum w:abstractNumId="135">
    <w:nsid w:val="397C46BC"/>
    <w:multiLevelType w:val="hybridMultilevel"/>
    <w:lvl w:ilvl="0">
      <w:lvlJc w:val="left"/>
      <w:lvlText w:val="(%1)"/>
      <w:numFmt w:val="lowerLetter"/>
      <w:start w:val="3"/>
    </w:lvl>
  </w:abstractNum>
  <w:abstractNum w:abstractNumId="136">
    <w:nsid w:val="7E448DE9"/>
    <w:multiLevelType w:val="hybridMultilevel"/>
    <w:lvl w:ilvl="0">
      <w:lvlJc w:val="left"/>
      <w:lvlText w:val="(%1)"/>
      <w:numFmt w:val="lowerLetter"/>
      <w:start w:val="2"/>
    </w:lvl>
  </w:abstractNum>
  <w:abstractNum w:abstractNumId="137">
    <w:nsid w:val="5A9CC3E5"/>
    <w:multiLevelType w:val="hybridMultilevel"/>
    <w:lvl w:ilvl="0">
      <w:lvlJc w:val="left"/>
      <w:lvlText w:val="(%1)"/>
      <w:numFmt w:val="lowerLetter"/>
      <w:start w:val="4"/>
    </w:lvl>
  </w:abstractNum>
  <w:abstractNum w:abstractNumId="138">
    <w:nsid w:val="1AFE3625"/>
    <w:multiLevelType w:val="hybridMultilevel"/>
    <w:lvl w:ilvl="0">
      <w:lvlJc w:val="left"/>
      <w:lvlText w:val="(%1)"/>
      <w:numFmt w:val="lowerLetter"/>
      <w:start w:val="35"/>
    </w:lvl>
  </w:abstractNum>
  <w:abstractNum w:abstractNumId="139">
    <w:nsid w:val="3CA88ECF"/>
    <w:multiLevelType w:val="hybridMultilevel"/>
    <w:lvl w:ilvl="0">
      <w:lvlJc w:val="left"/>
      <w:lvlText w:val="(%1)"/>
      <w:numFmt w:val="lowerLetter"/>
      <w:start w:val="9"/>
    </w:lvl>
  </w:abstractNum>
  <w:abstractNum w:abstractNumId="140">
    <w:nsid w:val="6EBE4208"/>
    <w:multiLevelType w:val="hybridMultilevel"/>
    <w:lvl w:ilvl="0">
      <w:lvlJc w:val="left"/>
      <w:lvlText w:val="(%1)"/>
      <w:numFmt w:val="decimal"/>
      <w:start w:val="3"/>
    </w:lvl>
  </w:abstractNum>
  <w:abstractNum w:abstractNumId="141">
    <w:nsid w:val="C058DF5"/>
    <w:multiLevelType w:val="hybridMultilevel"/>
    <w:lvl w:ilvl="0">
      <w:lvlJc w:val="left"/>
      <w:lvlText w:val="(%1)"/>
      <w:numFmt w:val="lowerLetter"/>
      <w:start w:val="1"/>
    </w:lvl>
  </w:abstractNum>
  <w:abstractNum w:abstractNumId="142">
    <w:nsid w:val="CBE5BE9"/>
    <w:multiLevelType w:val="hybridMultilevel"/>
    <w:lvl w:ilvl="0">
      <w:lvlJc w:val="left"/>
      <w:lvlText w:val="(%1)"/>
      <w:numFmt w:val="lowerLetter"/>
      <w:start w:val="2"/>
    </w:lvl>
  </w:abstractNum>
  <w:abstractNum w:abstractNumId="143">
    <w:nsid w:val="3102BBE2"/>
    <w:multiLevelType w:val="hybridMultilevel"/>
    <w:lvl w:ilvl="0">
      <w:lvlJc w:val="left"/>
      <w:lvlText w:val="%1"/>
      <w:numFmt w:val="decimal"/>
      <w:start w:val="1"/>
    </w:lvl>
    <w:lvl w:ilvl="1">
      <w:lvlJc w:val="left"/>
      <w:lvlText w:val="(%2)"/>
      <w:numFmt w:val="lowerLetter"/>
      <w:start w:val="2"/>
    </w:lvl>
  </w:abstractNum>
  <w:abstractNum w:abstractNumId="144">
    <w:nsid w:val="26A02C5E"/>
    <w:multiLevelType w:val="hybridMultilevel"/>
    <w:lvl w:ilvl="0">
      <w:lvlJc w:val="left"/>
      <w:lvlText w:val="(%1)"/>
      <w:numFmt w:val="decimal"/>
      <w:start w:val="1"/>
    </w:lvl>
    <w:lvl w:ilvl="1">
      <w:lvlJc w:val="left"/>
      <w:lvlText w:val="%2"/>
      <w:numFmt w:val="lowerLetter"/>
      <w:start w:val="1"/>
    </w:lvl>
  </w:abstractNum>
  <w:abstractNum w:abstractNumId="145">
    <w:nsid w:val="541C8153"/>
    <w:multiLevelType w:val="hybridMultilevel"/>
    <w:lvl w:ilvl="0">
      <w:lvlJc w:val="left"/>
      <w:lvlText w:val="(%1)"/>
      <w:numFmt w:val="lowerLetter"/>
      <w:start w:val="3"/>
    </w:lvl>
  </w:abstractNum>
  <w:abstractNum w:abstractNumId="146">
    <w:nsid w:val="67906F60"/>
    <w:multiLevelType w:val="hybridMultilevel"/>
    <w:lvl w:ilvl="0">
      <w:lvlJc w:val="left"/>
      <w:lvlText w:val="(%1)"/>
      <w:numFmt w:val="decimal"/>
      <w:start w:val="60"/>
    </w:lvl>
  </w:abstractNum>
  <w:abstractNum w:abstractNumId="147">
    <w:nsid w:val="10DB9DAA"/>
    <w:multiLevelType w:val="hybridMultilevel"/>
    <w:lvl w:ilvl="0">
      <w:lvlJc w:val="left"/>
      <w:lvlText w:val="(%1)"/>
      <w:numFmt w:val="lowerLetter"/>
      <w:start w:val="2"/>
    </w:lvl>
  </w:abstractNum>
  <w:abstractNum w:abstractNumId="148">
    <w:nsid w:val="697D2D2"/>
    <w:multiLevelType w:val="hybridMultilevel"/>
    <w:lvl w:ilvl="0">
      <w:lvlJc w:val="left"/>
      <w:lvlText w:val="(%1)"/>
      <w:numFmt w:val="lowerRoman"/>
      <w:start w:val="1"/>
    </w:lvl>
  </w:abstractNum>
  <w:abstractNum w:abstractNumId="149">
    <w:nsid w:val="6D68AB2"/>
    <w:multiLevelType w:val="hybridMultilevel"/>
    <w:lvl w:ilvl="0">
      <w:lvlJc w:val="left"/>
      <w:lvlText w:val="(%1)"/>
      <w:numFmt w:val="lowerLetter"/>
      <w:start w:val="1"/>
    </w:lvl>
  </w:abstractNum>
  <w:abstractNum w:abstractNumId="150">
    <w:nsid w:val="3A966CD0"/>
    <w:multiLevelType w:val="hybridMultilevel"/>
    <w:lvl w:ilvl="0">
      <w:lvlJc w:val="left"/>
      <w:lvlText w:val="(%1)"/>
      <w:numFmt w:val="lowerLetter"/>
      <w:start w:val="4"/>
    </w:lvl>
  </w:abstractNum>
  <w:abstractNum w:abstractNumId="151">
    <w:nsid w:val="63F37E85"/>
    <w:multiLevelType w:val="hybridMultilevel"/>
    <w:lvl w:ilvl="0">
      <w:lvlJc w:val="left"/>
      <w:lvlText w:val="(%1)"/>
      <w:numFmt w:val="lowerLetter"/>
      <w:start w:val="8"/>
    </w:lvl>
  </w:abstractNum>
  <w:abstractNum w:abstractNumId="152">
    <w:nsid w:val="5895F5FA"/>
    <w:multiLevelType w:val="hybridMultilevel"/>
    <w:lvl w:ilvl="0">
      <w:lvlJc w:val="left"/>
      <w:lvlText w:val="(%1)"/>
      <w:numFmt w:val="lowerLetter"/>
      <w:start w:val="12"/>
    </w:lvl>
  </w:abstractNum>
  <w:abstractNum w:abstractNumId="153">
    <w:nsid w:val="38A5D054"/>
    <w:multiLevelType w:val="hybridMultilevel"/>
    <w:lvl w:ilvl="0">
      <w:lvlJc w:val="left"/>
      <w:lvlText w:val="(%1)"/>
      <w:numFmt w:val="lowerLetter"/>
      <w:start w:val="1"/>
    </w:lvl>
  </w:abstractNum>
  <w:abstractNum w:abstractNumId="154">
    <w:nsid w:val="F3F09D8"/>
    <w:multiLevelType w:val="hybridMultilevel"/>
    <w:lvl w:ilvl="0">
      <w:lvlJc w:val="left"/>
      <w:lvlText w:val="(%1)"/>
      <w:numFmt w:val="lowerLetter"/>
      <w:start w:val="4"/>
    </w:lvl>
  </w:abstractNum>
  <w:abstractNum w:abstractNumId="155">
    <w:nsid w:val="4B793735"/>
    <w:multiLevelType w:val="hybridMultilevel"/>
    <w:lvl w:ilvl="0">
      <w:lvlJc w:val="left"/>
      <w:lvlText w:val="(%1)"/>
      <w:numFmt w:val="lowerLetter"/>
      <w:start w:val="8"/>
    </w:lvl>
  </w:abstractNum>
  <w:abstractNum w:abstractNumId="156">
    <w:nsid w:val="4A10B4E8"/>
    <w:multiLevelType w:val="hybridMultilevel"/>
    <w:lvl w:ilvl="0">
      <w:lvlJc w:val="left"/>
      <w:lvlText w:val="(%1)"/>
      <w:numFmt w:val="lowerLetter"/>
      <w:start w:val="1"/>
    </w:lvl>
  </w:abstractNum>
  <w:abstractNum w:abstractNumId="157">
    <w:nsid w:val="43D3BCD4"/>
    <w:multiLevelType w:val="hybridMultilevel"/>
    <w:lvl w:ilvl="0">
      <w:lvlJc w:val="left"/>
      <w:lvlText w:val="(%1)"/>
      <w:numFmt w:val="lowerLetter"/>
      <w:start w:val="2"/>
    </w:lvl>
  </w:abstractNum>
  <w:abstractNum w:abstractNumId="158">
    <w:nsid w:val="4C2A7166"/>
    <w:multiLevelType w:val="hybridMultilevel"/>
    <w:lvl w:ilvl="0">
      <w:lvlJc w:val="left"/>
      <w:lvlText w:val="(%1)"/>
      <w:numFmt w:val="lowerRoman"/>
      <w:start w:val="2"/>
    </w:lvl>
  </w:abstractNum>
  <w:abstractNum w:abstractNumId="159">
    <w:nsid w:val="2E534A82"/>
    <w:multiLevelType w:val="hybridMultilevel"/>
    <w:lvl w:ilvl="0">
      <w:lvlJc w:val="left"/>
      <w:lvlText w:val="(%1)"/>
      <w:numFmt w:val="lowerRoman"/>
      <w:start w:val="1"/>
    </w:lvl>
  </w:abstractNum>
  <w:abstractNum w:abstractNumId="160">
    <w:nsid w:val="26F2D364"/>
    <w:multiLevelType w:val="hybridMultilevel"/>
    <w:lvl w:ilvl="0">
      <w:lvlJc w:val="left"/>
      <w:lvlText w:val="(%1)"/>
      <w:numFmt w:val="lowerLetter"/>
      <w:start w:val="1"/>
    </w:lvl>
  </w:abstractNum>
  <w:abstractNum w:abstractNumId="161">
    <w:nsid w:val="71C1AF98"/>
    <w:multiLevelType w:val="hybridMultilevel"/>
    <w:lvl w:ilvl="0">
      <w:lvlJc w:val="left"/>
      <w:lvlText w:val="%1"/>
      <w:numFmt w:val="lowerLetter"/>
      <w:start w:val="1"/>
    </w:lvl>
    <w:lvl w:ilvl="1">
      <w:lvlJc w:val="left"/>
      <w:lvlText w:val="(%2)"/>
      <w:numFmt w:val="lowerLetter"/>
      <w:start w:val="6"/>
    </w:lvl>
  </w:abstractNum>
  <w:abstractNum w:abstractNumId="162">
    <w:nsid w:val="3D00B9D9"/>
    <w:multiLevelType w:val="hybridMultilevel"/>
    <w:lvl w:ilvl="0">
      <w:lvlJc w:val="left"/>
      <w:lvlText w:val="(%1)"/>
      <w:numFmt w:val="lowerLetter"/>
      <w:start w:val="7"/>
    </w:lvl>
    <w:lvl w:ilvl="1">
      <w:lvlJc w:val="left"/>
      <w:lvlText w:val="%2"/>
      <w:numFmt w:val="lowerLetter"/>
      <w:start w:val="1"/>
    </w:lvl>
  </w:abstractNum>
  <w:abstractNum w:abstractNumId="163">
    <w:nsid w:val="15BCABA8"/>
    <w:multiLevelType w:val="hybridMultilevel"/>
    <w:lvl w:ilvl="0">
      <w:lvlJc w:val="left"/>
      <w:lvlText w:val="(%1)"/>
      <w:numFmt w:val="lowerLetter"/>
      <w:start w:val="8"/>
    </w:lvl>
  </w:abstractNum>
  <w:abstractNum w:abstractNumId="164">
    <w:nsid w:val="4E0B9A87"/>
    <w:multiLevelType w:val="hybridMultilevel"/>
    <w:lvl w:ilvl="0">
      <w:lvlJc w:val="left"/>
      <w:lvlText w:val="(%1)"/>
      <w:numFmt w:val="lowerLetter"/>
      <w:start w:val="13"/>
    </w:lvl>
  </w:abstractNum>
  <w:abstractNum w:abstractNumId="165">
    <w:nsid w:val="434BAE75"/>
    <w:multiLevelType w:val="hybridMultilevel"/>
    <w:lvl w:ilvl="0">
      <w:lvlJc w:val="left"/>
      <w:lvlText w:val="(%1)"/>
      <w:numFmt w:val="lowerRoman"/>
      <w:start w:val="1"/>
    </w:lvl>
  </w:abstractNum>
  <w:abstractNum w:abstractNumId="166">
    <w:nsid w:val="4F38F265"/>
    <w:multiLevelType w:val="hybridMultilevel"/>
    <w:lvl w:ilvl="0">
      <w:lvlJc w:val="left"/>
      <w:lvlText w:val="(%1)"/>
      <w:numFmt w:val="lowerRoman"/>
      <w:start w:val="5"/>
    </w:lvl>
  </w:abstractNum>
  <w:abstractNum w:abstractNumId="167">
    <w:nsid w:val="4C502870"/>
    <w:multiLevelType w:val="hybridMultilevel"/>
    <w:lvl w:ilvl="0">
      <w:lvlJc w:val="left"/>
      <w:lvlText w:val="(%1)"/>
      <w:numFmt w:val="lowerLetter"/>
      <w:start w:val="1"/>
    </w:lvl>
    <w:lvl w:ilvl="1">
      <w:lvlJc w:val="left"/>
      <w:lvlText w:val="(%2)"/>
      <w:numFmt w:val="lowerRoman"/>
      <w:start w:val="1"/>
    </w:lvl>
  </w:abstractNum>
  <w:abstractNum w:abstractNumId="168">
    <w:nsid w:val="1DE8725A"/>
    <w:multiLevelType w:val="hybridMultilevel"/>
    <w:lvl w:ilvl="0">
      <w:lvlJc w:val="left"/>
      <w:lvlText w:val="%1"/>
      <w:numFmt w:val="lowerLetter"/>
      <w:start w:val="1"/>
    </w:lvl>
    <w:lvl w:ilvl="1">
      <w:lvlJc w:val="left"/>
      <w:lvlText w:val="(%2)"/>
      <w:numFmt w:val="lowerLetter"/>
      <w:start w:val="2"/>
    </w:lvl>
  </w:abstractNum>
  <w:abstractNum w:abstractNumId="169">
    <w:nsid w:val="6A37288A"/>
    <w:multiLevelType w:val="hybridMultilevel"/>
    <w:lvl w:ilvl="0">
      <w:lvlJc w:val="left"/>
      <w:lvlText w:val="(%1)"/>
      <w:numFmt w:val="lowerLetter"/>
      <w:start w:val="61"/>
    </w:lvl>
    <w:lvl w:ilvl="1">
      <w:lvlJc w:val="left"/>
      <w:lvlText w:val="%2"/>
      <w:numFmt w:val="lowerLetter"/>
      <w:start w:val="1"/>
    </w:lvl>
  </w:abstractNum>
  <w:abstractNum w:abstractNumId="170">
    <w:nsid w:val="8F8B73F"/>
    <w:multiLevelType w:val="hybridMultilevel"/>
    <w:lvl w:ilvl="0">
      <w:lvlJc w:val="left"/>
      <w:lvlText w:val="%1"/>
      <w:numFmt w:val="lowerRoman"/>
      <w:start w:val="1"/>
    </w:lvl>
    <w:lvl w:ilvl="1">
      <w:lvlJc w:val="left"/>
      <w:lvlText w:val="(%2)"/>
      <w:numFmt w:val="lowerLetter"/>
      <w:start w:val="2"/>
    </w:lvl>
  </w:abstractNum>
  <w:abstractNum w:abstractNumId="171">
    <w:nsid w:val="CA6B462"/>
    <w:multiLevelType w:val="hybridMultilevel"/>
    <w:lvl w:ilvl="0">
      <w:lvlJc w:val="left"/>
      <w:lvlText w:val="(%1)"/>
      <w:numFmt w:val="lowerRoman"/>
      <w:start w:val="8"/>
    </w:lvl>
    <w:lvl w:ilvl="1">
      <w:lvlJc w:val="left"/>
      <w:lvlText w:val="%2"/>
      <w:numFmt w:val="lowerLetter"/>
      <w:start w:val="1"/>
    </w:lvl>
  </w:abstractNum>
  <w:abstractNum w:abstractNumId="172">
    <w:nsid w:val="763CB680"/>
    <w:multiLevelType w:val="hybridMultilevel"/>
    <w:lvl w:ilvl="0">
      <w:lvlJc w:val="left"/>
      <w:lvlText w:val="(%1)"/>
      <w:numFmt w:val="lowerRoman"/>
      <w:start w:val="1"/>
    </w:lvl>
  </w:abstractNum>
  <w:abstractNum w:abstractNumId="173">
    <w:nsid w:val="15B71329"/>
    <w:multiLevelType w:val="hybridMultilevel"/>
    <w:lvl w:ilvl="0">
      <w:lvlJc w:val="left"/>
      <w:lvlText w:val="(%1)"/>
      <w:numFmt w:val="lowerLetter"/>
      <w:start w:val="3"/>
    </w:lvl>
  </w:abstractNum>
  <w:abstractNum w:abstractNumId="174">
    <w:nsid w:val="3DA97044"/>
    <w:multiLevelType w:val="hybridMultilevel"/>
    <w:lvl w:ilvl="0">
      <w:lvlJc w:val="left"/>
      <w:lvlText w:val="(%1)"/>
      <w:numFmt w:val="lowerLetter"/>
      <w:start w:val="2"/>
    </w:lvl>
    <w:lvl w:ilvl="1">
      <w:lvlJc w:val="left"/>
      <w:lvlText w:val="(%2)"/>
      <w:numFmt w:val="lowerLetter"/>
      <w:start w:val="9"/>
    </w:lvl>
  </w:abstractNum>
  <w:abstractNum w:abstractNumId="175">
    <w:nsid w:val="1CDCE2DE"/>
    <w:multiLevelType w:val="hybridMultilevel"/>
    <w:lvl w:ilvl="0">
      <w:lvlJc w:val="left"/>
      <w:lvlText w:val="(%1)"/>
      <w:numFmt w:val="lowerRoman"/>
      <w:start w:val="2"/>
    </w:lvl>
  </w:abstractNum>
  <w:abstractNum w:abstractNumId="176">
    <w:nsid w:val="69D3947C"/>
    <w:multiLevelType w:val="hybridMultilevel"/>
    <w:lvl w:ilvl="0">
      <w:lvlJc w:val="left"/>
      <w:lvlText w:val="(%1)"/>
      <w:numFmt w:val="lowerRoman"/>
      <w:start w:val="7"/>
    </w:lvl>
  </w:abstractNum>
  <w:abstractNum w:abstractNumId="177">
    <w:nsid w:val="2539DFA5"/>
    <w:multiLevelType w:val="hybridMultilevel"/>
    <w:lvl w:ilvl="0">
      <w:lvlJc w:val="left"/>
      <w:lvlText w:val="(%1)"/>
      <w:numFmt w:val="lowerLetter"/>
      <w:start w:val="2"/>
    </w:lvl>
  </w:abstractNum>
  <w:abstractNum w:abstractNumId="178">
    <w:nsid w:val="2DB88089"/>
    <w:multiLevelType w:val="hybridMultilevel"/>
    <w:lvl w:ilvl="0">
      <w:lvlJc w:val="left"/>
      <w:lvlText w:val="(%1)"/>
      <w:numFmt w:val="lowerLetter"/>
      <w:start w:val="2"/>
    </w:lvl>
  </w:abstractNum>
  <w:abstractNum w:abstractNumId="179">
    <w:nsid w:val="706B674E"/>
    <w:multiLevelType w:val="hybridMultilevel"/>
    <w:lvl w:ilvl="0">
      <w:lvlJc w:val="left"/>
      <w:lvlText w:val="(%1)"/>
      <w:numFmt w:val="lowerLetter"/>
      <w:start w:val="2"/>
    </w:lvl>
  </w:abstractNum>
  <w:abstractNum w:abstractNumId="180">
    <w:nsid w:val="2C106A57"/>
    <w:multiLevelType w:val="hybridMultilevel"/>
    <w:lvl w:ilvl="0">
      <w:lvlJc w:val="left"/>
      <w:lvlText w:val="%1."/>
      <w:numFmt w:val="decimal"/>
      <w:start w:val="1"/>
    </w:lvl>
  </w:abstractNum>
  <w:abstractNum w:abstractNumId="181">
    <w:nsid w:val="684EED59"/>
    <w:multiLevelType w:val="hybridMultilevel"/>
    <w:lvl w:ilvl="0">
      <w:lvlJc w:val="left"/>
      <w:lvlText w:val="%1."/>
      <w:numFmt w:val="decimal"/>
      <w:start w:val="9"/>
    </w:lvl>
  </w:abstractNum>
  <w:abstractNum w:abstractNumId="182">
    <w:nsid w:val="545EE5D3"/>
    <w:multiLevelType w:val="hybridMultilevel"/>
    <w:lvl w:ilvl="0">
      <w:lvlJc w:val="left"/>
      <w:lvlText w:val="%1."/>
      <w:numFmt w:val="decimal"/>
      <w:start w:val="24"/>
    </w:lvl>
  </w:abstractNum>
  <w:abstractNum w:abstractNumId="183">
    <w:nsid w:val="4A66051"/>
    <w:multiLevelType w:val="hybridMultilevel"/>
    <w:lvl w:ilvl="0">
      <w:lvlJc w:val="left"/>
      <w:lvlText w:val="%1)"/>
      <w:numFmt w:val="decimal"/>
      <w:start w:val="1"/>
    </w:lvl>
  </w:abstractNum>
  <w:abstractNum w:abstractNumId="184">
    <w:nsid w:val="20F4BDAD"/>
    <w:multiLevelType w:val="hybridMultilevel"/>
    <w:lvl w:ilvl="0">
      <w:lvlJc w:val="left"/>
      <w:lvlText w:val="%1)"/>
      <w:numFmt w:val="decimal"/>
      <w:start w:val="1"/>
    </w:lvl>
  </w:abstractNum>
  <w:abstractNum w:abstractNumId="185">
    <w:nsid w:val="639DEFAC"/>
    <w:multiLevelType w:val="hybridMultilevel"/>
    <w:lvl w:ilvl="0">
      <w:lvlJc w:val="left"/>
      <w:lvlText w:val="%1)"/>
      <w:numFmt w:val="decimal"/>
      <w:start w:val="6"/>
    </w:lvl>
  </w:abstractNum>
  <w:abstractNum w:abstractNumId="186">
    <w:nsid w:val="501F9786"/>
    <w:multiLevelType w:val="hybridMultilevel"/>
    <w:lvl w:ilvl="0">
      <w:lvlJc w:val="left"/>
      <w:lvlText w:val="%1)"/>
      <w:numFmt w:val="decimal"/>
      <w:start w:val="10"/>
    </w:lvl>
  </w:abstractNum>
  <w:abstractNum w:abstractNumId="187">
    <w:nsid w:val="6B057295"/>
    <w:multiLevelType w:val="hybridMultilevel"/>
    <w:lvl w:ilvl="0">
      <w:lvlJc w:val="left"/>
      <w:lvlText w:val="%1)"/>
      <w:numFmt w:val="decimal"/>
      <w:start w:val="1"/>
    </w:lvl>
  </w:abstractNum>
  <w:abstractNum w:abstractNumId="188">
    <w:nsid w:val="2771AC80"/>
    <w:multiLevelType w:val="hybridMultilevel"/>
    <w:lvl w:ilvl="0">
      <w:lvlJc w:val="left"/>
      <w:lvlText w:val="%1)"/>
      <w:numFmt w:val="decimal"/>
      <w:start w:val="7"/>
    </w:lvl>
  </w:abstractNum>
  <w:abstractNum w:abstractNumId="189">
    <w:nsid w:val="1C4A08EC"/>
    <w:multiLevelType w:val="hybridMultilevel"/>
    <w:lvl w:ilvl="0">
      <w:lvlJc w:val="left"/>
      <w:lvlText w:val="%1."/>
      <w:numFmt w:val="decimal"/>
      <w:start w:val="1"/>
    </w:lvl>
  </w:abstractNum>
  <w:abstractNum w:abstractNumId="190">
    <w:nsid w:val="1958BD17"/>
    <w:multiLevelType w:val="hybridMultilevel"/>
    <w:lvl w:ilvl="0">
      <w:lvlJc w:val="left"/>
      <w:lvlText w:val="%1."/>
      <w:numFmt w:val="decimal"/>
      <w:start w:val="6"/>
    </w:lvl>
  </w:abstractNum>
  <w:abstractNum w:abstractNumId="191">
    <w:nsid w:val="4E647FE4"/>
    <w:multiLevelType w:val="hybridMultilevel"/>
    <w:lvl w:ilvl="0">
      <w:lvlJc w:val="left"/>
      <w:lvlText w:val="%1."/>
      <w:numFmt w:val="decimal"/>
      <w:start w:val="26"/>
    </w:lvl>
  </w:abstractNum>
  <w:abstractNum w:abstractNumId="192">
    <w:nsid w:val="E0BB885"/>
    <w:multiLevelType w:val="hybridMultilevel"/>
    <w:lvl w:ilvl="0">
      <w:lvlJc w:val="left"/>
      <w:lvlText w:val="%1."/>
      <w:numFmt w:val="decimal"/>
      <w:start w:val="48"/>
    </w:lvl>
  </w:abstractNum>
  <w:abstractNum w:abstractNumId="193">
    <w:nsid w:val="565976F1"/>
    <w:multiLevelType w:val="hybridMultilevel"/>
    <w:lvl w:ilvl="0">
      <w:lvlJc w:val="left"/>
      <w:lvlText w:val="%1."/>
      <w:numFmt w:val="decimal"/>
      <w:start w:val="64"/>
    </w:lvl>
  </w:abstractNum>
  <w:abstractNum w:abstractNumId="194">
    <w:nsid w:val="64212B8C"/>
    <w:multiLevelType w:val="hybridMultilevel"/>
    <w:lvl w:ilvl="0">
      <w:lvlJc w:val="left"/>
      <w:lvlText w:val="(%1)"/>
      <w:numFmt w:val="upperLetter"/>
      <w:start w:val="1"/>
    </w:lvl>
  </w:abstractNum>
  <w:abstractNum w:abstractNumId="195">
    <w:nsid w:val="5C17530C"/>
    <w:multiLevelType w:val="hybridMultilevel"/>
    <w:lvl w:ilvl="0">
      <w:lvlJc w:val="left"/>
      <w:lvlText w:val="(%1)"/>
      <w:numFmt w:val="upperLetter"/>
      <w:start w:val="6"/>
    </w:lvl>
  </w:abstractNum>
  <w:abstractNum w:abstractNumId="196">
    <w:nsid w:val="19A52566"/>
    <w:multiLevelType w:val="hybridMultilevel"/>
    <w:lvl w:ilvl="0">
      <w:lvlJc w:val="left"/>
      <w:lvlText w:val="(%1)"/>
      <w:numFmt w:val="upperLetter"/>
      <w:start w:val="12"/>
    </w:lvl>
  </w:abstractNum>
  <w:abstractNum w:abstractNumId="197">
    <w:nsid w:val="335A1DF1"/>
    <w:multiLevelType w:val="hybridMultilevel"/>
    <w:lvl w:ilvl="0">
      <w:lvlJc w:val="left"/>
      <w:lvlText w:val="%1"/>
      <w:numFmt w:val="lowerLetter"/>
      <w:start w:val="1"/>
    </w:lvl>
    <w:lvl w:ilvl="1">
      <w:lvlJc w:val="left"/>
      <w:lvlText w:val="(%2)"/>
      <w:numFmt w:val="lowerLetter"/>
      <w:start w:val="1"/>
    </w:lvl>
  </w:abstractNum>
  <w:abstractNum w:abstractNumId="198">
    <w:nsid w:val="28677B7C"/>
    <w:multiLevelType w:val="hybridMultilevel"/>
    <w:lvl w:ilvl="0">
      <w:lvlJc w:val="left"/>
      <w:lvlText w:val="(%1)"/>
      <w:numFmt w:val="lowerLetter"/>
      <w:start w:val="61"/>
    </w:lvl>
    <w:lvl w:ilvl="1">
      <w:lvlJc w:val="left"/>
      <w:lvlText w:val="(%2)"/>
      <w:numFmt w:val="lowerLetter"/>
      <w:start w:val="2"/>
    </w:lvl>
  </w:abstractNum>
  <w:abstractNum w:abstractNumId="199">
    <w:nsid w:val="378D97C0"/>
    <w:multiLevelType w:val="hybridMultilevel"/>
    <w:lvl w:ilvl="0">
      <w:lvlJc w:val="left"/>
      <w:lvlText w:val="(%1)"/>
      <w:numFmt w:val="lowerLetter"/>
      <w:start w:val="3"/>
    </w:lvl>
  </w:abstractNum>
  <w:abstractNum w:abstractNumId="200">
    <w:nsid w:val="1D91467C"/>
    <w:multiLevelType w:val="hybridMultilevel"/>
    <w:lvl w:ilvl="0">
      <w:lvlJc w:val="left"/>
      <w:lvlText w:val="(%1)"/>
      <w:numFmt w:val="lowerRoman"/>
      <w:start w:val="2"/>
    </w:lvl>
  </w:abstractNum>
  <w:abstractNum w:abstractNumId="201">
    <w:nsid w:val="316032BB"/>
    <w:multiLevelType w:val="hybridMultilevel"/>
    <w:lvl w:ilvl="0">
      <w:lvlJc w:val="left"/>
      <w:lvlText w:val="(%1)"/>
      <w:numFmt w:val="lowerLetter"/>
      <w:start w:val="5"/>
    </w:lvl>
  </w:abstractNum>
  <w:abstractNum w:abstractNumId="202">
    <w:nsid w:val="44344C22"/>
    <w:multiLevelType w:val="hybridMultilevel"/>
    <w:lvl w:ilvl="0">
      <w:lvlJc w:val="left"/>
      <w:lvlText w:val="(%1)"/>
      <w:numFmt w:val="lowerRoman"/>
      <w:start w:val="2"/>
    </w:lvl>
  </w:abstractNum>
  <w:abstractNum w:abstractNumId="203">
    <w:nsid w:val="13CDFCFC"/>
    <w:multiLevelType w:val="hybridMultilevel"/>
    <w:lvl w:ilvl="0">
      <w:lvlJc w:val="left"/>
      <w:lvlText w:val="(%1)"/>
      <w:numFmt w:val="lowerLetter"/>
      <w:start w:val="6"/>
    </w:lvl>
  </w:abstractNum>
  <w:abstractNum w:abstractNumId="204">
    <w:nsid w:val="471745E4"/>
    <w:multiLevelType w:val="hybridMultilevel"/>
    <w:lvl w:ilvl="0">
      <w:lvlJc w:val="left"/>
      <w:lvlText w:val="(%1)"/>
      <w:numFmt w:val="lowerRoman"/>
      <w:start w:val="2"/>
    </w:lvl>
  </w:abstractNum>
  <w:abstractNum w:abstractNumId="205">
    <w:nsid w:val="1DDBC66"/>
    <w:multiLevelType w:val="hybridMultilevel"/>
    <w:lvl w:ilvl="0">
      <w:lvlJc w:val="left"/>
      <w:lvlText w:val="(%1)"/>
      <w:numFmt w:val="lowerLetter"/>
      <w:start w:val="7"/>
    </w:lvl>
  </w:abstractNum>
  <w:abstractNum w:abstractNumId="206">
    <w:nsid w:val="30AADFDA"/>
    <w:multiLevelType w:val="hybridMultilevel"/>
    <w:lvl w:ilvl="0">
      <w:lvlJc w:val="left"/>
      <w:lvlText w:val="(%1)"/>
      <w:numFmt w:val="lowerLetter"/>
      <w:start w:val="10"/>
    </w:lvl>
  </w:abstractNum>
  <w:abstractNum w:abstractNumId="207">
    <w:nsid w:val="30EADA61"/>
    <w:multiLevelType w:val="hybridMultilevel"/>
    <w:lvl w:ilvl="0">
      <w:lvlJc w:val="left"/>
      <w:lvlText w:val="(%1)"/>
      <w:numFmt w:val="lowerLetter"/>
      <w:start w:val="15"/>
    </w:lvl>
    <w:lvl w:ilvl="1">
      <w:lvlJc w:val="left"/>
      <w:lvlText w:val="(%2)"/>
      <w:numFmt w:val="lowerRoman"/>
      <w:start w:val="1"/>
    </w:lvl>
  </w:abstractNum>
  <w:abstractNum w:abstractNumId="208">
    <w:nsid w:val="27179C0B"/>
    <w:multiLevelType w:val="hybridMultilevel"/>
    <w:lvl w:ilvl="0">
      <w:lvlJc w:val="left"/>
      <w:lvlText w:val="(%1)"/>
      <w:numFmt w:val="lowerLetter"/>
      <w:start w:val="22"/>
    </w:lvl>
  </w:abstractNum>
  <w:abstractNum w:abstractNumId="209">
    <w:nsid w:val="5E636063"/>
    <w:multiLevelType w:val="hybridMultilevel"/>
    <w:lvl w:ilvl="0">
      <w:lvlJc w:val="left"/>
      <w:lvlText w:val="(%1)"/>
      <w:numFmt w:val="lowerLetter"/>
      <w:start w:val="1"/>
    </w:lvl>
    <w:lvl w:ilvl="1">
      <w:lvlJc w:val="left"/>
      <w:lvlText w:val="(%2)"/>
      <w:numFmt w:val="lowerLetter"/>
      <w:start w:val="9"/>
    </w:lvl>
  </w:abstractNum>
  <w:abstractNum w:abstractNumId="210">
    <w:nsid w:val="215641AF"/>
    <w:multiLevelType w:val="hybridMultilevel"/>
    <w:lvl w:ilvl="0">
      <w:lvlJc w:val="left"/>
      <w:lvlText w:val="(%1)"/>
      <w:numFmt w:val="lowerRoman"/>
      <w:start w:val="2"/>
    </w:lvl>
  </w:abstractNum>
  <w:abstractNum w:abstractNumId="211">
    <w:nsid w:val="53280662"/>
    <w:multiLevelType w:val="hybridMultilevel"/>
    <w:lvl w:ilvl="0">
      <w:lvlJc w:val="left"/>
      <w:lvlText w:val="(%1)"/>
      <w:numFmt w:val="lowerRoman"/>
      <w:start w:val="5"/>
    </w:lvl>
  </w:abstractNum>
  <w:abstractNum w:abstractNumId="212">
    <w:nsid w:val="46B24DBC"/>
    <w:multiLevelType w:val="hybridMultilevel"/>
    <w:lvl w:ilvl="0">
      <w:lvlJc w:val="left"/>
      <w:lvlText w:val="(%1)"/>
      <w:numFmt w:val="lowerLetter"/>
      <w:start w:val="2"/>
    </w:lvl>
    <w:lvl w:ilvl="1">
      <w:lvlJc w:val="left"/>
      <w:lvlText w:val="(%2)"/>
      <w:numFmt w:val="lowerRoman"/>
      <w:start w:val="1"/>
    </w:lvl>
  </w:abstractNum>
  <w:abstractNum w:abstractNumId="213">
    <w:nsid w:val="75B52783"/>
    <w:multiLevelType w:val="hybridMultilevel"/>
    <w:lvl w:ilvl="0">
      <w:lvlJc w:val="left"/>
      <w:lvlText w:val="%1"/>
      <w:numFmt w:val="upperLetter"/>
      <w:start w:val="1"/>
    </w:lvl>
    <w:lvl w:ilvl="1">
      <w:lvlJc w:val="left"/>
      <w:lvlText w:val="(%2)"/>
      <w:numFmt w:val="lowerLetter"/>
      <w:start w:val="3"/>
    </w:lvl>
  </w:abstractNum>
  <w:abstractNum w:abstractNumId="214">
    <w:nsid w:val="57CE66B4"/>
    <w:multiLevelType w:val="hybridMultilevel"/>
    <w:lvl w:ilvl="0">
      <w:lvlJc w:val="left"/>
      <w:lvlText w:val="(%1)"/>
      <w:numFmt w:val="upperLetter"/>
      <w:start w:val="2"/>
    </w:lvl>
    <w:lvl w:ilvl="1">
      <w:lvlJc w:val="left"/>
      <w:lvlText w:val="(%2)"/>
      <w:numFmt w:val="lowerLetter"/>
      <w:start w:val="4"/>
    </w:lvl>
  </w:abstractNum>
  <w:abstractNum w:abstractNumId="215">
    <w:nsid w:val="67A70B69"/>
    <w:multiLevelType w:val="hybridMultilevel"/>
    <w:lvl w:ilvl="0">
      <w:lvlJc w:val="left"/>
      <w:lvlText w:val="(%1)"/>
      <w:numFmt w:val="lowerLetter"/>
      <w:start w:val="6"/>
    </w:lvl>
  </w:abstractNum>
  <w:abstractNum w:abstractNumId="216">
    <w:nsid w:val="5953172F"/>
    <w:multiLevelType w:val="hybridMultilevel"/>
    <w:lvl w:ilvl="0">
      <w:lvlJc w:val="left"/>
      <w:lvlText w:val="%1"/>
      <w:numFmt w:val="lowerLetter"/>
      <w:start w:val="1"/>
    </w:lvl>
    <w:lvl w:ilvl="1">
      <w:lvlJc w:val="left"/>
      <w:lvlText w:val="(%2)"/>
      <w:numFmt w:val="lowerLetter"/>
      <w:start w:val="8"/>
    </w:lvl>
  </w:abstractNum>
  <w:abstractNum w:abstractNumId="217">
    <w:nsid w:val="27EDFE3A"/>
    <w:multiLevelType w:val="hybridMultilevel"/>
    <w:lvl w:ilvl="0">
      <w:lvlJc w:val="left"/>
      <w:lvlText w:val="(%1)"/>
      <w:numFmt w:val="lowerLetter"/>
      <w:start w:val="5"/>
    </w:lvl>
    <w:lvl w:ilvl="1">
      <w:lvlJc w:val="left"/>
      <w:lvlText w:val="(%2)"/>
      <w:numFmt w:val="lowerLetter"/>
      <w:start w:val="9"/>
    </w:lvl>
  </w:abstractNum>
  <w:abstractNum w:abstractNumId="218">
    <w:nsid w:val="52AC7DFF"/>
    <w:multiLevelType w:val="hybridMultilevel"/>
    <w:lvl w:ilvl="0">
      <w:lvlJc w:val="left"/>
      <w:lvlText w:val="(%1)"/>
      <w:numFmt w:val="lowerLetter"/>
      <w:start w:val="1"/>
    </w:lvl>
    <w:lvl w:ilvl="1">
      <w:lvlJc w:val="left"/>
      <w:lvlText w:val="(%2)"/>
      <w:numFmt w:val="lowerRoman"/>
      <w:start w:val="1"/>
    </w:lvl>
  </w:abstractNum>
  <w:abstractNum w:abstractNumId="219">
    <w:nsid w:val="C4C3AF"/>
    <w:multiLevelType w:val="hybridMultilevel"/>
    <w:lvl w:ilvl="0">
      <w:lvlJc w:val="left"/>
      <w:lvlText w:val="(%1)"/>
      <w:numFmt w:val="lowerRoman"/>
      <w:start w:val="3"/>
    </w:lvl>
  </w:abstractNum>
  <w:abstractNum w:abstractNumId="220">
    <w:nsid w:val="44380727"/>
    <w:multiLevelType w:val="hybridMultilevel"/>
    <w:lvl w:ilvl="0">
      <w:lvlJc w:val="left"/>
      <w:lvlText w:val="%1"/>
      <w:numFmt w:val="upperLetter"/>
      <w:start w:val="1"/>
    </w:lvl>
    <w:lvl w:ilvl="1">
      <w:lvlJc w:val="left"/>
      <w:lvlText w:val="(%2)"/>
      <w:numFmt w:val="lowerRoman"/>
      <w:start w:val="12"/>
    </w:lvl>
  </w:abstractNum>
  <w:abstractNum w:abstractNumId="221">
    <w:nsid w:val="6C053B16"/>
    <w:multiLevelType w:val="hybridMultilevel"/>
    <w:lvl w:ilvl="0">
      <w:lvlJc w:val="left"/>
      <w:lvlText w:val="(%1)"/>
      <w:numFmt w:val="upperLetter"/>
      <w:start w:val="2"/>
    </w:lvl>
    <w:lvl w:ilvl="1">
      <w:lvlJc w:val="left"/>
      <w:lvlText w:val="(%2)"/>
      <w:numFmt w:val="lowerRoman"/>
      <w:start w:val="19"/>
    </w:lvl>
  </w:abstractNum>
  <w:abstractNum w:abstractNumId="222">
    <w:nsid w:val="4F294393"/>
    <w:multiLevelType w:val="hybridMultilevel"/>
    <w:lvl w:ilvl="0">
      <w:lvlJc w:val="left"/>
      <w:lvlText w:val="%1"/>
      <w:numFmt w:val="lowerRoman"/>
      <w:start w:val="1"/>
    </w:lvl>
    <w:lvl w:ilvl="1">
      <w:lvlJc w:val="left"/>
      <w:lvlText w:val="(%2)"/>
      <w:numFmt w:val="lowerRoman"/>
      <w:start w:val="21"/>
    </w:lvl>
  </w:abstractNum>
  <w:abstractNum w:abstractNumId="223">
    <w:nsid w:val="5243BFAC"/>
    <w:multiLevelType w:val="hybridMultilevel"/>
    <w:lvl w:ilvl="0">
      <w:lvlJc w:val="left"/>
      <w:lvlText w:val="(%1)"/>
      <w:numFmt w:val="lowerRoman"/>
      <w:start w:val="21"/>
    </w:lvl>
    <w:lvl w:ilvl="1">
      <w:lvlJc w:val="left"/>
      <w:lvlText w:val="(%2)"/>
      <w:numFmt w:val="lowerRoman"/>
      <w:start w:val="22"/>
    </w:lvl>
  </w:abstractNum>
  <w:abstractNum w:abstractNumId="224">
    <w:nsid w:val="425EB207"/>
    <w:multiLevelType w:val="hybridMultilevel"/>
    <w:lvl w:ilvl="0">
      <w:lvlJc w:val="left"/>
      <w:lvlText w:val="(%1)"/>
      <w:numFmt w:val="lowerLetter"/>
      <w:start w:val="2"/>
    </w:lvl>
    <w:lvl w:ilvl="1">
      <w:lvlJc w:val="left"/>
      <w:lvlText w:val="(%2)"/>
      <w:numFmt w:val="lowerRoman"/>
      <w:start w:val="1"/>
    </w:lvl>
  </w:abstractNum>
  <w:abstractNum w:abstractNumId="225">
    <w:nsid w:val="334A6F1F"/>
    <w:multiLevelType w:val="hybridMultilevel"/>
    <w:lvl w:ilvl="0">
      <w:lvlJc w:val="left"/>
      <w:lvlText w:val="%1"/>
      <w:numFmt w:val="decimal"/>
      <w:start w:val="1"/>
    </w:lvl>
    <w:lvl w:ilvl="1">
      <w:lvlJc w:val="left"/>
      <w:lvlText w:val="(%2)"/>
      <w:numFmt w:val="lowerRoman"/>
      <w:start w:val="4"/>
    </w:lvl>
  </w:abstractNum>
  <w:abstractNum w:abstractNumId="226">
    <w:nsid w:val="2E5B12B8"/>
    <w:multiLevelType w:val="hybridMultilevel"/>
    <w:lvl w:ilvl="0">
      <w:lvlJc w:val="left"/>
      <w:lvlText w:val="(%1)"/>
      <w:numFmt w:val="decimal"/>
      <w:start w:val="1"/>
    </w:lvl>
    <w:lvl w:ilvl="1">
      <w:lvlJc w:val="left"/>
      <w:lvlText w:val="(%2)"/>
      <w:numFmt w:val="lowerRoman"/>
      <w:start w:val="5"/>
    </w:lvl>
  </w:abstractNum>
  <w:abstractNum w:abstractNumId="227">
    <w:nsid w:val="5C03D76D"/>
    <w:multiLevelType w:val="hybridMultilevel"/>
    <w:lvl w:ilvl="0">
      <w:lvlJc w:val="left"/>
      <w:lvlText w:val="(%1)"/>
      <w:numFmt w:val="lowerRoman"/>
      <w:start w:val="6"/>
    </w:lvl>
  </w:abstractNum>
  <w:abstractNum w:abstractNumId="228">
    <w:nsid w:val="66A48D11"/>
    <w:multiLevelType w:val="hybridMultilevel"/>
    <w:lvl w:ilvl="0">
      <w:lvlJc w:val="left"/>
      <w:lvlText w:val="(%1)"/>
      <w:numFmt w:val="lowerRoman"/>
      <w:start w:val="14"/>
    </w:lvl>
  </w:abstractNum>
  <w:abstractNum w:abstractNumId="229">
    <w:nsid w:val="56C28E34"/>
    <w:multiLevelType w:val="hybridMultilevel"/>
    <w:lvl w:ilvl="0">
      <w:lvlJc w:val="left"/>
      <w:lvlText w:val="%1"/>
      <w:numFmt w:val="upperLetter"/>
      <w:start w:val="1"/>
    </w:lvl>
    <w:lvl w:ilvl="1">
      <w:lvlJc w:val="left"/>
      <w:lvlText w:val="(%2)"/>
      <w:numFmt w:val="lowerRoman"/>
      <w:start w:val="21"/>
    </w:lvl>
  </w:abstractNum>
  <w:abstractNum w:abstractNumId="230">
    <w:nsid w:val="13916F2D"/>
    <w:multiLevelType w:val="hybridMultilevel"/>
    <w:lvl w:ilvl="0">
      <w:lvlJc w:val="left"/>
      <w:lvlText w:val="(%1)"/>
      <w:numFmt w:val="upperLetter"/>
      <w:start w:val="2"/>
    </w:lvl>
    <w:lvl w:ilvl="1">
      <w:lvlJc w:val="left"/>
      <w:lvlText w:val="%2"/>
      <w:numFmt w:val="lowerRoman"/>
      <w:start w:val="1"/>
    </w:lvl>
  </w:abstractNum>
  <w:abstractNum w:abstractNumId="231">
    <w:nsid w:val="435D38D"/>
    <w:multiLevelType w:val="hybridMultilevel"/>
    <w:lvl w:ilvl="0">
      <w:lvlJc w:val="left"/>
      <w:lvlText w:val="(%1)"/>
      <w:numFmt w:val="lowerLetter"/>
      <w:start w:val="3"/>
    </w:lvl>
    <w:lvl w:ilvl="1">
      <w:lvlJc w:val="left"/>
      <w:lvlText w:val="(%2)"/>
      <w:numFmt w:val="upperLetter"/>
      <w:start w:val="1"/>
    </w:lvl>
  </w:abstractNum>
  <w:abstractNum w:abstractNumId="232">
    <w:nsid w:val="822C0EF"/>
    <w:multiLevelType w:val="hybridMultilevel"/>
    <w:lvl w:ilvl="0">
      <w:lvlJc w:val="left"/>
      <w:lvlText w:val="%1"/>
      <w:numFmt w:val="upperLetter"/>
      <w:start w:val="1"/>
    </w:lvl>
    <w:lvl w:ilvl="1">
      <w:lvlJc w:val="left"/>
      <w:lvlText w:val="(%2)"/>
      <w:numFmt w:val="upperLetter"/>
      <w:start w:val="2"/>
    </w:lvl>
  </w:abstractNum>
  <w:abstractNum w:abstractNumId="233">
    <w:nsid w:val="57C5BB4F"/>
    <w:multiLevelType w:val="hybridMultilevel"/>
    <w:lvl w:ilvl="0">
      <w:lvlJc w:val="left"/>
      <w:lvlText w:val="(%1)"/>
      <w:numFmt w:val="upperLetter"/>
      <w:start w:val="1"/>
    </w:lvl>
    <w:lvl w:ilvl="1">
      <w:lvlJc w:val="left"/>
      <w:lvlText w:val="%2"/>
      <w:numFmt w:val="upperLetter"/>
      <w:start w:val="1"/>
    </w:lvl>
  </w:abstractNum>
  <w:abstractNum w:abstractNumId="234">
    <w:nsid w:val="1803D089"/>
    <w:multiLevelType w:val="hybridMultilevel"/>
    <w:lvl w:ilvl="0">
      <w:lvlJc w:val="left"/>
      <w:lvlText w:val="%1"/>
      <w:numFmt w:val="lowerRoman"/>
      <w:start w:val="1"/>
    </w:lvl>
    <w:lvl w:ilvl="1">
      <w:lvlJc w:val="left"/>
      <w:lvlText w:val="(%2)"/>
      <w:numFmt w:val="upperLetter"/>
      <w:start w:val="10"/>
    </w:lvl>
  </w:abstractNum>
  <w:abstractNum w:abstractNumId="235">
    <w:nsid w:val="4F3A06D4"/>
    <w:multiLevelType w:val="hybridMultilevel"/>
    <w:lvl w:ilvl="0">
      <w:lvlJc w:val="left"/>
      <w:lvlText w:val="(%1)"/>
      <w:numFmt w:val="lowerRoman"/>
      <w:start w:val="2"/>
    </w:lvl>
    <w:lvl w:ilvl="1">
      <w:lvlJc w:val="left"/>
      <w:lvlText w:val="%2"/>
      <w:numFmt w:val="upperLetter"/>
      <w:start w:val="1"/>
    </w:lvl>
  </w:abstractNum>
  <w:abstractNum w:abstractNumId="236">
    <w:nsid w:val="59A377B6"/>
    <w:multiLevelType w:val="hybridMultilevel"/>
    <w:lvl w:ilvl="0">
      <w:lvlJc w:val="left"/>
      <w:lvlText w:val="%1"/>
      <w:numFmt w:val="upperLetter"/>
      <w:start w:val="1"/>
    </w:lvl>
    <w:lvl w:ilvl="1">
      <w:lvlJc w:val="left"/>
      <w:lvlText w:val="(%2)"/>
      <w:numFmt w:val="lowerLetter"/>
      <w:start w:val="4"/>
    </w:lvl>
  </w:abstractNum>
  <w:abstractNum w:abstractNumId="237">
    <w:nsid w:val="48AEB063"/>
    <w:multiLevelType w:val="hybridMultilevel"/>
    <w:lvl w:ilvl="0">
      <w:lvlJc w:val="left"/>
      <w:lvlText w:val="(%1)"/>
      <w:numFmt w:val="upperLetter"/>
      <w:start w:val="2"/>
    </w:lvl>
    <w:lvl w:ilvl="1">
      <w:lvlJc w:val="left"/>
      <w:lvlText w:val="%2"/>
      <w:numFmt w:val="lowerLetter"/>
      <w:start w:val="1"/>
    </w:lvl>
  </w:abstractNum>
  <w:abstractNum w:abstractNumId="238">
    <w:nsid w:val="24E135"/>
    <w:multiLevelType w:val="hybridMultilevel"/>
    <w:lvl w:ilvl="0">
      <w:lvlJc w:val="left"/>
      <w:lvlText w:val="(%1)"/>
      <w:numFmt w:val="lowerLetter"/>
      <w:start w:val="5"/>
    </w:lvl>
  </w:abstractNum>
  <w:abstractNum w:abstractNumId="239">
    <w:nsid w:val="BB13C1"/>
    <w:multiLevelType w:val="hybridMultilevel"/>
    <w:lvl w:ilvl="0">
      <w:lvlJc w:val="left"/>
      <w:lvlText w:val="(%1)"/>
      <w:numFmt w:val="lowerLetter"/>
      <w:start w:val="6"/>
    </w:lvl>
  </w:abstractNum>
  <w:abstractNum w:abstractNumId="240">
    <w:nsid w:val="271210C7"/>
    <w:multiLevelType w:val="hybridMultilevel"/>
    <w:lvl w:ilvl="0">
      <w:lvlJc w:val="left"/>
      <w:lvlText w:val="%1"/>
      <w:numFmt w:val="decimal"/>
      <w:start w:val="1"/>
    </w:lvl>
    <w:lvl w:ilvl="1">
      <w:lvlJc w:val="left"/>
      <w:lvlText w:val="(%2)"/>
      <w:numFmt w:val="lowerLetter"/>
      <w:start w:val="7"/>
    </w:lvl>
  </w:abstractNum>
  <w:abstractNum w:abstractNumId="241">
    <w:nsid w:val="217B22E4"/>
    <w:multiLevelType w:val="hybridMultilevel"/>
    <w:lvl w:ilvl="0">
      <w:lvlJc w:val="left"/>
      <w:lvlText w:val="(%1)"/>
      <w:numFmt w:val="decimal"/>
      <w:start w:val="4"/>
    </w:lvl>
    <w:lvl w:ilvl="1">
      <w:lvlJc w:val="left"/>
      <w:lvlText w:val="%2"/>
      <w:numFmt w:val="lowerLetter"/>
      <w:start w:val="1"/>
    </w:lvl>
  </w:abstractNum>
  <w:abstractNum w:abstractNumId="242">
    <w:nsid w:val="53E31A24"/>
    <w:multiLevelType w:val="hybridMultilevel"/>
    <w:lvl w:ilvl="0">
      <w:lvlJc w:val="left"/>
      <w:lvlText w:val="(%1)"/>
      <w:numFmt w:val="lowerLetter"/>
      <w:start w:val="2"/>
    </w:lvl>
  </w:abstractNum>
  <w:abstractNum w:abstractNumId="243">
    <w:nsid w:val="6DC45E83"/>
    <w:multiLevelType w:val="hybridMultilevel"/>
    <w:lvl w:ilvl="0">
      <w:lvlJc w:val="left"/>
      <w:lvlText w:val="(%1)"/>
      <w:numFmt w:val="lowerLetter"/>
      <w:start w:val="5"/>
    </w:lvl>
  </w:abstractNum>
  <w:abstractNum w:abstractNumId="244">
    <w:nsid w:val="17304A67"/>
    <w:multiLevelType w:val="hybridMultilevel"/>
    <w:lvl w:ilvl="0">
      <w:lvlJc w:val="left"/>
      <w:lvlText w:val="(%1)"/>
      <w:numFmt w:val="lowerLetter"/>
      <w:start w:val="2"/>
    </w:lvl>
  </w:abstractNum>
  <w:abstractNum w:abstractNumId="245">
    <w:nsid w:val="2BB180D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2022-03-08T05:22:32Z</dcterms:created>
  <dcterms:modified xsi:type="dcterms:W3CDTF">2022-03-08T05:22:32Z</dcterms:modified>
</cp:coreProperties>
</file>