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12</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617,073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3,225,827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3,225,827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2.988%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3,225,827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3,225,827</w:t>
      </w:r>
    </w:p>
    <w:p>
      <w:pPr>
        <w:spacing w:after="0" w:line="237" w:lineRule="auto"/>
        <w:rPr>
          <w:sz w:val="20"/>
          <w:szCs w:val="20"/>
          <w:color w:val="auto"/>
        </w:rPr>
      </w:pPr>
      <w:r>
        <w:rPr>
          <w:rFonts w:ascii="Courier New" w:cs="Courier New" w:eastAsia="Courier New" w:hAnsi="Courier New"/>
          <w:sz w:val="18"/>
          <w:szCs w:val="18"/>
          <w:color w:val="auto"/>
        </w:rPr>
        <w:t>Item 11: 2.988%</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3,225,827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2.988%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617,073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3,225,827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7"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Fidelity Institutional Asset Management Trust Company BK FIDELITY MANAGEMENT &amp; RESEARCH COMPANY Fidelity Personal Trust Company, FSB SA</w:t>
      </w:r>
    </w:p>
    <w:p>
      <w:pPr>
        <w:sectPr>
          <w:pgSz w:w="11900" w:h="16838" w:orient="portrait"/>
          <w:cols w:equalWidth="0" w:num="1">
            <w:col w:w="10219"/>
          </w:cols>
          <w:pgMar w:left="240" w:top="339" w:right="1440" w:bottom="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FMR CO., INC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REGENERON PHARMACEUTICALS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2020-02-17T16:37:55Z</dcterms:created>
  <dcterms:modified xsi:type="dcterms:W3CDTF">2020-02-17T16:37:55Z</dcterms:modified>
</cp:coreProperties>
</file>