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VAGELOS P ROY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2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777 OLD SAW MILL RIVER ROAD</w:t>
            </w: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06/23/2009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gridSpan w:val="4"/>
          </w:tcPr>
          <w:p>
            <w:pPr>
              <w:spacing w:after="0"/>
              <w:rPr>
                <w:sz w:val="9"/>
                <w:szCs w:val="9"/>
                <w:color w:val="auto"/>
              </w:rPr>
            </w:pPr>
          </w:p>
        </w:tc>
        <w:tc>
          <w:tcPr>
            <w:tcW w:w="1900" w:type="dxa"/>
            <w:vAlign w:val="bottom"/>
            <w:tcBorders>
              <w:bottom w:val="single" w:sz="8" w:color="2C2C2C"/>
            </w:tcBorders>
            <w:gridSpan w:val="4"/>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0"/>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6"/>
          </w:tcPr>
          <w:p>
            <w:pPr>
              <w:jc w:val="center"/>
              <w:ind w:left="628"/>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708"/>
              <w:spacing w:after="0"/>
              <w:rPr>
                <w:sz w:val="20"/>
                <w:szCs w:val="20"/>
                <w:color w:val="auto"/>
              </w:rPr>
            </w:pPr>
            <w:r>
              <w:rPr>
                <w:rFonts w:ascii="Arial" w:cs="Arial" w:eastAsia="Arial" w:hAnsi="Arial"/>
                <w:sz w:val="18"/>
                <w:szCs w:val="18"/>
                <w:color w:val="0000FF"/>
                <w:w w:val="88"/>
              </w:rPr>
              <w:t>06/23/2009</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50,384</w:t>
            </w:r>
          </w:p>
        </w:tc>
        <w:tc>
          <w:tcPr>
            <w:tcW w:w="7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361,251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708"/>
              <w:spacing w:after="0"/>
              <w:rPr>
                <w:sz w:val="20"/>
                <w:szCs w:val="20"/>
                <w:color w:val="auto"/>
              </w:rPr>
            </w:pPr>
            <w:r>
              <w:rPr>
                <w:rFonts w:ascii="Arial" w:cs="Arial" w:eastAsia="Arial" w:hAnsi="Arial"/>
                <w:sz w:val="18"/>
                <w:szCs w:val="18"/>
                <w:color w:val="0000FF"/>
                <w:w w:val="88"/>
              </w:rPr>
              <w:t>01/06/2009</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11,771</w:t>
            </w:r>
          </w:p>
        </w:tc>
        <w:tc>
          <w:tcPr>
            <w:tcW w:w="7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261,331</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9"/>
              </w:rPr>
              <w:t>by CLAT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708"/>
              <w:spacing w:after="0"/>
              <w:rPr>
                <w:sz w:val="20"/>
                <w:szCs w:val="20"/>
                <w:color w:val="auto"/>
              </w:rPr>
            </w:pPr>
            <w:r>
              <w:rPr>
                <w:rFonts w:ascii="Arial" w:cs="Arial" w:eastAsia="Arial" w:hAnsi="Arial"/>
                <w:sz w:val="18"/>
                <w:szCs w:val="18"/>
                <w:color w:val="0000FF"/>
                <w:w w:val="88"/>
              </w:rPr>
              <w:t>04/03/2009</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(2)</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14,976</w:t>
            </w:r>
          </w:p>
        </w:tc>
        <w:tc>
          <w:tcPr>
            <w:tcW w:w="7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246,355</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9"/>
              </w:rPr>
              <w:t>by CLAT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80" w:type="dxa"/>
            <w:vAlign w:val="bottom"/>
            <w:gridSpan w:val="5"/>
            <w:vMerge w:val="restart"/>
          </w:tcPr>
          <w:p>
            <w:pPr>
              <w:jc w:val="center"/>
              <w:ind w:left="708"/>
              <w:spacing w:after="0"/>
              <w:rPr>
                <w:sz w:val="20"/>
                <w:szCs w:val="20"/>
                <w:color w:val="auto"/>
              </w:rPr>
            </w:pPr>
            <w:r>
              <w:rPr>
                <w:rFonts w:ascii="Arial" w:cs="Arial" w:eastAsia="Arial" w:hAnsi="Arial"/>
                <w:sz w:val="18"/>
                <w:szCs w:val="18"/>
                <w:color w:val="0000FF"/>
                <w:w w:val="88"/>
              </w:rPr>
              <w:t>06/23/2009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0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50,384</w:t>
            </w:r>
          </w:p>
        </w:tc>
        <w:tc>
          <w:tcPr>
            <w:tcW w:w="7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63,925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8"/>
              </w:rPr>
              <w:t>1,980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80" w:type="dxa"/>
            <w:vAlign w:val="bottom"/>
            <w:gridSpan w:val="17"/>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 GRAT of which the reporting person is a donor and trustee distributed to the reporting person shares of REGN common stock in accordance with the terms of the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of Common Stock to charitable organization.</w:t>
      </w:r>
    </w:p>
    <w:p>
      <w:pPr>
        <w:spacing w:after="0" w:line="1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06/26/2009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97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/s/**P. 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8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90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September, 2005.</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06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2019-12-18T09:26:02Z</dcterms:created>
  <dcterms:modified xsi:type="dcterms:W3CDTF">2019-12-18T09:26:02Z</dcterms:modified>
</cp:coreProperties>
</file>