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750"/>
        <w:spacing w:after="0"/>
        <w:rPr>
          <w:sz w:val="20"/>
          <w:szCs w:val="20"/>
          <w:color w:val="auto"/>
        </w:rPr>
      </w:pPr>
      <w:r>
        <w:rPr>
          <w:rFonts w:ascii="Courier New" w:cs="Courier New" w:eastAsia="Courier New" w:hAnsi="Courier New"/>
          <w:sz w:val="15"/>
          <w:szCs w:val="15"/>
          <w:color w:val="auto"/>
        </w:rPr>
        <w:t>UNITED STATES</w:t>
      </w:r>
    </w:p>
    <w:p>
      <w:pPr>
        <w:spacing w:after="0" w:line="1" w:lineRule="exact"/>
        <w:rPr>
          <w:sz w:val="24"/>
          <w:szCs w:val="24"/>
          <w:color w:val="auto"/>
        </w:rPr>
      </w:pPr>
    </w:p>
    <w:p>
      <w:pPr>
        <w:jc w:val="center"/>
        <w:ind w:right="365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jc w:val="center"/>
        <w:ind w:right="3650"/>
        <w:spacing w:after="0"/>
        <w:rPr>
          <w:sz w:val="20"/>
          <w:szCs w:val="20"/>
          <w:color w:val="auto"/>
        </w:rPr>
      </w:pPr>
      <w:r>
        <w:rPr>
          <w:rFonts w:ascii="Courier New" w:cs="Courier New" w:eastAsia="Courier New" w:hAnsi="Courier New"/>
          <w:sz w:val="15"/>
          <w:szCs w:val="15"/>
          <w:color w:val="auto"/>
        </w:rPr>
        <w:t>Washington, D.C. 20549</w:t>
      </w:r>
    </w:p>
    <w:p>
      <w:pPr>
        <w:spacing w:after="0" w:line="171" w:lineRule="exact"/>
        <w:rPr>
          <w:sz w:val="24"/>
          <w:szCs w:val="24"/>
          <w:color w:val="auto"/>
        </w:rPr>
      </w:pPr>
    </w:p>
    <w:p>
      <w:pPr>
        <w:ind w:left="2849"/>
        <w:spacing w:after="0"/>
        <w:rPr>
          <w:sz w:val="20"/>
          <w:szCs w:val="20"/>
          <w:color w:val="auto"/>
        </w:rPr>
      </w:pPr>
      <w:r>
        <w:rPr>
          <w:rFonts w:ascii="Courier New" w:cs="Courier New" w:eastAsia="Courier New" w:hAnsi="Courier New"/>
          <w:sz w:val="15"/>
          <w:szCs w:val="15"/>
          <w:color w:val="auto"/>
        </w:rPr>
        <w:t>Form 10-Q</w:t>
      </w:r>
    </w:p>
    <w:p>
      <w:pPr>
        <w:spacing w:after="0" w:line="171" w:lineRule="exact"/>
        <w:rPr>
          <w:sz w:val="24"/>
          <w:szCs w:val="24"/>
          <w:color w:val="auto"/>
        </w:rPr>
      </w:pPr>
    </w:p>
    <w:p>
      <w:pPr>
        <w:ind w:left="789"/>
        <w:spacing w:after="0"/>
        <w:rPr>
          <w:sz w:val="20"/>
          <w:szCs w:val="20"/>
          <w:color w:val="auto"/>
        </w:rPr>
      </w:pPr>
      <w:r>
        <w:rPr>
          <w:rFonts w:ascii="Courier New" w:cs="Courier New" w:eastAsia="Courier New" w:hAnsi="Courier New"/>
          <w:sz w:val="15"/>
          <w:szCs w:val="15"/>
          <w:color w:val="auto"/>
        </w:rPr>
        <w:t>(Mark One)</w:t>
      </w:r>
    </w:p>
    <w:p>
      <w:pPr>
        <w:spacing w:after="0" w:line="3" w:lineRule="exact"/>
        <w:rPr>
          <w:sz w:val="24"/>
          <w:szCs w:val="24"/>
          <w:color w:val="auto"/>
        </w:rPr>
      </w:pPr>
    </w:p>
    <w:p>
      <w:pPr>
        <w:ind w:left="789" w:right="3579" w:hanging="789"/>
        <w:spacing w:after="0" w:line="238" w:lineRule="auto"/>
        <w:tabs>
          <w:tab w:leader="none" w:pos="78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172" w:lineRule="exact"/>
        <w:rPr>
          <w:sz w:val="24"/>
          <w:szCs w:val="24"/>
          <w:color w:val="auto"/>
        </w:rPr>
      </w:pPr>
    </w:p>
    <w:p>
      <w:pPr>
        <w:ind w:left="789"/>
        <w:spacing w:after="0"/>
        <w:tabs>
          <w:tab w:leader="none" w:pos="3709" w:val="left"/>
        </w:tabs>
        <w:rPr>
          <w:sz w:val="20"/>
          <w:szCs w:val="20"/>
          <w:color w:val="auto"/>
        </w:rPr>
      </w:pPr>
      <w:r>
        <w:rPr>
          <w:rFonts w:ascii="Courier New" w:cs="Courier New" w:eastAsia="Courier New" w:hAnsi="Courier New"/>
          <w:sz w:val="15"/>
          <w:szCs w:val="15"/>
          <w:color w:val="auto"/>
        </w:rPr>
        <w:t>For the quarterly period ended</w:t>
      </w:r>
      <w:r>
        <w:rPr>
          <w:sz w:val="20"/>
          <w:szCs w:val="20"/>
          <w:color w:val="auto"/>
        </w:rPr>
        <w:tab/>
      </w:r>
      <w:r>
        <w:rPr>
          <w:rFonts w:ascii="Courier New" w:cs="Courier New" w:eastAsia="Courier New" w:hAnsi="Courier New"/>
          <w:sz w:val="14"/>
          <w:szCs w:val="14"/>
          <w:color w:val="auto"/>
        </w:rPr>
        <w:t>March 31, 1998</w:t>
      </w:r>
    </w:p>
    <w:p>
      <w:pPr>
        <w:spacing w:after="0" w:line="1" w:lineRule="exact"/>
        <w:rPr>
          <w:sz w:val="24"/>
          <w:szCs w:val="24"/>
          <w:color w:val="auto"/>
        </w:rPr>
      </w:pPr>
    </w:p>
    <w:p>
      <w:pPr>
        <w:ind w:left="3469"/>
        <w:spacing w:after="0"/>
        <w:tabs>
          <w:tab w:leader="none" w:pos="548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1" w:lineRule="exact"/>
        <w:rPr>
          <w:sz w:val="24"/>
          <w:szCs w:val="24"/>
          <w:color w:val="auto"/>
        </w:rPr>
      </w:pPr>
    </w:p>
    <w:p>
      <w:pPr>
        <w:ind w:left="3189"/>
        <w:spacing w:after="0"/>
        <w:rPr>
          <w:sz w:val="20"/>
          <w:szCs w:val="20"/>
          <w:color w:val="auto"/>
        </w:rPr>
      </w:pPr>
      <w:r>
        <w:rPr>
          <w:rFonts w:ascii="Courier New" w:cs="Courier New" w:eastAsia="Courier New" w:hAnsi="Courier New"/>
          <w:sz w:val="15"/>
          <w:szCs w:val="15"/>
          <w:color w:val="auto"/>
        </w:rPr>
        <w:t>OR</w:t>
      </w:r>
    </w:p>
    <w:p>
      <w:pPr>
        <w:spacing w:after="0" w:line="174" w:lineRule="exact"/>
        <w:rPr>
          <w:sz w:val="24"/>
          <w:szCs w:val="24"/>
          <w:color w:val="auto"/>
        </w:rPr>
      </w:pPr>
    </w:p>
    <w:p>
      <w:pPr>
        <w:ind w:left="789" w:right="3399" w:hanging="789"/>
        <w:spacing w:after="0" w:line="238" w:lineRule="auto"/>
        <w:tabs>
          <w:tab w:leader="none" w:pos="25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 (d) OF THE SECURITIES EXCHANGE ACT OF 1934</w:t>
      </w:r>
    </w:p>
    <w:p>
      <w:pPr>
        <w:spacing w:after="0" w:line="172" w:lineRule="exact"/>
        <w:rPr>
          <w:sz w:val="24"/>
          <w:szCs w:val="24"/>
          <w:color w:val="auto"/>
        </w:rPr>
      </w:pPr>
    </w:p>
    <w:p>
      <w:pPr>
        <w:ind w:left="789"/>
        <w:spacing w:after="0"/>
        <w:rPr>
          <w:sz w:val="20"/>
          <w:szCs w:val="20"/>
          <w:color w:val="auto"/>
        </w:rPr>
      </w:pPr>
      <w:r>
        <w:rPr>
          <w:rFonts w:ascii="Courier New" w:cs="Courier New" w:eastAsia="Courier New" w:hAnsi="Courier New"/>
          <w:sz w:val="15"/>
          <w:szCs w:val="15"/>
          <w:color w:val="auto"/>
        </w:rPr>
        <w:t>For the transition period from ____________ to ___________</w:t>
      </w:r>
    </w:p>
    <w:p>
      <w:pPr>
        <w:sectPr>
          <w:pgSz w:w="11900" w:h="16838" w:orient="portrait"/>
          <w:cols w:equalWidth="0" w:num="1">
            <w:col w:w="10228"/>
          </w:cols>
          <w:pgMar w:left="231" w:top="719" w:right="1440" w:bottom="1440" w:gutter="0" w:footer="0" w:header="0"/>
        </w:sectPr>
      </w:pPr>
    </w:p>
    <w:p>
      <w:pPr>
        <w:spacing w:after="0" w:line="174" w:lineRule="exact"/>
        <w:rPr>
          <w:sz w:val="24"/>
          <w:szCs w:val="24"/>
          <w:color w:val="auto"/>
        </w:rPr>
      </w:pPr>
    </w:p>
    <w:p>
      <w:pPr>
        <w:ind w:left="789"/>
        <w:spacing w:after="0"/>
        <w:rPr>
          <w:sz w:val="20"/>
          <w:szCs w:val="20"/>
          <w:color w:val="auto"/>
        </w:rPr>
      </w:pPr>
      <w:r>
        <w:rPr>
          <w:rFonts w:ascii="Courier New" w:cs="Courier New" w:eastAsia="Courier New" w:hAnsi="Courier New"/>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0-19034</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4"/>
          <w:szCs w:val="24"/>
          <w:color w:val="auto"/>
        </w:rPr>
      </w:pPr>
    </w:p>
    <w:p>
      <w:pPr>
        <w:sectPr>
          <w:pgSz w:w="11900" w:h="16838" w:orient="portrait"/>
          <w:cols w:equalWidth="0" w:num="2">
            <w:col w:w="2749" w:space="100"/>
            <w:col w:w="7379"/>
          </w:cols>
          <w:pgMar w:left="231" w:top="719" w:right="1440" w:bottom="1440" w:gutter="0" w:footer="0" w:header="0"/>
          <w:type w:val="continuous"/>
        </w:sectPr>
      </w:pPr>
    </w:p>
    <w:p>
      <w:pPr>
        <w:jc w:val="center"/>
        <w:ind w:right="3750"/>
        <w:spacing w:after="0"/>
        <w:rPr>
          <w:sz w:val="20"/>
          <w:szCs w:val="20"/>
          <w:color w:val="auto"/>
        </w:rPr>
      </w:pPr>
      <w:r>
        <w:rPr>
          <w:rFonts w:ascii="Courier New" w:cs="Courier New" w:eastAsia="Courier New" w:hAnsi="Courier New"/>
          <w:sz w:val="15"/>
          <w:szCs w:val="15"/>
          <w:color w:val="auto"/>
        </w:rPr>
        <w:t>REGENERON PHARMACEUTICALS, INC.</w:t>
      </w:r>
    </w:p>
    <w:p>
      <w:pPr>
        <w:spacing w:after="0" w:line="3" w:lineRule="exact"/>
        <w:rPr>
          <w:sz w:val="24"/>
          <w:szCs w:val="24"/>
          <w:color w:val="auto"/>
        </w:rPr>
      </w:pPr>
    </w:p>
    <w:p>
      <w:pPr>
        <w:ind w:left="709"/>
        <w:spacing w:after="0"/>
        <w:rPr>
          <w:sz w:val="20"/>
          <w:szCs w:val="20"/>
          <w:color w:val="auto"/>
        </w:rPr>
      </w:pPr>
      <w:r>
        <w:rPr>
          <w:rFonts w:ascii="Courier New" w:cs="Courier New" w:eastAsia="Courier New" w:hAnsi="Courier New"/>
          <w:sz w:val="14"/>
          <w:szCs w:val="14"/>
          <w:color w:val="auto"/>
        </w:rPr>
        <w:t>---------------------------------------------------------</w:t>
      </w:r>
    </w:p>
    <w:p>
      <w:pPr>
        <w:spacing w:after="0" w:line="9" w:lineRule="exact"/>
        <w:rPr>
          <w:sz w:val="24"/>
          <w:szCs w:val="24"/>
          <w:color w:val="auto"/>
        </w:rPr>
      </w:pPr>
    </w:p>
    <w:p>
      <w:pPr>
        <w:ind w:left="88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8"/>
          </w:cols>
          <w:pgMar w:left="231" w:top="719" w:right="1440" w:bottom="1440" w:gutter="0" w:footer="0" w:header="0"/>
          <w:type w:val="continuous"/>
        </w:sectPr>
      </w:pPr>
    </w:p>
    <w:p>
      <w:pPr>
        <w:spacing w:after="0" w:line="171" w:lineRule="exact"/>
        <w:rPr>
          <w:sz w:val="24"/>
          <w:szCs w:val="24"/>
          <w:color w:val="auto"/>
        </w:rPr>
      </w:pPr>
    </w:p>
    <w:p>
      <w:pPr>
        <w:ind w:left="1429"/>
        <w:spacing w:after="0"/>
        <w:rPr>
          <w:sz w:val="20"/>
          <w:szCs w:val="20"/>
          <w:color w:val="auto"/>
        </w:rPr>
      </w:pPr>
      <w:r>
        <w:rPr>
          <w:rFonts w:ascii="Courier New" w:cs="Courier New" w:eastAsia="Courier New" w:hAnsi="Courier New"/>
          <w:sz w:val="15"/>
          <w:szCs w:val="15"/>
          <w:color w:val="auto"/>
        </w:rPr>
        <w:t>New York</w:t>
      </w:r>
    </w:p>
    <w:p>
      <w:pPr>
        <w:spacing w:after="0" w:line="3" w:lineRule="exact"/>
        <w:rPr>
          <w:sz w:val="24"/>
          <w:szCs w:val="24"/>
          <w:color w:val="auto"/>
        </w:rPr>
      </w:pPr>
    </w:p>
    <w:p>
      <w:pPr>
        <w:ind w:left="349"/>
        <w:spacing w:after="0"/>
        <w:rPr>
          <w:sz w:val="20"/>
          <w:szCs w:val="20"/>
          <w:color w:val="auto"/>
        </w:rPr>
      </w:pPr>
      <w:r>
        <w:rPr>
          <w:rFonts w:ascii="Courier New" w:cs="Courier New" w:eastAsia="Courier New" w:hAnsi="Courier New"/>
          <w:sz w:val="14"/>
          <w:szCs w:val="14"/>
          <w:color w:val="auto"/>
        </w:rPr>
        <w:t>---------------------------------</w:t>
      </w:r>
    </w:p>
    <w:p>
      <w:pPr>
        <w:spacing w:after="0" w:line="9" w:lineRule="exact"/>
        <w:rPr>
          <w:sz w:val="24"/>
          <w:szCs w:val="24"/>
          <w:color w:val="auto"/>
        </w:rPr>
      </w:pPr>
    </w:p>
    <w:p>
      <w:pPr>
        <w:ind w:left="449"/>
        <w:spacing w:after="0"/>
        <w:rPr>
          <w:sz w:val="20"/>
          <w:szCs w:val="20"/>
          <w:color w:val="auto"/>
        </w:rPr>
      </w:pPr>
      <w:r>
        <w:rPr>
          <w:rFonts w:ascii="Courier New" w:cs="Courier New" w:eastAsia="Courier New" w:hAnsi="Courier New"/>
          <w:sz w:val="15"/>
          <w:szCs w:val="15"/>
          <w:color w:val="auto"/>
        </w:rPr>
        <w:t>(State or other jurisdiction of</w:t>
      </w:r>
    </w:p>
    <w:p>
      <w:pPr>
        <w:spacing w:after="0" w:line="1" w:lineRule="exact"/>
        <w:rPr>
          <w:sz w:val="24"/>
          <w:szCs w:val="24"/>
          <w:color w:val="auto"/>
        </w:rPr>
      </w:pPr>
    </w:p>
    <w:p>
      <w:pPr>
        <w:ind w:left="449"/>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5"/>
          <w:szCs w:val="15"/>
          <w:color w:val="auto"/>
        </w:rPr>
        <w:t>13-3444607</w:t>
      </w:r>
    </w:p>
    <w:p>
      <w:pPr>
        <w:spacing w:after="0" w:line="3"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4"/>
          <w:szCs w:val="14"/>
          <w:color w:val="auto"/>
        </w:rPr>
        <w:t>-------------------------------------</w:t>
      </w:r>
    </w:p>
    <w:p>
      <w:pPr>
        <w:spacing w:after="0" w:line="12"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(I.R.S. Employer Identification No.)</w:t>
      </w:r>
    </w:p>
    <w:p>
      <w:pPr>
        <w:spacing w:after="0" w:line="350" w:lineRule="exact"/>
        <w:rPr>
          <w:sz w:val="24"/>
          <w:szCs w:val="24"/>
          <w:color w:val="auto"/>
        </w:rPr>
      </w:pPr>
    </w:p>
    <w:p>
      <w:pPr>
        <w:sectPr>
          <w:pgSz w:w="11900" w:h="16838" w:orient="portrait"/>
          <w:cols w:equalWidth="0" w:num="2">
            <w:col w:w="3289" w:space="340"/>
            <w:col w:w="6599"/>
          </w:cols>
          <w:pgMar w:left="231" w:top="719" w:right="1440" w:bottom="1440" w:gutter="0" w:footer="0" w:header="0"/>
          <w:type w:val="continuous"/>
        </w:sectPr>
      </w:pPr>
    </w:p>
    <w:p>
      <w:pPr>
        <w:ind w:left="709"/>
        <w:spacing w:after="0"/>
        <w:rPr>
          <w:sz w:val="20"/>
          <w:szCs w:val="20"/>
          <w:color w:val="auto"/>
        </w:rPr>
      </w:pPr>
      <w:r>
        <w:rPr>
          <w:rFonts w:ascii="Courier New" w:cs="Courier New" w:eastAsia="Courier New" w:hAnsi="Courier New"/>
          <w:sz w:val="15"/>
          <w:szCs w:val="15"/>
          <w:color w:val="auto"/>
        </w:rPr>
        <w:t>777 Old Saw Mill River Road</w:t>
      </w:r>
    </w:p>
    <w:p>
      <w:pPr>
        <w:spacing w:after="0" w:line="1" w:lineRule="exact"/>
        <w:rPr>
          <w:sz w:val="24"/>
          <w:szCs w:val="24"/>
          <w:color w:val="auto"/>
        </w:rPr>
      </w:pPr>
    </w:p>
    <w:p>
      <w:pPr>
        <w:ind w:left="1149"/>
        <w:spacing w:after="0"/>
        <w:rPr>
          <w:sz w:val="20"/>
          <w:szCs w:val="20"/>
          <w:color w:val="auto"/>
        </w:rPr>
      </w:pPr>
      <w:r>
        <w:rPr>
          <w:rFonts w:ascii="Courier New" w:cs="Courier New" w:eastAsia="Courier New" w:hAnsi="Courier New"/>
          <w:sz w:val="15"/>
          <w:szCs w:val="15"/>
          <w:color w:val="auto"/>
        </w:rPr>
        <w:t>Tarrytown, New York</w:t>
      </w:r>
    </w:p>
    <w:p>
      <w:pPr>
        <w:spacing w:after="0" w:line="3" w:lineRule="exact"/>
        <w:rPr>
          <w:sz w:val="24"/>
          <w:szCs w:val="24"/>
          <w:color w:val="auto"/>
        </w:rPr>
      </w:pPr>
    </w:p>
    <w:p>
      <w:pPr>
        <w:ind w:left="349"/>
        <w:spacing w:after="0"/>
        <w:rPr>
          <w:sz w:val="20"/>
          <w:szCs w:val="20"/>
          <w:color w:val="auto"/>
        </w:rPr>
      </w:pPr>
      <w:r>
        <w:rPr>
          <w:rFonts w:ascii="Courier New" w:cs="Courier New" w:eastAsia="Courier New" w:hAnsi="Courier New"/>
          <w:sz w:val="14"/>
          <w:szCs w:val="14"/>
          <w:color w:val="auto"/>
        </w:rPr>
        <w:t>----------------------------------------</w:t>
      </w:r>
    </w:p>
    <w:p>
      <w:pPr>
        <w:spacing w:after="0" w:line="12" w:lineRule="exact"/>
        <w:rPr>
          <w:sz w:val="24"/>
          <w:szCs w:val="24"/>
          <w:color w:val="auto"/>
        </w:rPr>
      </w:pPr>
    </w:p>
    <w:p>
      <w:pPr>
        <w:ind w:left="349"/>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jc w:val="center"/>
        <w:ind w:right="3839"/>
        <w:spacing w:after="0"/>
        <w:rPr>
          <w:sz w:val="20"/>
          <w:szCs w:val="20"/>
          <w:color w:val="auto"/>
        </w:rPr>
      </w:pPr>
      <w:r>
        <w:rPr>
          <w:rFonts w:ascii="Courier New" w:cs="Courier New" w:eastAsia="Courier New" w:hAnsi="Courier New"/>
          <w:sz w:val="15"/>
          <w:szCs w:val="15"/>
          <w:color w:val="auto"/>
        </w:rPr>
        <w:t>10591-6707</w:t>
      </w:r>
    </w:p>
    <w:p>
      <w:pPr>
        <w:spacing w:after="0" w:line="3" w:lineRule="exact"/>
        <w:rPr>
          <w:sz w:val="24"/>
          <w:szCs w:val="24"/>
          <w:color w:val="auto"/>
        </w:rPr>
      </w:pPr>
    </w:p>
    <w:p>
      <w:pPr>
        <w:jc w:val="center"/>
        <w:ind w:right="3839"/>
        <w:spacing w:after="0"/>
        <w:rPr>
          <w:sz w:val="20"/>
          <w:szCs w:val="20"/>
          <w:color w:val="auto"/>
        </w:rPr>
      </w:pPr>
      <w:r>
        <w:rPr>
          <w:rFonts w:ascii="Courier New" w:cs="Courier New" w:eastAsia="Courier New" w:hAnsi="Courier New"/>
          <w:sz w:val="14"/>
          <w:szCs w:val="14"/>
          <w:color w:val="auto"/>
        </w:rPr>
        <w:t>--------------</w:t>
      </w:r>
    </w:p>
    <w:p>
      <w:pPr>
        <w:spacing w:after="0" w:line="9" w:lineRule="exact"/>
        <w:rPr>
          <w:sz w:val="24"/>
          <w:szCs w:val="24"/>
          <w:color w:val="auto"/>
        </w:rPr>
      </w:pPr>
    </w:p>
    <w:p>
      <w:pPr>
        <w:jc w:val="center"/>
        <w:ind w:right="3839"/>
        <w:spacing w:after="0"/>
        <w:rPr>
          <w:sz w:val="20"/>
          <w:szCs w:val="20"/>
          <w:color w:val="auto"/>
        </w:rPr>
      </w:pPr>
      <w:r>
        <w:rPr>
          <w:rFonts w:ascii="Courier New" w:cs="Courier New" w:eastAsia="Courier New" w:hAnsi="Courier New"/>
          <w:sz w:val="15"/>
          <w:szCs w:val="15"/>
          <w:color w:val="auto"/>
        </w:rPr>
        <w:t>(Zip code)</w:t>
      </w:r>
    </w:p>
    <w:p>
      <w:pPr>
        <w:spacing w:after="0" w:line="171" w:lineRule="exact"/>
        <w:rPr>
          <w:sz w:val="24"/>
          <w:szCs w:val="24"/>
          <w:color w:val="auto"/>
        </w:rPr>
      </w:pPr>
    </w:p>
    <w:p>
      <w:pPr>
        <w:sectPr>
          <w:pgSz w:w="11900" w:h="16838" w:orient="portrait"/>
          <w:cols w:equalWidth="0" w:num="2">
            <w:col w:w="4429" w:space="720"/>
            <w:col w:w="5079"/>
          </w:cols>
          <w:pgMar w:left="231" w:top="719" w:right="1440" w:bottom="1440" w:gutter="0" w:footer="0" w:header="0"/>
          <w:type w:val="continuous"/>
        </w:sectPr>
      </w:pPr>
    </w:p>
    <w:p>
      <w:pPr>
        <w:ind w:left="3189" w:hanging="527"/>
        <w:spacing w:after="0"/>
        <w:tabs>
          <w:tab w:leader="none" w:pos="318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347-7000</w:t>
      </w:r>
    </w:p>
    <w:p>
      <w:pPr>
        <w:ind w:left="9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(Registrant's telephone number, including area code)</w:t>
      </w:r>
    </w:p>
    <w:p>
      <w:pPr>
        <w:spacing w:after="0" w:line="345" w:lineRule="exact"/>
        <w:rPr>
          <w:sz w:val="24"/>
          <w:szCs w:val="24"/>
          <w:color w:val="auto"/>
        </w:rPr>
      </w:pPr>
    </w:p>
    <w:p>
      <w:pPr>
        <w:ind w:left="9" w:right="3839"/>
        <w:spacing w:after="0" w:line="261"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28"/>
          </w:cols>
          <w:pgMar w:left="231" w:top="719" w:right="1440" w:bottom="1440" w:gutter="0" w:footer="0" w:header="0"/>
          <w:type w:val="continuous"/>
        </w:sectPr>
      </w:pPr>
    </w:p>
    <w:p>
      <w:pPr>
        <w:spacing w:after="0" w:line="159" w:lineRule="exact"/>
        <w:rPr>
          <w:sz w:val="24"/>
          <w:szCs w:val="24"/>
          <w:color w:val="auto"/>
        </w:rPr>
      </w:pPr>
    </w:p>
    <w:p>
      <w:pPr>
        <w:ind w:left="5229"/>
        <w:spacing w:after="0"/>
        <w:rPr>
          <w:sz w:val="20"/>
          <w:szCs w:val="20"/>
          <w:color w:val="auto"/>
        </w:rPr>
      </w:pPr>
      <w:r>
        <w:rPr>
          <w:rFonts w:ascii="Courier New" w:cs="Courier New" w:eastAsia="Courier New" w:hAnsi="Courier New"/>
          <w:sz w:val="15"/>
          <w:szCs w:val="15"/>
          <w:color w:val="auto"/>
        </w:rPr>
        <w:t>Yes X</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3" w:lineRule="exact"/>
        <w:rPr>
          <w:sz w:val="24"/>
          <w:szCs w:val="24"/>
          <w:color w:val="auto"/>
        </w:rPr>
      </w:pPr>
    </w:p>
    <w:p>
      <w:pPr>
        <w:sectPr>
          <w:pgSz w:w="11900" w:h="16838" w:orient="portrait"/>
          <w:cols w:equalWidth="0" w:num="2">
            <w:col w:w="5689" w:space="340"/>
            <w:col w:w="4199"/>
          </w:cols>
          <w:pgMar w:left="231" w:top="719" w:right="1440" w:bottom="1440" w:gutter="0" w:footer="0" w:header="0"/>
          <w:type w:val="continuous"/>
        </w:sectPr>
      </w:pPr>
    </w:p>
    <w:p>
      <w:pPr>
        <w:ind w:left="5509"/>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4"/>
          <w:szCs w:val="24"/>
          <w:color w:val="auto"/>
        </w:rPr>
      </w:pPr>
    </w:p>
    <w:p>
      <w:pPr>
        <w:sectPr>
          <w:pgSz w:w="11900" w:h="16838" w:orient="portrait"/>
          <w:cols w:equalWidth="0" w:num="2">
            <w:col w:w="5849" w:space="460"/>
            <w:col w:w="3919"/>
          </w:cols>
          <w:pgMar w:left="231" w:top="719" w:right="1440" w:bottom="1440" w:gutter="0" w:footer="0" w:header="0"/>
          <w:type w:val="continuous"/>
        </w:sectPr>
      </w:pPr>
    </w:p>
    <w:p>
      <w:pPr>
        <w:ind w:left="9" w:right="3759"/>
        <w:spacing w:after="0" w:line="238"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May 8, 1998:</w:t>
      </w:r>
    </w:p>
    <w:p>
      <w:pPr>
        <w:sectPr>
          <w:pgSz w:w="11900" w:h="16838" w:orient="portrait"/>
          <w:cols w:equalWidth="0" w:num="1">
            <w:col w:w="10228"/>
          </w:cols>
          <w:pgMar w:left="231" w:top="719" w:right="1440" w:bottom="1440" w:gutter="0" w:footer="0" w:header="0"/>
          <w:type w:val="continuous"/>
        </w:sectPr>
      </w:pPr>
    </w:p>
    <w:p>
      <w:pPr>
        <w:spacing w:after="0" w:line="346" w:lineRule="exact"/>
        <w:rPr>
          <w:sz w:val="24"/>
          <w:szCs w:val="24"/>
          <w:color w:val="auto"/>
        </w:rPr>
      </w:pPr>
    </w:p>
    <w:p>
      <w:pPr>
        <w:ind w:left="449" w:firstLine="355"/>
        <w:spacing w:after="0" w:line="262" w:lineRule="auto"/>
        <w:rPr>
          <w:sz w:val="20"/>
          <w:szCs w:val="20"/>
          <w:color w:val="auto"/>
        </w:rPr>
      </w:pPr>
      <w:r>
        <w:rPr>
          <w:rFonts w:ascii="Courier New" w:cs="Courier New" w:eastAsia="Courier New" w:hAnsi="Courier New"/>
          <w:sz w:val="14"/>
          <w:szCs w:val="14"/>
          <w:color w:val="auto"/>
        </w:rPr>
        <w:t>Class of Common Stock ------------------------------- Class A Stock, $0.001 par value Common Stock, $0.001 par value</w:t>
      </w:r>
    </w:p>
    <w:p>
      <w:pPr>
        <w:spacing w:after="0" w:line="20" w:lineRule="exact"/>
        <w:rPr>
          <w:sz w:val="24"/>
          <w:szCs w:val="24"/>
          <w:color w:val="auto"/>
        </w:rPr>
      </w:pPr>
      <w:r>
        <w:rPr>
          <w:sz w:val="24"/>
          <w:szCs w:val="24"/>
          <w:color w:val="auto"/>
        </w:rPr>
        <w:br w:type="column"/>
      </w:r>
    </w:p>
    <w:p>
      <w:pPr>
        <w:spacing w:after="0" w:line="32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Number of Shares</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27,110,100</w:t>
      </w:r>
    </w:p>
    <w:p>
      <w:pPr>
        <w:spacing w:after="0" w:line="1"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3,896,274</w:t>
      </w:r>
    </w:p>
    <w:p>
      <w:pPr>
        <w:sectPr>
          <w:pgSz w:w="11900" w:h="16838" w:orient="portrait"/>
          <w:cols w:equalWidth="0" w:num="2">
            <w:col w:w="3189" w:space="720"/>
            <w:col w:w="6319"/>
          </w:cols>
          <w:pgMar w:left="231" w:top="719" w:right="1440" w:bottom="1440" w:gutter="0" w:footer="0" w:header="0"/>
          <w:type w:val="continuous"/>
        </w:sectPr>
      </w:pPr>
    </w:p>
    <w:bookmarkStart w:id="1" w:name="page2"/>
    <w:bookmarkEnd w:id="1"/>
    <w:p>
      <w:pPr>
        <w:ind w:left="2040"/>
        <w:spacing w:after="0"/>
        <w:rPr>
          <w:sz w:val="20"/>
          <w:szCs w:val="20"/>
          <w:color w:val="auto"/>
        </w:rPr>
      </w:pPr>
      <w:r>
        <w:rPr>
          <w:rFonts w:ascii="Courier New" w:cs="Courier New" w:eastAsia="Courier New" w:hAnsi="Courier New"/>
          <w:sz w:val="15"/>
          <w:szCs w:val="15"/>
          <w:color w:val="auto"/>
        </w:rPr>
        <w:t>REGENERON PHARMACEUTICALS, INC.</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Table of Contents</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March 31, 1998</w:t>
      </w:r>
    </w:p>
    <w:p>
      <w:pPr>
        <w:spacing w:after="0" w:line="200" w:lineRule="exact"/>
        <w:rPr>
          <w:sz w:val="20"/>
          <w:szCs w:val="20"/>
          <w:color w:val="auto"/>
        </w:rPr>
      </w:pPr>
    </w:p>
    <w:p>
      <w:pPr>
        <w:spacing w:after="0" w:line="313"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Page Numbers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5500" w:type="dxa"/>
            <w:vAlign w:val="bottom"/>
          </w:tcPr>
          <w:p>
            <w:pPr>
              <w:ind w:left="40"/>
              <w:spacing w:after="0"/>
              <w:rPr>
                <w:sz w:val="20"/>
                <w:szCs w:val="20"/>
                <w:color w:val="auto"/>
              </w:rPr>
            </w:pPr>
            <w:r>
              <w:rPr>
                <w:rFonts w:ascii="Courier New" w:cs="Courier New" w:eastAsia="Courier New" w:hAnsi="Courier New"/>
                <w:sz w:val="15"/>
                <w:szCs w:val="15"/>
                <w:color w:val="auto"/>
              </w:rPr>
              <w:t>FINANCIAL INFORMATION</w:t>
            </w:r>
          </w:p>
        </w:tc>
        <w:tc>
          <w:tcPr>
            <w:tcW w:w="580" w:type="dxa"/>
            <w:vAlign w:val="bottom"/>
          </w:tcPr>
          <w:p>
            <w:pPr>
              <w:spacing w:after="0"/>
              <w:rPr>
                <w:sz w:val="14"/>
                <w:szCs w:val="14"/>
                <w:color w:val="auto"/>
              </w:rPr>
            </w:pPr>
          </w:p>
        </w:tc>
      </w:tr>
      <w:tr>
        <w:trPr>
          <w:trHeight w:val="512"/>
        </w:trPr>
        <w:tc>
          <w:tcPr>
            <w:tcW w:w="92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5500" w:type="dxa"/>
            <w:vAlign w:val="bottom"/>
          </w:tcPr>
          <w:p>
            <w:pPr>
              <w:ind w:left="40"/>
              <w:spacing w:after="0"/>
              <w:rPr>
                <w:sz w:val="20"/>
                <w:szCs w:val="20"/>
                <w:color w:val="auto"/>
              </w:rPr>
            </w:pPr>
            <w:r>
              <w:rPr>
                <w:rFonts w:ascii="Courier New" w:cs="Courier New" w:eastAsia="Courier New" w:hAnsi="Courier New"/>
                <w:sz w:val="15"/>
                <w:szCs w:val="15"/>
                <w:color w:val="auto"/>
              </w:rPr>
              <w:t>Financial Statements</w:t>
            </w:r>
          </w:p>
        </w:tc>
        <w:tc>
          <w:tcPr>
            <w:tcW w:w="580" w:type="dxa"/>
            <w:vAlign w:val="bottom"/>
          </w:tcPr>
          <w:p>
            <w:pPr>
              <w:spacing w:after="0"/>
              <w:rPr>
                <w:sz w:val="24"/>
                <w:szCs w:val="24"/>
                <w:color w:val="auto"/>
              </w:rPr>
            </w:pPr>
          </w:p>
        </w:tc>
      </w:tr>
      <w:tr>
        <w:trPr>
          <w:trHeight w:val="341"/>
        </w:trPr>
        <w:tc>
          <w:tcPr>
            <w:tcW w:w="920" w:type="dxa"/>
            <w:vAlign w:val="bottom"/>
          </w:tcPr>
          <w:p>
            <w:pPr>
              <w:spacing w:after="0"/>
              <w:rPr>
                <w:sz w:val="24"/>
                <w:szCs w:val="24"/>
                <w:color w:val="auto"/>
              </w:rPr>
            </w:pPr>
          </w:p>
        </w:tc>
        <w:tc>
          <w:tcPr>
            <w:tcW w:w="5500" w:type="dxa"/>
            <w:vAlign w:val="bottom"/>
          </w:tcPr>
          <w:p>
            <w:pPr>
              <w:ind w:left="40"/>
              <w:spacing w:after="0"/>
              <w:rPr>
                <w:sz w:val="20"/>
                <w:szCs w:val="20"/>
                <w:color w:val="auto"/>
              </w:rPr>
            </w:pPr>
            <w:r>
              <w:rPr>
                <w:rFonts w:ascii="Courier New" w:cs="Courier New" w:eastAsia="Courier New" w:hAnsi="Courier New"/>
                <w:sz w:val="15"/>
                <w:szCs w:val="15"/>
                <w:color w:val="auto"/>
              </w:rPr>
              <w:t>Condensed balance sheets (unaudited) at March 31, 1998</w:t>
            </w:r>
          </w:p>
        </w:tc>
        <w:tc>
          <w:tcPr>
            <w:tcW w:w="580" w:type="dxa"/>
            <w:vAlign w:val="bottom"/>
          </w:tcPr>
          <w:p>
            <w:pPr>
              <w:spacing w:after="0"/>
              <w:rPr>
                <w:sz w:val="24"/>
                <w:szCs w:val="24"/>
                <w:color w:val="auto"/>
              </w:rPr>
            </w:pPr>
          </w:p>
        </w:tc>
      </w:tr>
      <w:tr>
        <w:trPr>
          <w:trHeight w:val="171"/>
        </w:trPr>
        <w:tc>
          <w:tcPr>
            <w:tcW w:w="920" w:type="dxa"/>
            <w:vAlign w:val="bottom"/>
          </w:tcPr>
          <w:p>
            <w:pPr>
              <w:spacing w:after="0"/>
              <w:rPr>
                <w:sz w:val="14"/>
                <w:szCs w:val="14"/>
                <w:color w:val="auto"/>
              </w:rPr>
            </w:pPr>
          </w:p>
        </w:tc>
        <w:tc>
          <w:tcPr>
            <w:tcW w:w="5500" w:type="dxa"/>
            <w:vAlign w:val="bottom"/>
          </w:tcPr>
          <w:p>
            <w:pPr>
              <w:ind w:left="40"/>
              <w:spacing w:after="0"/>
              <w:rPr>
                <w:sz w:val="20"/>
                <w:szCs w:val="20"/>
                <w:color w:val="auto"/>
              </w:rPr>
            </w:pPr>
            <w:r>
              <w:rPr>
                <w:rFonts w:ascii="Courier New" w:cs="Courier New" w:eastAsia="Courier New" w:hAnsi="Courier New"/>
                <w:sz w:val="15"/>
                <w:szCs w:val="15"/>
                <w:color w:val="auto"/>
              </w:rPr>
              <w:t>and December 31, 1997</w:t>
            </w:r>
          </w:p>
        </w:tc>
        <w:tc>
          <w:tcPr>
            <w:tcW w:w="580" w:type="dxa"/>
            <w:vAlign w:val="bottom"/>
          </w:tcPr>
          <w:p>
            <w:pPr>
              <w:ind w:left="140"/>
              <w:spacing w:after="0"/>
              <w:rPr>
                <w:sz w:val="20"/>
                <w:szCs w:val="20"/>
                <w:color w:val="auto"/>
              </w:rPr>
            </w:pPr>
            <w:r>
              <w:rPr>
                <w:rFonts w:ascii="Courier New" w:cs="Courier New" w:eastAsia="Courier New" w:hAnsi="Courier New"/>
                <w:sz w:val="15"/>
                <w:szCs w:val="15"/>
                <w:color w:val="auto"/>
              </w:rPr>
              <w:t>3</w:t>
            </w:r>
          </w:p>
        </w:tc>
      </w:tr>
      <w:tr>
        <w:trPr>
          <w:trHeight w:val="341"/>
        </w:trPr>
        <w:tc>
          <w:tcPr>
            <w:tcW w:w="920" w:type="dxa"/>
            <w:vAlign w:val="bottom"/>
          </w:tcPr>
          <w:p>
            <w:pPr>
              <w:spacing w:after="0"/>
              <w:rPr>
                <w:sz w:val="24"/>
                <w:szCs w:val="24"/>
                <w:color w:val="auto"/>
              </w:rPr>
            </w:pPr>
          </w:p>
        </w:tc>
        <w:tc>
          <w:tcPr>
            <w:tcW w:w="5500" w:type="dxa"/>
            <w:vAlign w:val="bottom"/>
          </w:tcPr>
          <w:p>
            <w:pPr>
              <w:ind w:left="40"/>
              <w:spacing w:after="0"/>
              <w:rPr>
                <w:sz w:val="20"/>
                <w:szCs w:val="20"/>
                <w:color w:val="auto"/>
              </w:rPr>
            </w:pPr>
            <w:r>
              <w:rPr>
                <w:rFonts w:ascii="Courier New" w:cs="Courier New" w:eastAsia="Courier New" w:hAnsi="Courier New"/>
                <w:sz w:val="15"/>
                <w:szCs w:val="15"/>
                <w:color w:val="auto"/>
              </w:rPr>
              <w:t>Condensed statements of operations (unaudited) for the three</w:t>
            </w:r>
          </w:p>
        </w:tc>
        <w:tc>
          <w:tcPr>
            <w:tcW w:w="580" w:type="dxa"/>
            <w:vAlign w:val="bottom"/>
          </w:tcPr>
          <w:p>
            <w:pPr>
              <w:spacing w:after="0"/>
              <w:rPr>
                <w:sz w:val="24"/>
                <w:szCs w:val="24"/>
                <w:color w:val="auto"/>
              </w:rPr>
            </w:pPr>
          </w:p>
        </w:tc>
      </w:tr>
      <w:tr>
        <w:trPr>
          <w:trHeight w:val="171"/>
        </w:trPr>
        <w:tc>
          <w:tcPr>
            <w:tcW w:w="920" w:type="dxa"/>
            <w:vAlign w:val="bottom"/>
          </w:tcPr>
          <w:p>
            <w:pPr>
              <w:spacing w:after="0"/>
              <w:rPr>
                <w:sz w:val="14"/>
                <w:szCs w:val="14"/>
                <w:color w:val="auto"/>
              </w:rPr>
            </w:pPr>
          </w:p>
        </w:tc>
        <w:tc>
          <w:tcPr>
            <w:tcW w:w="5500" w:type="dxa"/>
            <w:vAlign w:val="bottom"/>
          </w:tcPr>
          <w:p>
            <w:pPr>
              <w:ind w:left="40"/>
              <w:spacing w:after="0"/>
              <w:rPr>
                <w:sz w:val="20"/>
                <w:szCs w:val="20"/>
                <w:color w:val="auto"/>
              </w:rPr>
            </w:pPr>
            <w:r>
              <w:rPr>
                <w:rFonts w:ascii="Courier New" w:cs="Courier New" w:eastAsia="Courier New" w:hAnsi="Courier New"/>
                <w:sz w:val="15"/>
                <w:szCs w:val="15"/>
                <w:color w:val="auto"/>
              </w:rPr>
              <w:t>months ended March 31, 1998 and 1997</w:t>
            </w:r>
          </w:p>
        </w:tc>
        <w:tc>
          <w:tcPr>
            <w:tcW w:w="580" w:type="dxa"/>
            <w:vAlign w:val="bottom"/>
          </w:tcPr>
          <w:p>
            <w:pPr>
              <w:ind w:left="140"/>
              <w:spacing w:after="0"/>
              <w:rPr>
                <w:sz w:val="20"/>
                <w:szCs w:val="20"/>
                <w:color w:val="auto"/>
              </w:rPr>
            </w:pPr>
            <w:r>
              <w:rPr>
                <w:rFonts w:ascii="Courier New" w:cs="Courier New" w:eastAsia="Courier New" w:hAnsi="Courier New"/>
                <w:sz w:val="15"/>
                <w:szCs w:val="15"/>
                <w:color w:val="auto"/>
              </w:rPr>
              <w:t>4</w:t>
            </w:r>
          </w:p>
        </w:tc>
      </w:tr>
      <w:tr>
        <w:trPr>
          <w:trHeight w:val="341"/>
        </w:trPr>
        <w:tc>
          <w:tcPr>
            <w:tcW w:w="920" w:type="dxa"/>
            <w:vAlign w:val="bottom"/>
          </w:tcPr>
          <w:p>
            <w:pPr>
              <w:spacing w:after="0"/>
              <w:rPr>
                <w:sz w:val="24"/>
                <w:szCs w:val="24"/>
                <w:color w:val="auto"/>
              </w:rPr>
            </w:pPr>
          </w:p>
        </w:tc>
        <w:tc>
          <w:tcPr>
            <w:tcW w:w="5500" w:type="dxa"/>
            <w:vAlign w:val="bottom"/>
          </w:tcPr>
          <w:p>
            <w:pPr>
              <w:ind w:left="40"/>
              <w:spacing w:after="0"/>
              <w:rPr>
                <w:sz w:val="20"/>
                <w:szCs w:val="20"/>
                <w:color w:val="auto"/>
              </w:rPr>
            </w:pPr>
            <w:r>
              <w:rPr>
                <w:rFonts w:ascii="Courier New" w:cs="Courier New" w:eastAsia="Courier New" w:hAnsi="Courier New"/>
                <w:sz w:val="15"/>
                <w:szCs w:val="15"/>
                <w:color w:val="auto"/>
              </w:rPr>
              <w:t>Condensed statement of stockholders' equity (unaudited) for</w:t>
            </w:r>
          </w:p>
        </w:tc>
        <w:tc>
          <w:tcPr>
            <w:tcW w:w="580" w:type="dxa"/>
            <w:vAlign w:val="bottom"/>
          </w:tcPr>
          <w:p>
            <w:pPr>
              <w:spacing w:after="0"/>
              <w:rPr>
                <w:sz w:val="24"/>
                <w:szCs w:val="24"/>
                <w:color w:val="auto"/>
              </w:rPr>
            </w:pPr>
          </w:p>
        </w:tc>
      </w:tr>
      <w:tr>
        <w:trPr>
          <w:trHeight w:val="171"/>
        </w:trPr>
        <w:tc>
          <w:tcPr>
            <w:tcW w:w="920" w:type="dxa"/>
            <w:vAlign w:val="bottom"/>
          </w:tcPr>
          <w:p>
            <w:pPr>
              <w:spacing w:after="0"/>
              <w:rPr>
                <w:sz w:val="14"/>
                <w:szCs w:val="14"/>
                <w:color w:val="auto"/>
              </w:rPr>
            </w:pPr>
          </w:p>
        </w:tc>
        <w:tc>
          <w:tcPr>
            <w:tcW w:w="5500" w:type="dxa"/>
            <w:vAlign w:val="bottom"/>
          </w:tcPr>
          <w:p>
            <w:pPr>
              <w:ind w:left="40"/>
              <w:spacing w:after="0"/>
              <w:rPr>
                <w:sz w:val="20"/>
                <w:szCs w:val="20"/>
                <w:color w:val="auto"/>
              </w:rPr>
            </w:pPr>
            <w:r>
              <w:rPr>
                <w:rFonts w:ascii="Courier New" w:cs="Courier New" w:eastAsia="Courier New" w:hAnsi="Courier New"/>
                <w:sz w:val="15"/>
                <w:szCs w:val="15"/>
                <w:color w:val="auto"/>
              </w:rPr>
              <w:t>three months ended March 31, 1998</w:t>
            </w:r>
          </w:p>
        </w:tc>
        <w:tc>
          <w:tcPr>
            <w:tcW w:w="580" w:type="dxa"/>
            <w:vAlign w:val="bottom"/>
          </w:tcPr>
          <w:p>
            <w:pPr>
              <w:ind w:left="140"/>
              <w:spacing w:after="0"/>
              <w:rPr>
                <w:sz w:val="20"/>
                <w:szCs w:val="20"/>
                <w:color w:val="auto"/>
              </w:rPr>
            </w:pPr>
            <w:r>
              <w:rPr>
                <w:rFonts w:ascii="Courier New" w:cs="Courier New" w:eastAsia="Courier New" w:hAnsi="Courier New"/>
                <w:sz w:val="15"/>
                <w:szCs w:val="15"/>
                <w:color w:val="auto"/>
              </w:rPr>
              <w:t>5</w:t>
            </w:r>
          </w:p>
        </w:tc>
      </w:tr>
      <w:tr>
        <w:trPr>
          <w:trHeight w:val="341"/>
        </w:trPr>
        <w:tc>
          <w:tcPr>
            <w:tcW w:w="920" w:type="dxa"/>
            <w:vAlign w:val="bottom"/>
          </w:tcPr>
          <w:p>
            <w:pPr>
              <w:spacing w:after="0"/>
              <w:rPr>
                <w:sz w:val="24"/>
                <w:szCs w:val="24"/>
                <w:color w:val="auto"/>
              </w:rPr>
            </w:pPr>
          </w:p>
        </w:tc>
        <w:tc>
          <w:tcPr>
            <w:tcW w:w="5500" w:type="dxa"/>
            <w:vAlign w:val="bottom"/>
          </w:tcPr>
          <w:p>
            <w:pPr>
              <w:ind w:left="40"/>
              <w:spacing w:after="0"/>
              <w:rPr>
                <w:sz w:val="20"/>
                <w:szCs w:val="20"/>
                <w:color w:val="auto"/>
              </w:rPr>
            </w:pPr>
            <w:r>
              <w:rPr>
                <w:rFonts w:ascii="Courier New" w:cs="Courier New" w:eastAsia="Courier New" w:hAnsi="Courier New"/>
                <w:sz w:val="15"/>
                <w:szCs w:val="15"/>
                <w:color w:val="auto"/>
              </w:rPr>
              <w:t>Condensed statements of cash flows (unaudited) for the</w:t>
            </w:r>
          </w:p>
        </w:tc>
        <w:tc>
          <w:tcPr>
            <w:tcW w:w="580" w:type="dxa"/>
            <w:vAlign w:val="bottom"/>
          </w:tcPr>
          <w:p>
            <w:pPr>
              <w:spacing w:after="0"/>
              <w:rPr>
                <w:sz w:val="24"/>
                <w:szCs w:val="24"/>
                <w:color w:val="auto"/>
              </w:rPr>
            </w:pPr>
          </w:p>
        </w:tc>
      </w:tr>
      <w:tr>
        <w:trPr>
          <w:trHeight w:val="171"/>
        </w:trPr>
        <w:tc>
          <w:tcPr>
            <w:tcW w:w="920" w:type="dxa"/>
            <w:vAlign w:val="bottom"/>
          </w:tcPr>
          <w:p>
            <w:pPr>
              <w:spacing w:after="0"/>
              <w:rPr>
                <w:sz w:val="14"/>
                <w:szCs w:val="14"/>
                <w:color w:val="auto"/>
              </w:rPr>
            </w:pPr>
          </w:p>
        </w:tc>
        <w:tc>
          <w:tcPr>
            <w:tcW w:w="5500" w:type="dxa"/>
            <w:vAlign w:val="bottom"/>
          </w:tcPr>
          <w:p>
            <w:pPr>
              <w:ind w:left="40"/>
              <w:spacing w:after="0"/>
              <w:rPr>
                <w:sz w:val="20"/>
                <w:szCs w:val="20"/>
                <w:color w:val="auto"/>
              </w:rPr>
            </w:pPr>
            <w:r>
              <w:rPr>
                <w:rFonts w:ascii="Courier New" w:cs="Courier New" w:eastAsia="Courier New" w:hAnsi="Courier New"/>
                <w:sz w:val="15"/>
                <w:szCs w:val="15"/>
                <w:color w:val="auto"/>
              </w:rPr>
              <w:t>three months ended March 31, 1998 and 1997</w:t>
            </w:r>
          </w:p>
        </w:tc>
        <w:tc>
          <w:tcPr>
            <w:tcW w:w="580" w:type="dxa"/>
            <w:vAlign w:val="bottom"/>
          </w:tcPr>
          <w:p>
            <w:pPr>
              <w:ind w:left="140"/>
              <w:spacing w:after="0"/>
              <w:rPr>
                <w:sz w:val="20"/>
                <w:szCs w:val="20"/>
                <w:color w:val="auto"/>
              </w:rPr>
            </w:pPr>
            <w:r>
              <w:rPr>
                <w:rFonts w:ascii="Courier New" w:cs="Courier New" w:eastAsia="Courier New" w:hAnsi="Courier New"/>
                <w:sz w:val="15"/>
                <w:szCs w:val="15"/>
                <w:color w:val="auto"/>
              </w:rPr>
              <w:t>6</w:t>
            </w:r>
          </w:p>
        </w:tc>
      </w:tr>
      <w:tr>
        <w:trPr>
          <w:trHeight w:val="341"/>
        </w:trPr>
        <w:tc>
          <w:tcPr>
            <w:tcW w:w="920" w:type="dxa"/>
            <w:vAlign w:val="bottom"/>
          </w:tcPr>
          <w:p>
            <w:pPr>
              <w:spacing w:after="0"/>
              <w:rPr>
                <w:sz w:val="24"/>
                <w:szCs w:val="24"/>
                <w:color w:val="auto"/>
              </w:rPr>
            </w:pPr>
          </w:p>
        </w:tc>
        <w:tc>
          <w:tcPr>
            <w:tcW w:w="5500" w:type="dxa"/>
            <w:vAlign w:val="bottom"/>
          </w:tcPr>
          <w:p>
            <w:pPr>
              <w:ind w:left="40"/>
              <w:spacing w:after="0"/>
              <w:rPr>
                <w:sz w:val="20"/>
                <w:szCs w:val="20"/>
                <w:color w:val="auto"/>
              </w:rPr>
            </w:pPr>
            <w:r>
              <w:rPr>
                <w:rFonts w:ascii="Courier New" w:cs="Courier New" w:eastAsia="Courier New" w:hAnsi="Courier New"/>
                <w:sz w:val="15"/>
                <w:szCs w:val="15"/>
                <w:color w:val="auto"/>
              </w:rPr>
              <w:t>Notes to condensed financial statements</w:t>
            </w:r>
          </w:p>
        </w:tc>
        <w:tc>
          <w:tcPr>
            <w:tcW w:w="580" w:type="dxa"/>
            <w:vAlign w:val="bottom"/>
          </w:tcPr>
          <w:p>
            <w:pPr>
              <w:ind w:left="140"/>
              <w:spacing w:after="0"/>
              <w:rPr>
                <w:sz w:val="20"/>
                <w:szCs w:val="20"/>
                <w:color w:val="auto"/>
              </w:rPr>
            </w:pPr>
            <w:r>
              <w:rPr>
                <w:rFonts w:ascii="Courier New" w:cs="Courier New" w:eastAsia="Courier New" w:hAnsi="Courier New"/>
                <w:sz w:val="15"/>
                <w:szCs w:val="15"/>
                <w:color w:val="auto"/>
              </w:rPr>
              <w:t>7-9</w:t>
            </w:r>
          </w:p>
        </w:tc>
      </w:tr>
      <w:tr>
        <w:trPr>
          <w:trHeight w:val="341"/>
        </w:trPr>
        <w:tc>
          <w:tcPr>
            <w:tcW w:w="92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5500" w:type="dxa"/>
            <w:vAlign w:val="bottom"/>
          </w:tcPr>
          <w:p>
            <w:pPr>
              <w:ind w:left="40"/>
              <w:spacing w:after="0"/>
              <w:rPr>
                <w:sz w:val="20"/>
                <w:szCs w:val="20"/>
                <w:color w:val="auto"/>
              </w:rPr>
            </w:pPr>
            <w:r>
              <w:rPr>
                <w:rFonts w:ascii="Courier New" w:cs="Courier New" w:eastAsia="Courier New" w:hAnsi="Courier New"/>
                <w:sz w:val="15"/>
                <w:szCs w:val="15"/>
                <w:color w:val="auto"/>
              </w:rPr>
              <w:t>Management's Discussion and Analysis of  Financial Condition</w:t>
            </w:r>
          </w:p>
        </w:tc>
        <w:tc>
          <w:tcPr>
            <w:tcW w:w="580" w:type="dxa"/>
            <w:vAlign w:val="bottom"/>
          </w:tcPr>
          <w:p>
            <w:pPr>
              <w:spacing w:after="0"/>
              <w:rPr>
                <w:sz w:val="24"/>
                <w:szCs w:val="24"/>
                <w:color w:val="auto"/>
              </w:rPr>
            </w:pPr>
          </w:p>
        </w:tc>
      </w:tr>
      <w:tr>
        <w:trPr>
          <w:trHeight w:val="171"/>
        </w:trPr>
        <w:tc>
          <w:tcPr>
            <w:tcW w:w="920" w:type="dxa"/>
            <w:vAlign w:val="bottom"/>
          </w:tcPr>
          <w:p>
            <w:pPr>
              <w:spacing w:after="0"/>
              <w:rPr>
                <w:sz w:val="14"/>
                <w:szCs w:val="14"/>
                <w:color w:val="auto"/>
              </w:rPr>
            </w:pPr>
          </w:p>
        </w:tc>
        <w:tc>
          <w:tcPr>
            <w:tcW w:w="5500" w:type="dxa"/>
            <w:vAlign w:val="bottom"/>
          </w:tcPr>
          <w:p>
            <w:pPr>
              <w:ind w:left="40"/>
              <w:spacing w:after="0"/>
              <w:rPr>
                <w:sz w:val="20"/>
                <w:szCs w:val="20"/>
                <w:color w:val="auto"/>
              </w:rPr>
            </w:pPr>
            <w:r>
              <w:rPr>
                <w:rFonts w:ascii="Courier New" w:cs="Courier New" w:eastAsia="Courier New" w:hAnsi="Courier New"/>
                <w:sz w:val="15"/>
                <w:szCs w:val="15"/>
                <w:color w:val="auto"/>
              </w:rPr>
              <w:t>and Results of Operations</w:t>
            </w:r>
          </w:p>
        </w:tc>
        <w:tc>
          <w:tcPr>
            <w:tcW w:w="580" w:type="dxa"/>
            <w:vAlign w:val="bottom"/>
          </w:tcPr>
          <w:p>
            <w:pPr>
              <w:ind w:left="140"/>
              <w:spacing w:after="0"/>
              <w:rPr>
                <w:sz w:val="20"/>
                <w:szCs w:val="20"/>
                <w:color w:val="auto"/>
              </w:rPr>
            </w:pPr>
            <w:r>
              <w:rPr>
                <w:rFonts w:ascii="Courier New" w:cs="Courier New" w:eastAsia="Courier New" w:hAnsi="Courier New"/>
                <w:sz w:val="15"/>
                <w:szCs w:val="15"/>
                <w:color w:val="auto"/>
                <w:w w:val="93"/>
              </w:rPr>
              <w:t>10-17</w:t>
            </w:r>
          </w:p>
        </w:tc>
      </w:tr>
      <w:tr>
        <w:trPr>
          <w:trHeight w:val="512"/>
        </w:trPr>
        <w:tc>
          <w:tcPr>
            <w:tcW w:w="92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5500" w:type="dxa"/>
            <w:vAlign w:val="bottom"/>
          </w:tcPr>
          <w:p>
            <w:pPr>
              <w:ind w:left="40"/>
              <w:spacing w:after="0"/>
              <w:rPr>
                <w:sz w:val="20"/>
                <w:szCs w:val="20"/>
                <w:color w:val="auto"/>
              </w:rPr>
            </w:pPr>
            <w:r>
              <w:rPr>
                <w:rFonts w:ascii="Courier New" w:cs="Courier New" w:eastAsia="Courier New" w:hAnsi="Courier New"/>
                <w:sz w:val="15"/>
                <w:szCs w:val="15"/>
                <w:color w:val="auto"/>
              </w:rPr>
              <w:t>OTHER INFORMATION</w:t>
            </w:r>
          </w:p>
        </w:tc>
        <w:tc>
          <w:tcPr>
            <w:tcW w:w="580" w:type="dxa"/>
            <w:vAlign w:val="bottom"/>
          </w:tcPr>
          <w:p>
            <w:pPr>
              <w:spacing w:after="0"/>
              <w:rPr>
                <w:sz w:val="24"/>
                <w:szCs w:val="24"/>
                <w:color w:val="auto"/>
              </w:rPr>
            </w:pPr>
          </w:p>
        </w:tc>
      </w:tr>
      <w:tr>
        <w:trPr>
          <w:trHeight w:val="341"/>
        </w:trPr>
        <w:tc>
          <w:tcPr>
            <w:tcW w:w="92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5500" w:type="dxa"/>
            <w:vAlign w:val="bottom"/>
          </w:tcPr>
          <w:p>
            <w:pPr>
              <w:ind w:left="40"/>
              <w:spacing w:after="0"/>
              <w:rPr>
                <w:sz w:val="20"/>
                <w:szCs w:val="20"/>
                <w:color w:val="auto"/>
              </w:rPr>
            </w:pPr>
            <w:r>
              <w:rPr>
                <w:rFonts w:ascii="Courier New" w:cs="Courier New" w:eastAsia="Courier New" w:hAnsi="Courier New"/>
                <w:sz w:val="15"/>
                <w:szCs w:val="15"/>
                <w:color w:val="auto"/>
              </w:rPr>
              <w:t>Exhibits and Reports on Form 8-K</w:t>
            </w:r>
          </w:p>
        </w:tc>
        <w:tc>
          <w:tcPr>
            <w:tcW w:w="580" w:type="dxa"/>
            <w:vAlign w:val="bottom"/>
          </w:tcPr>
          <w:p>
            <w:pPr>
              <w:ind w:left="140"/>
              <w:spacing w:after="0"/>
              <w:rPr>
                <w:sz w:val="20"/>
                <w:szCs w:val="20"/>
                <w:color w:val="auto"/>
              </w:rPr>
            </w:pPr>
            <w:r>
              <w:rPr>
                <w:rFonts w:ascii="Courier New" w:cs="Courier New" w:eastAsia="Courier New" w:hAnsi="Courier New"/>
                <w:sz w:val="15"/>
                <w:szCs w:val="15"/>
                <w:color w:val="auto"/>
              </w:rPr>
              <w:t>18</w:t>
            </w:r>
          </w:p>
        </w:tc>
      </w:tr>
      <w:tr>
        <w:trPr>
          <w:trHeight w:val="341"/>
        </w:trPr>
        <w:tc>
          <w:tcPr>
            <w:tcW w:w="6420" w:type="dxa"/>
            <w:vAlign w:val="bottom"/>
            <w:gridSpan w:val="2"/>
          </w:tcPr>
          <w:p>
            <w:pPr>
              <w:spacing w:after="0"/>
              <w:rPr>
                <w:sz w:val="20"/>
                <w:szCs w:val="20"/>
                <w:color w:val="auto"/>
              </w:rPr>
            </w:pPr>
            <w:r>
              <w:rPr>
                <w:rFonts w:ascii="Courier New" w:cs="Courier New" w:eastAsia="Courier New" w:hAnsi="Courier New"/>
                <w:sz w:val="15"/>
                <w:szCs w:val="15"/>
                <w:color w:val="auto"/>
              </w:rPr>
              <w:t>SIGNATURE PAGE</w:t>
            </w:r>
          </w:p>
        </w:tc>
        <w:tc>
          <w:tcPr>
            <w:tcW w:w="580" w:type="dxa"/>
            <w:vAlign w:val="bottom"/>
          </w:tcPr>
          <w:p>
            <w:pPr>
              <w:ind w:left="140"/>
              <w:spacing w:after="0"/>
              <w:rPr>
                <w:sz w:val="20"/>
                <w:szCs w:val="20"/>
                <w:color w:val="auto"/>
              </w:rPr>
            </w:pPr>
            <w:r>
              <w:rPr>
                <w:rFonts w:ascii="Courier New" w:cs="Courier New" w:eastAsia="Courier New" w:hAnsi="Courier New"/>
                <w:sz w:val="15"/>
                <w:szCs w:val="15"/>
                <w:color w:val="auto"/>
              </w:rPr>
              <w:t>19</w:t>
            </w:r>
          </w:p>
        </w:tc>
      </w:tr>
      <w:tr>
        <w:trPr>
          <w:trHeight w:val="512"/>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Exhibit 27</w:t>
            </w:r>
          </w:p>
        </w:tc>
        <w:tc>
          <w:tcPr>
            <w:tcW w:w="5500" w:type="dxa"/>
            <w:vAlign w:val="bottom"/>
          </w:tcPr>
          <w:p>
            <w:pPr>
              <w:ind w:left="660"/>
              <w:spacing w:after="0"/>
              <w:rPr>
                <w:sz w:val="20"/>
                <w:szCs w:val="20"/>
                <w:color w:val="auto"/>
              </w:rPr>
            </w:pPr>
            <w:r>
              <w:rPr>
                <w:rFonts w:ascii="Courier New" w:cs="Courier New" w:eastAsia="Courier New" w:hAnsi="Courier New"/>
                <w:sz w:val="15"/>
                <w:szCs w:val="15"/>
                <w:color w:val="auto"/>
              </w:rPr>
              <w:t>Financial data schedule</w:t>
            </w:r>
          </w:p>
        </w:tc>
        <w:tc>
          <w:tcPr>
            <w:tcW w:w="580" w:type="dxa"/>
            <w:vAlign w:val="bottom"/>
          </w:tcPr>
          <w:p>
            <w:pPr>
              <w:spacing w:after="0"/>
              <w:rPr>
                <w:sz w:val="24"/>
                <w:szCs w:val="24"/>
                <w:color w:val="auto"/>
              </w:rPr>
            </w:pPr>
          </w:p>
        </w:tc>
      </w:tr>
      <w:tr>
        <w:trPr>
          <w:trHeight w:val="683"/>
        </w:trPr>
        <w:tc>
          <w:tcPr>
            <w:tcW w:w="920" w:type="dxa"/>
            <w:vAlign w:val="bottom"/>
          </w:tcPr>
          <w:p>
            <w:pPr>
              <w:spacing w:after="0"/>
              <w:rPr>
                <w:sz w:val="24"/>
                <w:szCs w:val="24"/>
                <w:color w:val="auto"/>
              </w:rPr>
            </w:pPr>
          </w:p>
        </w:tc>
        <w:tc>
          <w:tcPr>
            <w:tcW w:w="5500" w:type="dxa"/>
            <w:vAlign w:val="bottom"/>
          </w:tcPr>
          <w:p>
            <w:pPr>
              <w:ind w:left="2260"/>
              <w:spacing w:after="0"/>
              <w:rPr>
                <w:sz w:val="20"/>
                <w:szCs w:val="20"/>
                <w:color w:val="auto"/>
              </w:rPr>
            </w:pPr>
            <w:r>
              <w:rPr>
                <w:rFonts w:ascii="Courier New" w:cs="Courier New" w:eastAsia="Courier New" w:hAnsi="Courier New"/>
                <w:sz w:val="15"/>
                <w:szCs w:val="15"/>
                <w:color w:val="auto"/>
              </w:rPr>
              <w:t>2</w:t>
            </w:r>
          </w:p>
        </w:tc>
        <w:tc>
          <w:tcPr>
            <w:tcW w:w="580" w:type="dxa"/>
            <w:vAlign w:val="bottom"/>
          </w:tcPr>
          <w:p>
            <w:pPr>
              <w:spacing w:after="0"/>
              <w:rPr>
                <w:sz w:val="24"/>
                <w:szCs w:val="24"/>
                <w:color w:val="auto"/>
              </w:rPr>
            </w:pPr>
          </w:p>
        </w:tc>
      </w:tr>
    </w:tbl>
    <w:p>
      <w:pPr>
        <w:sectPr>
          <w:pgSz w:w="11900" w:h="16838" w:orient="portrait"/>
          <w:cols w:equalWidth="0" w:num="1">
            <w:col w:w="10219"/>
          </w:cols>
          <w:pgMar w:left="240" w:top="628" w:right="144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PART I.</w:t>
            </w:r>
          </w:p>
        </w:tc>
        <w:tc>
          <w:tcPr>
            <w:tcW w:w="6560" w:type="dxa"/>
            <w:vAlign w:val="bottom"/>
          </w:tcPr>
          <w:p>
            <w:pPr>
              <w:jc w:val="right"/>
              <w:ind w:right="4446"/>
              <w:spacing w:after="0"/>
              <w:rPr>
                <w:sz w:val="20"/>
                <w:szCs w:val="20"/>
                <w:color w:val="auto"/>
              </w:rPr>
            </w:pPr>
            <w:r>
              <w:rPr>
                <w:rFonts w:ascii="Courier New" w:cs="Courier New" w:eastAsia="Courier New" w:hAnsi="Courier New"/>
                <w:sz w:val="15"/>
                <w:szCs w:val="15"/>
                <w:color w:val="auto"/>
              </w:rPr>
              <w:t>FINANCIAL INFORMATION</w:t>
            </w:r>
          </w:p>
        </w:tc>
        <w:tc>
          <w:tcPr>
            <w:tcW w:w="24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71"/>
        </w:trPr>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ITEM 1.</w:t>
            </w:r>
          </w:p>
        </w:tc>
        <w:tc>
          <w:tcPr>
            <w:tcW w:w="6560" w:type="dxa"/>
            <w:vAlign w:val="bottom"/>
          </w:tcPr>
          <w:p>
            <w:pPr>
              <w:jc w:val="right"/>
              <w:ind w:right="4446"/>
              <w:spacing w:after="0"/>
              <w:rPr>
                <w:sz w:val="20"/>
                <w:szCs w:val="20"/>
                <w:color w:val="auto"/>
              </w:rPr>
            </w:pPr>
            <w:r>
              <w:rPr>
                <w:rFonts w:ascii="Courier New" w:cs="Courier New" w:eastAsia="Courier New" w:hAnsi="Courier New"/>
                <w:sz w:val="15"/>
                <w:szCs w:val="15"/>
                <w:color w:val="auto"/>
              </w:rPr>
              <w:t>FINANCIAL STATEMENTS</w:t>
            </w:r>
          </w:p>
        </w:tc>
        <w:tc>
          <w:tcPr>
            <w:tcW w:w="24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341"/>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REGENERON PHARMACEUTICALS, INC.</w:t>
            </w:r>
          </w:p>
        </w:tc>
        <w:tc>
          <w:tcPr>
            <w:tcW w:w="24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71"/>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CONDENSED BALANCE SHEETS AT MARCH 31, 1998 AND DECEMBER 31, 1997</w:t>
            </w:r>
          </w:p>
        </w:tc>
        <w:tc>
          <w:tcPr>
            <w:tcW w:w="24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71"/>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(Unaudited) (In thousands, except share data)</w:t>
            </w:r>
          </w:p>
        </w:tc>
        <w:tc>
          <w:tcPr>
            <w:tcW w:w="24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683"/>
        </w:trPr>
        <w:tc>
          <w:tcPr>
            <w:tcW w:w="6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44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March 31,</w:t>
            </w:r>
          </w:p>
        </w:tc>
        <w:tc>
          <w:tcPr>
            <w:tcW w:w="18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620" w:type="dxa"/>
            <w:vAlign w:val="bottom"/>
          </w:tcPr>
          <w:p>
            <w:pPr>
              <w:spacing w:after="0"/>
              <w:rPr>
                <w:sz w:val="14"/>
                <w:szCs w:val="14"/>
                <w:color w:val="auto"/>
              </w:rPr>
            </w:pPr>
          </w:p>
        </w:tc>
        <w:tc>
          <w:tcPr>
            <w:tcW w:w="6560" w:type="dxa"/>
            <w:vAlign w:val="bottom"/>
          </w:tcPr>
          <w:p>
            <w:pPr>
              <w:jc w:val="right"/>
              <w:ind w:right="2066"/>
              <w:spacing w:after="0"/>
              <w:rPr>
                <w:sz w:val="20"/>
                <w:szCs w:val="20"/>
                <w:color w:val="auto"/>
              </w:rPr>
            </w:pPr>
            <w:r>
              <w:rPr>
                <w:rFonts w:ascii="Courier New" w:cs="Courier New" w:eastAsia="Courier New" w:hAnsi="Courier New"/>
                <w:sz w:val="15"/>
                <w:szCs w:val="15"/>
                <w:color w:val="auto"/>
              </w:rPr>
              <w:t>ASSETS</w:t>
            </w:r>
          </w:p>
        </w:tc>
        <w:tc>
          <w:tcPr>
            <w:tcW w:w="244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1998</w:t>
            </w:r>
          </w:p>
        </w:tc>
        <w:tc>
          <w:tcPr>
            <w:tcW w:w="18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6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44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r>
      <w:tr>
        <w:trPr>
          <w:trHeight w:val="341"/>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Current assets</w:t>
            </w:r>
          </w:p>
        </w:tc>
        <w:tc>
          <w:tcPr>
            <w:tcW w:w="24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71"/>
        </w:trPr>
        <w:tc>
          <w:tcPr>
            <w:tcW w:w="7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Cash and cash equivalents</w:t>
            </w:r>
          </w:p>
        </w:tc>
        <w:tc>
          <w:tcPr>
            <w:tcW w:w="24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$19,258</w:t>
            </w:r>
          </w:p>
        </w:tc>
        <w:tc>
          <w:tcPr>
            <w:tcW w:w="18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$28,921</w:t>
            </w:r>
          </w:p>
        </w:tc>
      </w:tr>
      <w:tr>
        <w:trPr>
          <w:trHeight w:val="171"/>
        </w:trPr>
        <w:tc>
          <w:tcPr>
            <w:tcW w:w="7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Marketable securities</w:t>
            </w:r>
          </w:p>
        </w:tc>
        <w:tc>
          <w:tcPr>
            <w:tcW w:w="24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65,813</w:t>
            </w:r>
          </w:p>
        </w:tc>
        <w:tc>
          <w:tcPr>
            <w:tcW w:w="1820" w:type="dxa"/>
            <w:vAlign w:val="bottom"/>
          </w:tcPr>
          <w:p>
            <w:pPr>
              <w:jc w:val="right"/>
              <w:ind w:right="6"/>
              <w:spacing w:after="0"/>
              <w:rPr>
                <w:sz w:val="20"/>
                <w:szCs w:val="20"/>
                <w:color w:val="auto"/>
              </w:rPr>
            </w:pPr>
            <w:r>
              <w:rPr>
                <w:rFonts w:ascii="Courier New" w:cs="Courier New" w:eastAsia="Courier New" w:hAnsi="Courier New"/>
                <w:sz w:val="15"/>
                <w:szCs w:val="15"/>
                <w:color w:val="auto"/>
              </w:rPr>
              <w:t>63,602</w:t>
            </w:r>
          </w:p>
        </w:tc>
      </w:tr>
      <w:tr>
        <w:trPr>
          <w:trHeight w:val="171"/>
        </w:trPr>
        <w:tc>
          <w:tcPr>
            <w:tcW w:w="7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Receivable due from The Procter &amp; Gamble Company</w:t>
            </w:r>
          </w:p>
        </w:tc>
        <w:tc>
          <w:tcPr>
            <w:tcW w:w="24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2,306</w:t>
            </w:r>
          </w:p>
        </w:tc>
        <w:tc>
          <w:tcPr>
            <w:tcW w:w="18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2,403</w:t>
            </w:r>
          </w:p>
        </w:tc>
      </w:tr>
      <w:tr>
        <w:trPr>
          <w:trHeight w:val="171"/>
        </w:trPr>
        <w:tc>
          <w:tcPr>
            <w:tcW w:w="7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Receivable due from Merck &amp; Co., Inc.</w:t>
            </w:r>
          </w:p>
        </w:tc>
        <w:tc>
          <w:tcPr>
            <w:tcW w:w="24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1,896</w:t>
            </w:r>
          </w:p>
        </w:tc>
        <w:tc>
          <w:tcPr>
            <w:tcW w:w="18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1,707</w:t>
            </w:r>
          </w:p>
        </w:tc>
      </w:tr>
      <w:tr>
        <w:trPr>
          <w:trHeight w:val="171"/>
        </w:trPr>
        <w:tc>
          <w:tcPr>
            <w:tcW w:w="7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Receivable due from Amgen-Regeneron Partners</w:t>
            </w:r>
          </w:p>
        </w:tc>
        <w:tc>
          <w:tcPr>
            <w:tcW w:w="24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429</w:t>
            </w:r>
          </w:p>
        </w:tc>
        <w:tc>
          <w:tcPr>
            <w:tcW w:w="18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356</w:t>
            </w:r>
          </w:p>
        </w:tc>
      </w:tr>
      <w:tr>
        <w:trPr>
          <w:trHeight w:val="171"/>
        </w:trPr>
        <w:tc>
          <w:tcPr>
            <w:tcW w:w="7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Receivable due from Sumitomo Pharmaceuticals Company, Ltd.</w:t>
            </w:r>
          </w:p>
        </w:tc>
        <w:tc>
          <w:tcPr>
            <w:tcW w:w="2440" w:type="dxa"/>
            <w:vAlign w:val="bottom"/>
          </w:tcPr>
          <w:p>
            <w:pPr>
              <w:spacing w:after="0"/>
              <w:rPr>
                <w:sz w:val="14"/>
                <w:szCs w:val="14"/>
                <w:color w:val="auto"/>
              </w:rPr>
            </w:pPr>
          </w:p>
        </w:tc>
        <w:tc>
          <w:tcPr>
            <w:tcW w:w="18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2,115</w:t>
            </w:r>
          </w:p>
        </w:tc>
      </w:tr>
      <w:tr>
        <w:trPr>
          <w:trHeight w:val="171"/>
        </w:trPr>
        <w:tc>
          <w:tcPr>
            <w:tcW w:w="7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24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1,204</w:t>
            </w:r>
          </w:p>
        </w:tc>
        <w:tc>
          <w:tcPr>
            <w:tcW w:w="18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536</w:t>
            </w:r>
          </w:p>
        </w:tc>
      </w:tr>
      <w:tr>
        <w:trPr>
          <w:trHeight w:val="171"/>
        </w:trPr>
        <w:tc>
          <w:tcPr>
            <w:tcW w:w="6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4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20" w:type="dxa"/>
            <w:vAlign w:val="bottom"/>
          </w:tcPr>
          <w:p>
            <w:pPr>
              <w:spacing w:after="0"/>
              <w:rPr>
                <w:sz w:val="14"/>
                <w:szCs w:val="14"/>
                <w:color w:val="auto"/>
              </w:rPr>
            </w:pPr>
          </w:p>
        </w:tc>
        <w:tc>
          <w:tcPr>
            <w:tcW w:w="6560" w:type="dxa"/>
            <w:vAlign w:val="bottom"/>
          </w:tcPr>
          <w:p>
            <w:pPr>
              <w:spacing w:after="0"/>
              <w:rPr>
                <w:sz w:val="20"/>
                <w:szCs w:val="20"/>
                <w:color w:val="auto"/>
              </w:rPr>
            </w:pPr>
            <w:r>
              <w:rPr>
                <w:rFonts w:ascii="Courier New" w:cs="Courier New" w:eastAsia="Courier New" w:hAnsi="Courier New"/>
                <w:sz w:val="15"/>
                <w:szCs w:val="15"/>
                <w:color w:val="auto"/>
              </w:rPr>
              <w:t>Total current assets</w:t>
            </w:r>
          </w:p>
        </w:tc>
        <w:tc>
          <w:tcPr>
            <w:tcW w:w="24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90,906</w:t>
            </w:r>
          </w:p>
        </w:tc>
        <w:tc>
          <w:tcPr>
            <w:tcW w:w="1820" w:type="dxa"/>
            <w:vAlign w:val="bottom"/>
          </w:tcPr>
          <w:p>
            <w:pPr>
              <w:jc w:val="right"/>
              <w:ind w:right="6"/>
              <w:spacing w:after="0"/>
              <w:rPr>
                <w:sz w:val="20"/>
                <w:szCs w:val="20"/>
                <w:color w:val="auto"/>
              </w:rPr>
            </w:pPr>
            <w:r>
              <w:rPr>
                <w:rFonts w:ascii="Courier New" w:cs="Courier New" w:eastAsia="Courier New" w:hAnsi="Courier New"/>
                <w:sz w:val="15"/>
                <w:szCs w:val="15"/>
                <w:color w:val="auto"/>
              </w:rPr>
              <w:t>99,640</w:t>
            </w:r>
          </w:p>
        </w:tc>
      </w:tr>
      <w:tr>
        <w:trPr>
          <w:trHeight w:val="341"/>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Marketable securities</w:t>
            </w:r>
          </w:p>
        </w:tc>
        <w:tc>
          <w:tcPr>
            <w:tcW w:w="24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37,401</w:t>
            </w:r>
          </w:p>
        </w:tc>
        <w:tc>
          <w:tcPr>
            <w:tcW w:w="18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35,518</w:t>
            </w:r>
          </w:p>
        </w:tc>
      </w:tr>
      <w:tr>
        <w:trPr>
          <w:trHeight w:val="171"/>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Investment in Amgen-Regeneron Partners</w:t>
            </w:r>
          </w:p>
        </w:tc>
        <w:tc>
          <w:tcPr>
            <w:tcW w:w="24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707</w:t>
            </w:r>
          </w:p>
        </w:tc>
        <w:tc>
          <w:tcPr>
            <w:tcW w:w="18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364</w:t>
            </w:r>
          </w:p>
        </w:tc>
      </w:tr>
      <w:tr>
        <w:trPr>
          <w:trHeight w:val="171"/>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Property, plant and equipment, at cost, net of accumulated depreciation</w:t>
            </w:r>
          </w:p>
        </w:tc>
        <w:tc>
          <w:tcPr>
            <w:tcW w:w="24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71"/>
        </w:trPr>
        <w:tc>
          <w:tcPr>
            <w:tcW w:w="7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and amortization</w:t>
            </w:r>
          </w:p>
        </w:tc>
        <w:tc>
          <w:tcPr>
            <w:tcW w:w="24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32,200</w:t>
            </w:r>
          </w:p>
        </w:tc>
        <w:tc>
          <w:tcPr>
            <w:tcW w:w="18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32,713</w:t>
            </w:r>
          </w:p>
        </w:tc>
      </w:tr>
      <w:tr>
        <w:trPr>
          <w:trHeight w:val="171"/>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Other assets</w:t>
            </w:r>
          </w:p>
        </w:tc>
        <w:tc>
          <w:tcPr>
            <w:tcW w:w="24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218</w:t>
            </w:r>
          </w:p>
        </w:tc>
        <w:tc>
          <w:tcPr>
            <w:tcW w:w="18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145</w:t>
            </w:r>
          </w:p>
        </w:tc>
      </w:tr>
      <w:tr>
        <w:trPr>
          <w:trHeight w:val="171"/>
        </w:trPr>
        <w:tc>
          <w:tcPr>
            <w:tcW w:w="6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4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20" w:type="dxa"/>
            <w:vAlign w:val="bottom"/>
          </w:tcPr>
          <w:p>
            <w:pPr>
              <w:spacing w:after="0"/>
              <w:rPr>
                <w:sz w:val="14"/>
                <w:szCs w:val="14"/>
                <w:color w:val="auto"/>
              </w:rPr>
            </w:pPr>
          </w:p>
        </w:tc>
        <w:tc>
          <w:tcPr>
            <w:tcW w:w="65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24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$161,432</w:t>
            </w:r>
          </w:p>
        </w:tc>
        <w:tc>
          <w:tcPr>
            <w:tcW w:w="18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$168,380</w:t>
            </w:r>
          </w:p>
        </w:tc>
      </w:tr>
      <w:tr>
        <w:trPr>
          <w:trHeight w:val="171"/>
        </w:trPr>
        <w:tc>
          <w:tcPr>
            <w:tcW w:w="6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4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620" w:type="dxa"/>
            <w:vAlign w:val="bottom"/>
          </w:tcPr>
          <w:p>
            <w:pPr>
              <w:spacing w:after="0"/>
              <w:rPr>
                <w:sz w:val="24"/>
                <w:szCs w:val="24"/>
                <w:color w:val="auto"/>
              </w:rPr>
            </w:pPr>
          </w:p>
        </w:tc>
        <w:tc>
          <w:tcPr>
            <w:tcW w:w="656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LIABILITIES and STOCKHOLDERS' EQUITY</w:t>
            </w:r>
          </w:p>
        </w:tc>
        <w:tc>
          <w:tcPr>
            <w:tcW w:w="24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71"/>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24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71"/>
        </w:trPr>
        <w:tc>
          <w:tcPr>
            <w:tcW w:w="7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Accounts payable and accrued expenses</w:t>
            </w:r>
          </w:p>
        </w:tc>
        <w:tc>
          <w:tcPr>
            <w:tcW w:w="24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$3,683</w:t>
            </w:r>
          </w:p>
        </w:tc>
        <w:tc>
          <w:tcPr>
            <w:tcW w:w="18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$4,663</w:t>
            </w:r>
          </w:p>
        </w:tc>
      </w:tr>
      <w:tr>
        <w:trPr>
          <w:trHeight w:val="171"/>
        </w:trPr>
        <w:tc>
          <w:tcPr>
            <w:tcW w:w="7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Capital lease obligations, current portion</w:t>
            </w:r>
          </w:p>
        </w:tc>
        <w:tc>
          <w:tcPr>
            <w:tcW w:w="24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1,284</w:t>
            </w:r>
          </w:p>
        </w:tc>
        <w:tc>
          <w:tcPr>
            <w:tcW w:w="18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1,770</w:t>
            </w:r>
          </w:p>
        </w:tc>
      </w:tr>
      <w:tr>
        <w:trPr>
          <w:trHeight w:val="171"/>
        </w:trPr>
        <w:tc>
          <w:tcPr>
            <w:tcW w:w="7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Note payable, current portion</w:t>
            </w:r>
          </w:p>
        </w:tc>
        <w:tc>
          <w:tcPr>
            <w:tcW w:w="24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73</w:t>
            </w:r>
          </w:p>
        </w:tc>
        <w:tc>
          <w:tcPr>
            <w:tcW w:w="18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73</w:t>
            </w:r>
          </w:p>
        </w:tc>
      </w:tr>
      <w:tr>
        <w:trPr>
          <w:trHeight w:val="171"/>
        </w:trPr>
        <w:tc>
          <w:tcPr>
            <w:tcW w:w="7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Deferred revenue, current portion</w:t>
            </w:r>
          </w:p>
        </w:tc>
        <w:tc>
          <w:tcPr>
            <w:tcW w:w="24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2,431</w:t>
            </w:r>
          </w:p>
        </w:tc>
        <w:tc>
          <w:tcPr>
            <w:tcW w:w="18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4,182</w:t>
            </w:r>
          </w:p>
        </w:tc>
      </w:tr>
      <w:tr>
        <w:trPr>
          <w:trHeight w:val="171"/>
        </w:trPr>
        <w:tc>
          <w:tcPr>
            <w:tcW w:w="6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4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20" w:type="dxa"/>
            <w:vAlign w:val="bottom"/>
          </w:tcPr>
          <w:p>
            <w:pPr>
              <w:spacing w:after="0"/>
              <w:rPr>
                <w:sz w:val="14"/>
                <w:szCs w:val="14"/>
                <w:color w:val="auto"/>
              </w:rPr>
            </w:pPr>
          </w:p>
        </w:tc>
        <w:tc>
          <w:tcPr>
            <w:tcW w:w="6560" w:type="dxa"/>
            <w:vAlign w:val="bottom"/>
          </w:tcPr>
          <w:p>
            <w:pPr>
              <w:spacing w:after="0"/>
              <w:rPr>
                <w:sz w:val="20"/>
                <w:szCs w:val="20"/>
                <w:color w:val="auto"/>
              </w:rPr>
            </w:pPr>
            <w:r>
              <w:rPr>
                <w:rFonts w:ascii="Courier New" w:cs="Courier New" w:eastAsia="Courier New" w:hAnsi="Courier New"/>
                <w:sz w:val="15"/>
                <w:szCs w:val="15"/>
                <w:color w:val="auto"/>
              </w:rPr>
              <w:t>Total current liabilities</w:t>
            </w:r>
          </w:p>
        </w:tc>
        <w:tc>
          <w:tcPr>
            <w:tcW w:w="24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7,471</w:t>
            </w:r>
          </w:p>
        </w:tc>
        <w:tc>
          <w:tcPr>
            <w:tcW w:w="18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10,688</w:t>
            </w:r>
          </w:p>
        </w:tc>
      </w:tr>
      <w:tr>
        <w:trPr>
          <w:trHeight w:val="341"/>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Capital lease obligations</w:t>
            </w:r>
          </w:p>
        </w:tc>
        <w:tc>
          <w:tcPr>
            <w:tcW w:w="24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1,813</w:t>
            </w:r>
          </w:p>
        </w:tc>
        <w:tc>
          <w:tcPr>
            <w:tcW w:w="18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2,077</w:t>
            </w:r>
          </w:p>
        </w:tc>
      </w:tr>
      <w:tr>
        <w:trPr>
          <w:trHeight w:val="171"/>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Note payable</w:t>
            </w:r>
          </w:p>
        </w:tc>
        <w:tc>
          <w:tcPr>
            <w:tcW w:w="24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1,658</w:t>
            </w:r>
          </w:p>
        </w:tc>
        <w:tc>
          <w:tcPr>
            <w:tcW w:w="18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1,675</w:t>
            </w:r>
          </w:p>
        </w:tc>
      </w:tr>
      <w:tr>
        <w:trPr>
          <w:trHeight w:val="171"/>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Other liabilities</w:t>
            </w:r>
          </w:p>
        </w:tc>
        <w:tc>
          <w:tcPr>
            <w:tcW w:w="24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252</w:t>
            </w:r>
          </w:p>
        </w:tc>
        <w:tc>
          <w:tcPr>
            <w:tcW w:w="18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242</w:t>
            </w:r>
          </w:p>
        </w:tc>
      </w:tr>
      <w:tr>
        <w:trPr>
          <w:trHeight w:val="341"/>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Deferred revenue</w:t>
            </w:r>
          </w:p>
        </w:tc>
        <w:tc>
          <w:tcPr>
            <w:tcW w:w="24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14,802</w:t>
            </w:r>
          </w:p>
        </w:tc>
        <w:tc>
          <w:tcPr>
            <w:tcW w:w="18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14,801</w:t>
            </w:r>
          </w:p>
        </w:tc>
      </w:tr>
      <w:tr>
        <w:trPr>
          <w:trHeight w:val="341"/>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24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41"/>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24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71"/>
        </w:trPr>
        <w:tc>
          <w:tcPr>
            <w:tcW w:w="7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Preferred stock, $.01 par value; 30,000,000 shares authorized; issued</w:t>
            </w:r>
          </w:p>
        </w:tc>
        <w:tc>
          <w:tcPr>
            <w:tcW w:w="24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341"/>
        </w:trPr>
        <w:tc>
          <w:tcPr>
            <w:tcW w:w="7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and outstanding - none</w:t>
            </w:r>
          </w:p>
        </w:tc>
        <w:tc>
          <w:tcPr>
            <w:tcW w:w="24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71"/>
        </w:trPr>
        <w:tc>
          <w:tcPr>
            <w:tcW w:w="7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Class A Stock, convertible, $.001 par value;</w:t>
            </w:r>
          </w:p>
        </w:tc>
        <w:tc>
          <w:tcPr>
            <w:tcW w:w="24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71"/>
        </w:trPr>
        <w:tc>
          <w:tcPr>
            <w:tcW w:w="7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40,000,000 shares authorized;</w:t>
            </w:r>
          </w:p>
        </w:tc>
        <w:tc>
          <w:tcPr>
            <w:tcW w:w="24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71"/>
        </w:trPr>
        <w:tc>
          <w:tcPr>
            <w:tcW w:w="620" w:type="dxa"/>
            <w:vAlign w:val="bottom"/>
          </w:tcPr>
          <w:p>
            <w:pPr>
              <w:spacing w:after="0"/>
              <w:rPr>
                <w:sz w:val="14"/>
                <w:szCs w:val="14"/>
                <w:color w:val="auto"/>
              </w:rPr>
            </w:pPr>
          </w:p>
        </w:tc>
        <w:tc>
          <w:tcPr>
            <w:tcW w:w="6560" w:type="dxa"/>
            <w:vAlign w:val="bottom"/>
          </w:tcPr>
          <w:p>
            <w:pPr>
              <w:jc w:val="right"/>
              <w:ind w:right="2146"/>
              <w:spacing w:after="0"/>
              <w:rPr>
                <w:sz w:val="20"/>
                <w:szCs w:val="20"/>
                <w:color w:val="auto"/>
              </w:rPr>
            </w:pPr>
            <w:r>
              <w:rPr>
                <w:rFonts w:ascii="Courier New" w:cs="Courier New" w:eastAsia="Courier New" w:hAnsi="Courier New"/>
                <w:sz w:val="15"/>
                <w:szCs w:val="15"/>
                <w:color w:val="auto"/>
              </w:rPr>
              <w:t>4,024,870 shares issued and outstanding in 1998</w:t>
            </w:r>
          </w:p>
        </w:tc>
        <w:tc>
          <w:tcPr>
            <w:tcW w:w="24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71"/>
        </w:trPr>
        <w:tc>
          <w:tcPr>
            <w:tcW w:w="620" w:type="dxa"/>
            <w:vAlign w:val="bottom"/>
          </w:tcPr>
          <w:p>
            <w:pPr>
              <w:spacing w:after="0"/>
              <w:rPr>
                <w:sz w:val="14"/>
                <w:szCs w:val="14"/>
                <w:color w:val="auto"/>
              </w:rPr>
            </w:pPr>
          </w:p>
        </w:tc>
        <w:tc>
          <w:tcPr>
            <w:tcW w:w="6560" w:type="dxa"/>
            <w:vAlign w:val="bottom"/>
          </w:tcPr>
          <w:p>
            <w:pPr>
              <w:jc w:val="right"/>
              <w:ind w:right="2146"/>
              <w:spacing w:after="0"/>
              <w:rPr>
                <w:sz w:val="20"/>
                <w:szCs w:val="20"/>
                <w:color w:val="auto"/>
              </w:rPr>
            </w:pPr>
            <w:r>
              <w:rPr>
                <w:rFonts w:ascii="Courier New" w:cs="Courier New" w:eastAsia="Courier New" w:hAnsi="Courier New"/>
                <w:sz w:val="15"/>
                <w:szCs w:val="15"/>
                <w:color w:val="auto"/>
              </w:rPr>
              <w:t>4,117,540 shares issued and outstanding in 1997</w:t>
            </w:r>
          </w:p>
        </w:tc>
        <w:tc>
          <w:tcPr>
            <w:tcW w:w="24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w:t>
            </w:r>
          </w:p>
        </w:tc>
        <w:tc>
          <w:tcPr>
            <w:tcW w:w="18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w:t>
            </w:r>
          </w:p>
        </w:tc>
      </w:tr>
      <w:tr>
        <w:trPr>
          <w:trHeight w:val="171"/>
        </w:trPr>
        <w:tc>
          <w:tcPr>
            <w:tcW w:w="71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Common Stock, $.001 par value; 60,000,000 shares authorized;</w:t>
            </w:r>
          </w:p>
        </w:tc>
        <w:tc>
          <w:tcPr>
            <w:tcW w:w="24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71"/>
        </w:trPr>
        <w:tc>
          <w:tcPr>
            <w:tcW w:w="620" w:type="dxa"/>
            <w:vAlign w:val="bottom"/>
          </w:tcPr>
          <w:p>
            <w:pPr>
              <w:spacing w:after="0"/>
              <w:rPr>
                <w:sz w:val="14"/>
                <w:szCs w:val="14"/>
                <w:color w:val="auto"/>
              </w:rPr>
            </w:pPr>
          </w:p>
        </w:tc>
        <w:tc>
          <w:tcPr>
            <w:tcW w:w="6560" w:type="dxa"/>
            <w:vAlign w:val="bottom"/>
          </w:tcPr>
          <w:p>
            <w:pPr>
              <w:jc w:val="right"/>
              <w:ind w:right="2146"/>
              <w:spacing w:after="0"/>
              <w:rPr>
                <w:sz w:val="20"/>
                <w:szCs w:val="20"/>
                <w:color w:val="auto"/>
              </w:rPr>
            </w:pPr>
            <w:r>
              <w:rPr>
                <w:rFonts w:ascii="Courier New" w:cs="Courier New" w:eastAsia="Courier New" w:hAnsi="Courier New"/>
                <w:sz w:val="15"/>
                <w:szCs w:val="15"/>
                <w:color w:val="auto"/>
                <w:w w:val="99"/>
              </w:rPr>
              <w:t>26,968,234 shares issued and outstanding in 1998</w:t>
            </w:r>
          </w:p>
        </w:tc>
        <w:tc>
          <w:tcPr>
            <w:tcW w:w="24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71"/>
        </w:trPr>
        <w:tc>
          <w:tcPr>
            <w:tcW w:w="620" w:type="dxa"/>
            <w:vAlign w:val="bottom"/>
          </w:tcPr>
          <w:p>
            <w:pPr>
              <w:spacing w:after="0"/>
              <w:rPr>
                <w:sz w:val="14"/>
                <w:szCs w:val="14"/>
                <w:color w:val="auto"/>
              </w:rPr>
            </w:pPr>
          </w:p>
        </w:tc>
        <w:tc>
          <w:tcPr>
            <w:tcW w:w="6560" w:type="dxa"/>
            <w:vAlign w:val="bottom"/>
          </w:tcPr>
          <w:p>
            <w:pPr>
              <w:jc w:val="right"/>
              <w:ind w:right="2146"/>
              <w:spacing w:after="0"/>
              <w:rPr>
                <w:sz w:val="20"/>
                <w:szCs w:val="20"/>
                <w:color w:val="auto"/>
              </w:rPr>
            </w:pPr>
            <w:r>
              <w:rPr>
                <w:rFonts w:ascii="Courier New" w:cs="Courier New" w:eastAsia="Courier New" w:hAnsi="Courier New"/>
                <w:sz w:val="15"/>
                <w:szCs w:val="15"/>
                <w:color w:val="auto"/>
                <w:w w:val="99"/>
              </w:rPr>
              <w:t>26,804,941 shares issued and outstanding in 1997</w:t>
            </w:r>
          </w:p>
        </w:tc>
        <w:tc>
          <w:tcPr>
            <w:tcW w:w="24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27</w:t>
            </w:r>
          </w:p>
        </w:tc>
        <w:tc>
          <w:tcPr>
            <w:tcW w:w="18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w:t>
            </w:r>
          </w:p>
        </w:tc>
      </w:tr>
      <w:tr>
        <w:trPr>
          <w:trHeight w:val="171"/>
        </w:trPr>
        <w:tc>
          <w:tcPr>
            <w:tcW w:w="7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Additional paid-in capital</w:t>
            </w:r>
          </w:p>
        </w:tc>
        <w:tc>
          <w:tcPr>
            <w:tcW w:w="24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308,426</w:t>
            </w:r>
          </w:p>
        </w:tc>
        <w:tc>
          <w:tcPr>
            <w:tcW w:w="18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308,109</w:t>
            </w:r>
          </w:p>
        </w:tc>
      </w:tr>
      <w:tr>
        <w:trPr>
          <w:trHeight w:val="171"/>
        </w:trPr>
        <w:tc>
          <w:tcPr>
            <w:tcW w:w="7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Unearned compensation</w:t>
            </w:r>
          </w:p>
        </w:tc>
        <w:tc>
          <w:tcPr>
            <w:tcW w:w="24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(630)</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1"/>
        </w:trPr>
        <w:tc>
          <w:tcPr>
            <w:tcW w:w="7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Accumulated deficit</w:t>
            </w:r>
          </w:p>
        </w:tc>
        <w:tc>
          <w:tcPr>
            <w:tcW w:w="24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(172,437)</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(168,608)</w:t>
            </w:r>
          </w:p>
        </w:tc>
      </w:tr>
      <w:tr>
        <w:trPr>
          <w:trHeight w:val="171"/>
        </w:trPr>
        <w:tc>
          <w:tcPr>
            <w:tcW w:w="7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Accumulated other comprehensive income</w:t>
            </w:r>
          </w:p>
        </w:tc>
        <w:tc>
          <w:tcPr>
            <w:tcW w:w="24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46</w:t>
            </w:r>
          </w:p>
        </w:tc>
        <w:tc>
          <w:tcPr>
            <w:tcW w:w="1820" w:type="dxa"/>
            <w:vAlign w:val="bottom"/>
          </w:tcPr>
          <w:p>
            <w:pPr>
              <w:jc w:val="right"/>
              <w:ind w:right="6"/>
              <w:spacing w:after="0"/>
              <w:rPr>
                <w:sz w:val="20"/>
                <w:szCs w:val="20"/>
                <w:color w:val="auto"/>
              </w:rPr>
            </w:pPr>
            <w:r>
              <w:rPr>
                <w:rFonts w:ascii="Courier New" w:cs="Courier New" w:eastAsia="Courier New" w:hAnsi="Courier New"/>
                <w:sz w:val="15"/>
                <w:szCs w:val="15"/>
                <w:color w:val="auto"/>
              </w:rPr>
              <w:t>85</w:t>
            </w:r>
          </w:p>
        </w:tc>
      </w:tr>
      <w:tr>
        <w:trPr>
          <w:trHeight w:val="171"/>
        </w:trPr>
        <w:tc>
          <w:tcPr>
            <w:tcW w:w="6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4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20" w:type="dxa"/>
            <w:vAlign w:val="bottom"/>
          </w:tcPr>
          <w:p>
            <w:pPr>
              <w:spacing w:after="0"/>
              <w:rPr>
                <w:sz w:val="14"/>
                <w:szCs w:val="14"/>
                <w:color w:val="auto"/>
              </w:rPr>
            </w:pPr>
          </w:p>
        </w:tc>
        <w:tc>
          <w:tcPr>
            <w:tcW w:w="656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24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135,436</w:t>
            </w:r>
          </w:p>
        </w:tc>
        <w:tc>
          <w:tcPr>
            <w:tcW w:w="18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138,897</w:t>
            </w:r>
          </w:p>
        </w:tc>
      </w:tr>
      <w:tr>
        <w:trPr>
          <w:trHeight w:val="171"/>
        </w:trPr>
        <w:tc>
          <w:tcPr>
            <w:tcW w:w="6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4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20" w:type="dxa"/>
            <w:vAlign w:val="bottom"/>
          </w:tcPr>
          <w:p>
            <w:pPr>
              <w:spacing w:after="0"/>
              <w:rPr>
                <w:sz w:val="14"/>
                <w:szCs w:val="14"/>
                <w:color w:val="auto"/>
              </w:rPr>
            </w:pPr>
          </w:p>
        </w:tc>
        <w:tc>
          <w:tcPr>
            <w:tcW w:w="6560" w:type="dxa"/>
            <w:vAlign w:val="bottom"/>
          </w:tcPr>
          <w:p>
            <w:pPr>
              <w:spacing w:after="0"/>
              <w:rPr>
                <w:sz w:val="20"/>
                <w:szCs w:val="20"/>
                <w:color w:val="auto"/>
              </w:rPr>
            </w:pPr>
            <w:r>
              <w:rPr>
                <w:rFonts w:ascii="Courier New" w:cs="Courier New" w:eastAsia="Courier New" w:hAnsi="Courier New"/>
                <w:sz w:val="15"/>
                <w:szCs w:val="15"/>
                <w:color w:val="auto"/>
              </w:rPr>
              <w:t>Total liabilities and stockholders' equity</w:t>
            </w:r>
          </w:p>
        </w:tc>
        <w:tc>
          <w:tcPr>
            <w:tcW w:w="24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$161,432</w:t>
            </w:r>
          </w:p>
        </w:tc>
        <w:tc>
          <w:tcPr>
            <w:tcW w:w="18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$168,380</w:t>
            </w:r>
          </w:p>
        </w:tc>
      </w:tr>
      <w:tr>
        <w:trPr>
          <w:trHeight w:val="171"/>
        </w:trPr>
        <w:tc>
          <w:tcPr>
            <w:tcW w:w="6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4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440"/>
          </w:cols>
          <w:pgMar w:left="240" w:top="628" w:right="21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STATEMENTS OF OPERATIONS (Unaudited)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34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Three months ended March 31,</w:t>
            </w:r>
          </w:p>
        </w:tc>
      </w:tr>
      <w:tr>
        <w:trPr>
          <w:trHeight w:val="171"/>
        </w:trPr>
        <w:tc>
          <w:tcPr>
            <w:tcW w:w="3680" w:type="dxa"/>
            <w:vAlign w:val="bottom"/>
          </w:tcPr>
          <w:p>
            <w:pPr>
              <w:spacing w:after="0"/>
              <w:rPr>
                <w:sz w:val="14"/>
                <w:szCs w:val="14"/>
                <w:color w:val="auto"/>
              </w:rPr>
            </w:pPr>
          </w:p>
        </w:tc>
        <w:tc>
          <w:tcPr>
            <w:tcW w:w="1820" w:type="dxa"/>
            <w:vAlign w:val="bottom"/>
          </w:tcPr>
          <w:p>
            <w:pPr>
              <w:jc w:val="center"/>
              <w:ind w:right="606"/>
              <w:spacing w:after="0"/>
              <w:rPr>
                <w:sz w:val="20"/>
                <w:szCs w:val="20"/>
                <w:color w:val="auto"/>
              </w:rPr>
            </w:pPr>
            <w:r>
              <w:rPr>
                <w:rFonts w:ascii="Courier New" w:cs="Courier New" w:eastAsia="Courier New" w:hAnsi="Courier New"/>
                <w:sz w:val="15"/>
                <w:szCs w:val="15"/>
                <w:color w:val="auto"/>
                <w:w w:val="94"/>
              </w:rPr>
              <w:t>1998</w:t>
            </w:r>
          </w:p>
        </w:tc>
        <w:tc>
          <w:tcPr>
            <w:tcW w:w="1600" w:type="dxa"/>
            <w:vAlign w:val="bottom"/>
          </w:tcPr>
          <w:p>
            <w:pPr>
              <w:jc w:val="center"/>
              <w:ind w:left="806"/>
              <w:spacing w:after="0"/>
              <w:rPr>
                <w:sz w:val="20"/>
                <w:szCs w:val="20"/>
                <w:color w:val="auto"/>
              </w:rPr>
            </w:pPr>
            <w:r>
              <w:rPr>
                <w:rFonts w:ascii="Courier New" w:cs="Courier New" w:eastAsia="Courier New" w:hAnsi="Courier New"/>
                <w:sz w:val="15"/>
                <w:szCs w:val="15"/>
                <w:color w:val="auto"/>
                <w:w w:val="99"/>
              </w:rPr>
              <w:t>1997</w:t>
            </w:r>
          </w:p>
        </w:tc>
      </w:tr>
      <w:tr>
        <w:trPr>
          <w:trHeight w:val="171"/>
        </w:trPr>
        <w:tc>
          <w:tcPr>
            <w:tcW w:w="3680" w:type="dxa"/>
            <w:vAlign w:val="bottom"/>
          </w:tcPr>
          <w:p>
            <w:pPr>
              <w:spacing w:after="0"/>
              <w:rPr>
                <w:sz w:val="14"/>
                <w:szCs w:val="14"/>
                <w:color w:val="auto"/>
              </w:rPr>
            </w:pPr>
          </w:p>
        </w:tc>
        <w:tc>
          <w:tcPr>
            <w:tcW w:w="1820" w:type="dxa"/>
            <w:vAlign w:val="bottom"/>
          </w:tcPr>
          <w:p>
            <w:pPr>
              <w:jc w:val="center"/>
              <w:ind w:right="606"/>
              <w:spacing w:after="0"/>
              <w:rPr>
                <w:sz w:val="20"/>
                <w:szCs w:val="20"/>
                <w:color w:val="auto"/>
              </w:rPr>
            </w:pPr>
            <w:r>
              <w:rPr>
                <w:rFonts w:ascii="Courier New" w:cs="Courier New" w:eastAsia="Courier New" w:hAnsi="Courier New"/>
                <w:sz w:val="15"/>
                <w:szCs w:val="15"/>
                <w:color w:val="auto"/>
                <w:w w:val="94"/>
              </w:rPr>
              <w:t>----</w:t>
            </w:r>
          </w:p>
        </w:tc>
        <w:tc>
          <w:tcPr>
            <w:tcW w:w="1600" w:type="dxa"/>
            <w:vAlign w:val="bottom"/>
          </w:tcPr>
          <w:p>
            <w:pPr>
              <w:jc w:val="center"/>
              <w:ind w:left="806"/>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36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1"/>
        </w:trPr>
        <w:tc>
          <w:tcPr>
            <w:tcW w:w="3680" w:type="dxa"/>
            <w:vAlign w:val="bottom"/>
          </w:tcPr>
          <w:p>
            <w:pPr>
              <w:ind w:left="520"/>
              <w:spacing w:after="0"/>
              <w:rPr>
                <w:sz w:val="20"/>
                <w:szCs w:val="20"/>
                <w:color w:val="auto"/>
              </w:rPr>
            </w:pPr>
            <w:r>
              <w:rPr>
                <w:rFonts w:ascii="Courier New" w:cs="Courier New" w:eastAsia="Courier New" w:hAnsi="Courier New"/>
                <w:sz w:val="15"/>
                <w:szCs w:val="15"/>
                <w:color w:val="auto"/>
              </w:rPr>
              <w:t>Contract research and development</w:t>
            </w:r>
          </w:p>
        </w:tc>
        <w:tc>
          <w:tcPr>
            <w:tcW w:w="18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$4,574</w:t>
            </w:r>
          </w:p>
        </w:tc>
        <w:tc>
          <w:tcPr>
            <w:tcW w:w="16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$4,238</w:t>
            </w:r>
          </w:p>
        </w:tc>
      </w:tr>
      <w:tr>
        <w:trPr>
          <w:trHeight w:val="171"/>
        </w:trPr>
        <w:tc>
          <w:tcPr>
            <w:tcW w:w="3680" w:type="dxa"/>
            <w:vAlign w:val="bottom"/>
          </w:tcPr>
          <w:p>
            <w:pPr>
              <w:ind w:left="520"/>
              <w:spacing w:after="0"/>
              <w:rPr>
                <w:sz w:val="20"/>
                <w:szCs w:val="20"/>
                <w:color w:val="auto"/>
              </w:rPr>
            </w:pPr>
            <w:r>
              <w:rPr>
                <w:rFonts w:ascii="Courier New" w:cs="Courier New" w:eastAsia="Courier New" w:hAnsi="Courier New"/>
                <w:sz w:val="15"/>
                <w:szCs w:val="15"/>
                <w:color w:val="auto"/>
              </w:rPr>
              <w:t>Contract manufacturing</w:t>
            </w:r>
          </w:p>
        </w:tc>
        <w:tc>
          <w:tcPr>
            <w:tcW w:w="18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1,886</w:t>
            </w:r>
          </w:p>
        </w:tc>
        <w:tc>
          <w:tcPr>
            <w:tcW w:w="16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696</w:t>
            </w:r>
          </w:p>
        </w:tc>
      </w:tr>
      <w:tr>
        <w:trPr>
          <w:trHeight w:val="171"/>
        </w:trPr>
        <w:tc>
          <w:tcPr>
            <w:tcW w:w="3680" w:type="dxa"/>
            <w:vAlign w:val="bottom"/>
          </w:tcPr>
          <w:p>
            <w:pPr>
              <w:ind w:left="520"/>
              <w:spacing w:after="0"/>
              <w:rPr>
                <w:sz w:val="20"/>
                <w:szCs w:val="20"/>
                <w:color w:val="auto"/>
              </w:rPr>
            </w:pPr>
            <w:r>
              <w:rPr>
                <w:rFonts w:ascii="Courier New" w:cs="Courier New" w:eastAsia="Courier New" w:hAnsi="Courier New"/>
                <w:sz w:val="15"/>
                <w:szCs w:val="15"/>
                <w:color w:val="auto"/>
              </w:rPr>
              <w:t>Investment income</w:t>
            </w:r>
          </w:p>
        </w:tc>
        <w:tc>
          <w:tcPr>
            <w:tcW w:w="18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1,790</w:t>
            </w:r>
          </w:p>
        </w:tc>
        <w:tc>
          <w:tcPr>
            <w:tcW w:w="16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1,279</w:t>
            </w:r>
          </w:p>
        </w:tc>
      </w:tr>
      <w:tr>
        <w:trPr>
          <w:trHeight w:val="171"/>
        </w:trPr>
        <w:tc>
          <w:tcPr>
            <w:tcW w:w="3680" w:type="dxa"/>
            <w:vAlign w:val="bottom"/>
          </w:tcPr>
          <w:p>
            <w:pPr>
              <w:spacing w:after="0"/>
              <w:rPr>
                <w:sz w:val="14"/>
                <w:szCs w:val="14"/>
                <w:color w:val="auto"/>
              </w:rPr>
            </w:pPr>
          </w:p>
        </w:tc>
        <w:tc>
          <w:tcPr>
            <w:tcW w:w="18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680" w:type="dxa"/>
            <w:vAlign w:val="bottom"/>
          </w:tcPr>
          <w:p>
            <w:pPr>
              <w:spacing w:after="0"/>
              <w:rPr>
                <w:sz w:val="14"/>
                <w:szCs w:val="14"/>
                <w:color w:val="auto"/>
              </w:rPr>
            </w:pPr>
          </w:p>
        </w:tc>
        <w:tc>
          <w:tcPr>
            <w:tcW w:w="18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8,250</w:t>
            </w:r>
          </w:p>
        </w:tc>
        <w:tc>
          <w:tcPr>
            <w:tcW w:w="16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6,213</w:t>
            </w:r>
          </w:p>
        </w:tc>
      </w:tr>
      <w:tr>
        <w:trPr>
          <w:trHeight w:val="171"/>
        </w:trPr>
        <w:tc>
          <w:tcPr>
            <w:tcW w:w="3680" w:type="dxa"/>
            <w:vAlign w:val="bottom"/>
          </w:tcPr>
          <w:p>
            <w:pPr>
              <w:spacing w:after="0"/>
              <w:rPr>
                <w:sz w:val="14"/>
                <w:szCs w:val="14"/>
                <w:color w:val="auto"/>
              </w:rPr>
            </w:pPr>
          </w:p>
        </w:tc>
        <w:tc>
          <w:tcPr>
            <w:tcW w:w="18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512"/>
        </w:trPr>
        <w:tc>
          <w:tcPr>
            <w:tcW w:w="368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8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1"/>
        </w:trPr>
        <w:tc>
          <w:tcPr>
            <w:tcW w:w="3680" w:type="dxa"/>
            <w:vAlign w:val="bottom"/>
          </w:tcPr>
          <w:p>
            <w:pPr>
              <w:ind w:left="520"/>
              <w:spacing w:after="0"/>
              <w:rPr>
                <w:sz w:val="20"/>
                <w:szCs w:val="20"/>
                <w:color w:val="auto"/>
              </w:rPr>
            </w:pPr>
            <w:r>
              <w:rPr>
                <w:rFonts w:ascii="Courier New" w:cs="Courier New" w:eastAsia="Courier New" w:hAnsi="Courier New"/>
                <w:sz w:val="15"/>
                <w:szCs w:val="15"/>
                <w:color w:val="auto"/>
              </w:rPr>
              <w:t>Research and development</w:t>
            </w:r>
          </w:p>
        </w:tc>
        <w:tc>
          <w:tcPr>
            <w:tcW w:w="18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8,150</w:t>
            </w:r>
          </w:p>
        </w:tc>
        <w:tc>
          <w:tcPr>
            <w:tcW w:w="16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7,076</w:t>
            </w:r>
          </w:p>
        </w:tc>
      </w:tr>
      <w:tr>
        <w:trPr>
          <w:trHeight w:val="171"/>
        </w:trPr>
        <w:tc>
          <w:tcPr>
            <w:tcW w:w="3680" w:type="dxa"/>
            <w:vAlign w:val="bottom"/>
          </w:tcPr>
          <w:p>
            <w:pPr>
              <w:ind w:left="520"/>
              <w:spacing w:after="0"/>
              <w:rPr>
                <w:sz w:val="20"/>
                <w:szCs w:val="20"/>
                <w:color w:val="auto"/>
              </w:rPr>
            </w:pPr>
            <w:r>
              <w:rPr>
                <w:rFonts w:ascii="Courier New" w:cs="Courier New" w:eastAsia="Courier New" w:hAnsi="Courier New"/>
                <w:sz w:val="15"/>
                <w:szCs w:val="15"/>
                <w:color w:val="auto"/>
              </w:rPr>
              <w:t>Loss in Amgen-Regeneron Partners</w:t>
            </w:r>
          </w:p>
        </w:tc>
        <w:tc>
          <w:tcPr>
            <w:tcW w:w="18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687</w:t>
            </w:r>
          </w:p>
        </w:tc>
        <w:tc>
          <w:tcPr>
            <w:tcW w:w="16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1,700</w:t>
            </w:r>
          </w:p>
        </w:tc>
      </w:tr>
      <w:tr>
        <w:trPr>
          <w:trHeight w:val="171"/>
        </w:trPr>
        <w:tc>
          <w:tcPr>
            <w:tcW w:w="3680" w:type="dxa"/>
            <w:vAlign w:val="bottom"/>
          </w:tcPr>
          <w:p>
            <w:pPr>
              <w:ind w:left="520"/>
              <w:spacing w:after="0"/>
              <w:rPr>
                <w:sz w:val="20"/>
                <w:szCs w:val="20"/>
                <w:color w:val="auto"/>
              </w:rPr>
            </w:pPr>
            <w:r>
              <w:rPr>
                <w:rFonts w:ascii="Courier New" w:cs="Courier New" w:eastAsia="Courier New" w:hAnsi="Courier New"/>
                <w:sz w:val="15"/>
                <w:szCs w:val="15"/>
                <w:color w:val="auto"/>
              </w:rPr>
              <w:t>General and administrative</w:t>
            </w:r>
          </w:p>
        </w:tc>
        <w:tc>
          <w:tcPr>
            <w:tcW w:w="18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1,384</w:t>
            </w:r>
          </w:p>
        </w:tc>
        <w:tc>
          <w:tcPr>
            <w:tcW w:w="16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1,464</w:t>
            </w:r>
          </w:p>
        </w:tc>
      </w:tr>
      <w:tr>
        <w:trPr>
          <w:trHeight w:val="171"/>
        </w:trPr>
        <w:tc>
          <w:tcPr>
            <w:tcW w:w="3680" w:type="dxa"/>
            <w:vAlign w:val="bottom"/>
          </w:tcPr>
          <w:p>
            <w:pPr>
              <w:ind w:left="520"/>
              <w:spacing w:after="0"/>
              <w:rPr>
                <w:sz w:val="20"/>
                <w:szCs w:val="20"/>
                <w:color w:val="auto"/>
              </w:rPr>
            </w:pPr>
            <w:r>
              <w:rPr>
                <w:rFonts w:ascii="Courier New" w:cs="Courier New" w:eastAsia="Courier New" w:hAnsi="Courier New"/>
                <w:sz w:val="15"/>
                <w:szCs w:val="15"/>
                <w:color w:val="auto"/>
              </w:rPr>
              <w:t>Depreciation and amortization</w:t>
            </w:r>
          </w:p>
        </w:tc>
        <w:tc>
          <w:tcPr>
            <w:tcW w:w="18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869</w:t>
            </w:r>
          </w:p>
        </w:tc>
        <w:tc>
          <w:tcPr>
            <w:tcW w:w="16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1,201</w:t>
            </w:r>
          </w:p>
        </w:tc>
      </w:tr>
      <w:tr>
        <w:trPr>
          <w:trHeight w:val="171"/>
        </w:trPr>
        <w:tc>
          <w:tcPr>
            <w:tcW w:w="3680" w:type="dxa"/>
            <w:vAlign w:val="bottom"/>
          </w:tcPr>
          <w:p>
            <w:pPr>
              <w:ind w:left="520"/>
              <w:spacing w:after="0"/>
              <w:rPr>
                <w:sz w:val="20"/>
                <w:szCs w:val="20"/>
                <w:color w:val="auto"/>
              </w:rPr>
            </w:pPr>
            <w:r>
              <w:rPr>
                <w:rFonts w:ascii="Courier New" w:cs="Courier New" w:eastAsia="Courier New" w:hAnsi="Courier New"/>
                <w:sz w:val="15"/>
                <w:szCs w:val="15"/>
                <w:color w:val="auto"/>
              </w:rPr>
              <w:t>Contract manufacturing</w:t>
            </w:r>
          </w:p>
        </w:tc>
        <w:tc>
          <w:tcPr>
            <w:tcW w:w="18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868</w:t>
            </w:r>
          </w:p>
        </w:tc>
        <w:tc>
          <w:tcPr>
            <w:tcW w:w="16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493</w:t>
            </w:r>
          </w:p>
        </w:tc>
      </w:tr>
      <w:tr>
        <w:trPr>
          <w:trHeight w:val="171"/>
        </w:trPr>
        <w:tc>
          <w:tcPr>
            <w:tcW w:w="3680" w:type="dxa"/>
            <w:vAlign w:val="bottom"/>
          </w:tcPr>
          <w:p>
            <w:pPr>
              <w:ind w:left="520"/>
              <w:spacing w:after="0"/>
              <w:rPr>
                <w:sz w:val="20"/>
                <w:szCs w:val="20"/>
                <w:color w:val="auto"/>
              </w:rPr>
            </w:pPr>
            <w:r>
              <w:rPr>
                <w:rFonts w:ascii="Courier New" w:cs="Courier New" w:eastAsia="Courier New" w:hAnsi="Courier New"/>
                <w:sz w:val="15"/>
                <w:szCs w:val="15"/>
                <w:color w:val="auto"/>
              </w:rPr>
              <w:t>Interest</w:t>
            </w:r>
          </w:p>
        </w:tc>
        <w:tc>
          <w:tcPr>
            <w:tcW w:w="18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121</w:t>
            </w:r>
          </w:p>
        </w:tc>
        <w:tc>
          <w:tcPr>
            <w:tcW w:w="16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208</w:t>
            </w:r>
          </w:p>
        </w:tc>
      </w:tr>
      <w:tr>
        <w:trPr>
          <w:trHeight w:val="171"/>
        </w:trPr>
        <w:tc>
          <w:tcPr>
            <w:tcW w:w="3680" w:type="dxa"/>
            <w:vAlign w:val="bottom"/>
          </w:tcPr>
          <w:p>
            <w:pPr>
              <w:spacing w:after="0"/>
              <w:rPr>
                <w:sz w:val="14"/>
                <w:szCs w:val="14"/>
                <w:color w:val="auto"/>
              </w:rPr>
            </w:pPr>
          </w:p>
        </w:tc>
        <w:tc>
          <w:tcPr>
            <w:tcW w:w="18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680" w:type="dxa"/>
            <w:vAlign w:val="bottom"/>
          </w:tcPr>
          <w:p>
            <w:pPr>
              <w:spacing w:after="0"/>
              <w:rPr>
                <w:sz w:val="14"/>
                <w:szCs w:val="14"/>
                <w:color w:val="auto"/>
              </w:rPr>
            </w:pPr>
          </w:p>
        </w:tc>
        <w:tc>
          <w:tcPr>
            <w:tcW w:w="18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12,079</w:t>
            </w:r>
          </w:p>
        </w:tc>
        <w:tc>
          <w:tcPr>
            <w:tcW w:w="16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12,142</w:t>
            </w:r>
          </w:p>
        </w:tc>
      </w:tr>
      <w:tr>
        <w:trPr>
          <w:trHeight w:val="171"/>
        </w:trPr>
        <w:tc>
          <w:tcPr>
            <w:tcW w:w="3680" w:type="dxa"/>
            <w:vAlign w:val="bottom"/>
          </w:tcPr>
          <w:p>
            <w:pPr>
              <w:spacing w:after="0"/>
              <w:rPr>
                <w:sz w:val="14"/>
                <w:szCs w:val="14"/>
                <w:color w:val="auto"/>
              </w:rPr>
            </w:pPr>
          </w:p>
        </w:tc>
        <w:tc>
          <w:tcPr>
            <w:tcW w:w="18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82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($3,829)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($5,929)</w:t>
            </w:r>
          </w:p>
        </w:tc>
      </w:tr>
      <w:tr>
        <w:trPr>
          <w:trHeight w:val="171"/>
        </w:trPr>
        <w:tc>
          <w:tcPr>
            <w:tcW w:w="3680" w:type="dxa"/>
            <w:vAlign w:val="bottom"/>
          </w:tcPr>
          <w:p>
            <w:pPr>
              <w:spacing w:after="0"/>
              <w:rPr>
                <w:sz w:val="14"/>
                <w:szCs w:val="14"/>
                <w:color w:val="auto"/>
              </w:rPr>
            </w:pPr>
          </w:p>
        </w:tc>
        <w:tc>
          <w:tcPr>
            <w:tcW w:w="1820" w:type="dxa"/>
            <w:vAlign w:val="bottom"/>
          </w:tcPr>
          <w:p>
            <w:pPr>
              <w:jc w:val="center"/>
              <w:ind w:right="606"/>
              <w:spacing w:after="0"/>
              <w:rPr>
                <w:sz w:val="20"/>
                <w:szCs w:val="20"/>
                <w:color w:val="auto"/>
              </w:rPr>
            </w:pPr>
            <w:r>
              <w:rPr>
                <w:rFonts w:ascii="Courier New" w:cs="Courier New" w:eastAsia="Courier New" w:hAnsi="Courier New"/>
                <w:sz w:val="15"/>
                <w:szCs w:val="15"/>
                <w:color w:val="auto"/>
                <w:w w:val="97"/>
              </w:rPr>
              <w:t>========</w:t>
            </w:r>
          </w:p>
        </w:tc>
        <w:tc>
          <w:tcPr>
            <w:tcW w:w="1600" w:type="dxa"/>
            <w:vAlign w:val="bottom"/>
          </w:tcPr>
          <w:p>
            <w:pPr>
              <w:jc w:val="center"/>
              <w:ind w:left="80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Net loss per share, basic and diluted</w:t>
            </w:r>
          </w:p>
        </w:tc>
        <w:tc>
          <w:tcPr>
            <w:tcW w:w="182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($0.12)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($0.23)</w:t>
            </w:r>
          </w:p>
        </w:tc>
      </w:tr>
      <w:tr>
        <w:trPr>
          <w:trHeight w:val="171"/>
        </w:trPr>
        <w:tc>
          <w:tcPr>
            <w:tcW w:w="3680" w:type="dxa"/>
            <w:vAlign w:val="bottom"/>
          </w:tcPr>
          <w:p>
            <w:pPr>
              <w:spacing w:after="0"/>
              <w:rPr>
                <w:sz w:val="14"/>
                <w:szCs w:val="14"/>
                <w:color w:val="auto"/>
              </w:rPr>
            </w:pPr>
          </w:p>
        </w:tc>
        <w:tc>
          <w:tcPr>
            <w:tcW w:w="182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8"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CONDENSED STATEMENT OF STOCKHOLDERS' EQUITY (Unaudited)</w:t>
      </w:r>
    </w:p>
    <w:p>
      <w:pPr>
        <w:spacing w:after="0" w:line="9" w:lineRule="exact"/>
        <w:rPr>
          <w:sz w:val="20"/>
          <w:szCs w:val="20"/>
          <w:color w:val="auto"/>
        </w:rPr>
      </w:pPr>
    </w:p>
    <w:p>
      <w:pPr>
        <w:spacing w:after="0"/>
        <w:tabs>
          <w:tab w:leader="none" w:pos="2980" w:val="left"/>
        </w:tabs>
        <w:rPr>
          <w:sz w:val="20"/>
          <w:szCs w:val="20"/>
          <w:color w:val="auto"/>
        </w:rPr>
      </w:pPr>
      <w:r>
        <w:rPr>
          <w:rFonts w:ascii="Courier New" w:cs="Courier New" w:eastAsia="Courier New" w:hAnsi="Courier New"/>
          <w:sz w:val="15"/>
          <w:szCs w:val="15"/>
          <w:color w:val="auto"/>
        </w:rPr>
        <w:t>For the three months ended March</w:t>
      </w:r>
      <w:r>
        <w:rPr>
          <w:sz w:val="20"/>
          <w:szCs w:val="20"/>
          <w:color w:val="auto"/>
        </w:rPr>
        <w:tab/>
      </w:r>
      <w:r>
        <w:rPr>
          <w:rFonts w:ascii="Courier New" w:cs="Courier New" w:eastAsia="Courier New" w:hAnsi="Courier New"/>
          <w:sz w:val="14"/>
          <w:szCs w:val="14"/>
          <w:color w:val="auto"/>
        </w:rPr>
        <w:t>31, 1998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w:t>
      </w:r>
    </w:p>
    <w:p>
      <w:pPr>
        <w:sectPr>
          <w:pgSz w:w="11900" w:h="16838" w:orient="portrait"/>
          <w:cols w:equalWidth="0" w:num="1">
            <w:col w:w="10640"/>
          </w:cols>
          <w:pgMar w:left="240" w:top="628"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Class A Stock</w:t>
      </w:r>
    </w:p>
    <w:p>
      <w:pPr>
        <w:spacing w:after="0" w:line="1"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260"/>
        <w:spacing w:after="0"/>
        <w:tabs>
          <w:tab w:leader="none" w:pos="5480" w:val="left"/>
        </w:tabs>
        <w:rPr>
          <w:sz w:val="20"/>
          <w:szCs w:val="20"/>
          <w:color w:val="auto"/>
        </w:rPr>
      </w:pP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Amount</w:t>
      </w:r>
    </w:p>
    <w:p>
      <w:pPr>
        <w:spacing w:after="0" w:line="12" w:lineRule="exact"/>
        <w:rPr>
          <w:sz w:val="20"/>
          <w:szCs w:val="20"/>
          <w:color w:val="auto"/>
        </w:rPr>
      </w:pPr>
    </w:p>
    <w:p>
      <w:pPr>
        <w:ind w:left="4260"/>
        <w:spacing w:after="0"/>
        <w:tabs>
          <w:tab w:leader="none" w:pos="54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line="239" w:lineRule="auto"/>
        <w:rPr>
          <w:sz w:val="20"/>
          <w:szCs w:val="20"/>
          <w:color w:val="auto"/>
        </w:rPr>
      </w:pPr>
      <w:r>
        <w:rPr>
          <w:rFonts w:ascii="Courier New" w:cs="Courier New" w:eastAsia="Courier New" w:hAnsi="Courier New"/>
          <w:sz w:val="15"/>
          <w:szCs w:val="15"/>
          <w:color w:val="auto"/>
        </w:rPr>
        <w:t>Common Stock ------------ Shares          Amount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Paid-in</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Capital</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547" w:lineRule="exact"/>
        <w:rPr>
          <w:sz w:val="20"/>
          <w:szCs w:val="20"/>
          <w:color w:val="auto"/>
        </w:rPr>
      </w:pPr>
    </w:p>
    <w:p>
      <w:pPr>
        <w:sectPr>
          <w:pgSz w:w="11900" w:h="16838" w:orient="portrait"/>
          <w:cols w:equalWidth="0" w:num="3">
            <w:col w:w="6100" w:space="720"/>
            <w:col w:w="1960" w:space="520"/>
            <w:col w:w="1340"/>
          </w:cols>
          <w:pgMar w:left="240" w:top="628" w:right="1019" w:bottom="1440" w:gutter="0" w:footer="0" w:header="0"/>
          <w:type w:val="continuous"/>
        </w:sectPr>
      </w:pPr>
    </w:p>
    <w:p>
      <w:pPr>
        <w:spacing w:after="0" w:line="14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Balance, December 31, 1997</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4,118</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4</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5"/>
          <w:szCs w:val="15"/>
          <w:color w:val="auto"/>
        </w:rPr>
        <w:t>26,805</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$308,109</w:t>
      </w:r>
    </w:p>
    <w:p>
      <w:pPr>
        <w:spacing w:after="0" w:line="171" w:lineRule="exact"/>
        <w:rPr>
          <w:sz w:val="20"/>
          <w:szCs w:val="20"/>
          <w:color w:val="auto"/>
        </w:rPr>
      </w:pPr>
    </w:p>
    <w:p>
      <w:pPr>
        <w:sectPr>
          <w:pgSz w:w="11900" w:h="16838" w:orient="portrait"/>
          <w:cols w:equalWidth="0" w:num="8">
            <w:col w:w="3620" w:space="720"/>
            <w:col w:w="440" w:space="720"/>
            <w:col w:w="80" w:space="360"/>
            <w:col w:w="160" w:space="720"/>
            <w:col w:w="620" w:space="720"/>
            <w:col w:w="80" w:space="360"/>
            <w:col w:w="180" w:space="700"/>
            <w:col w:w="1160"/>
          </w:cols>
          <w:pgMar w:left="240" w:top="628" w:right="101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Amortization of unearned compensation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Issuance of Common Stock in connection</w:t>
      </w:r>
    </w:p>
    <w:p>
      <w:pPr>
        <w:sectPr>
          <w:pgSz w:w="11900" w:h="16838" w:orient="portrait"/>
          <w:cols w:equalWidth="0" w:num="1">
            <w:col w:w="10640"/>
          </w:cols>
          <w:pgMar w:left="240" w:top="628" w:right="1019" w:bottom="1440" w:gutter="0" w:footer="0" w:header="0"/>
          <w:type w:val="continuous"/>
        </w:sectPr>
      </w:pP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with exercise of stock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71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317</w:t>
      </w:r>
    </w:p>
    <w:p>
      <w:pPr>
        <w:spacing w:after="0" w:line="11" w:lineRule="exact"/>
        <w:rPr>
          <w:sz w:val="20"/>
          <w:szCs w:val="20"/>
          <w:color w:val="auto"/>
        </w:rPr>
      </w:pPr>
    </w:p>
    <w:p>
      <w:pPr>
        <w:sectPr>
          <w:pgSz w:w="11900" w:h="16838" w:orient="portrait"/>
          <w:cols w:equalWidth="0" w:num="3">
            <w:col w:w="6460" w:space="720"/>
            <w:col w:w="2040" w:space="720"/>
            <w:col w:w="700"/>
          </w:cols>
          <w:pgMar w:left="240" w:top="628" w:right="10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Conversion of Class A Stock to</w:t>
      </w:r>
    </w:p>
    <w:p>
      <w:pPr>
        <w:sectPr>
          <w:pgSz w:w="11900" w:h="16838" w:orient="portrait"/>
          <w:cols w:equalWidth="0" w:num="1">
            <w:col w:w="10640"/>
          </w:cols>
          <w:pgMar w:left="240" w:top="628" w:right="1019" w:bottom="1440" w:gutter="0" w:footer="0" w:header="0"/>
          <w:type w:val="continuous"/>
        </w:sectPr>
      </w:pP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(93)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93</w:t>
      </w:r>
    </w:p>
    <w:p>
      <w:pPr>
        <w:spacing w:after="0" w:line="1" w:lineRule="exact"/>
        <w:rPr>
          <w:sz w:val="20"/>
          <w:szCs w:val="20"/>
          <w:color w:val="auto"/>
        </w:rPr>
      </w:pPr>
    </w:p>
    <w:p>
      <w:pPr>
        <w:sectPr>
          <w:pgSz w:w="11900" w:h="16838" w:orient="portrait"/>
          <w:cols w:equalWidth="0" w:num="3">
            <w:col w:w="3800" w:space="720"/>
            <w:col w:w="1940" w:space="720"/>
            <w:col w:w="3460"/>
          </w:cols>
          <w:pgMar w:left="240" w:top="628" w:right="101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Net loss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 in net unrealized gain</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on marketable securities</w:t>
      </w:r>
    </w:p>
    <w:p>
      <w:pPr>
        <w:sectPr>
          <w:pgSz w:w="11900" w:h="16838" w:orient="portrait"/>
          <w:cols w:equalWidth="0" w:num="1">
            <w:col w:w="10640"/>
          </w:cols>
          <w:pgMar w:left="240" w:top="628" w:right="1019" w:bottom="1440" w:gutter="0" w:footer="0" w:header="0"/>
          <w:type w:val="continuous"/>
        </w:sectPr>
      </w:pPr>
    </w:p>
    <w:p>
      <w:pPr>
        <w:spacing w:after="0" w:line="35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Balance, March 31, 1998</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4,025</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26,969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$308,426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6">
            <w:col w:w="3540" w:space="720"/>
            <w:col w:w="520" w:space="720"/>
            <w:col w:w="620" w:space="700"/>
            <w:col w:w="620" w:space="720"/>
            <w:col w:w="620" w:space="700"/>
            <w:col w:w="1160"/>
          </w:cols>
          <w:pgMar w:left="240" w:top="628" w:right="10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Unearned</w:t>
      </w:r>
    </w:p>
    <w:p>
      <w:pPr>
        <w:spacing w:after="0" w:line="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Compensation</w:t>
      </w:r>
    </w:p>
    <w:p>
      <w:pPr>
        <w:spacing w:after="0" w:line="1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64" w:lineRule="auto"/>
        <w:rPr>
          <w:sz w:val="20"/>
          <w:szCs w:val="20"/>
          <w:color w:val="auto"/>
        </w:rPr>
      </w:pPr>
      <w:r>
        <w:rPr>
          <w:rFonts w:ascii="Courier New" w:cs="Courier New" w:eastAsia="Courier New" w:hAnsi="Courier New"/>
          <w:sz w:val="14"/>
          <w:szCs w:val="14"/>
          <w:color w:val="auto"/>
        </w:rPr>
        <w:t>Accumulated Deficit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Accumulated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Comprehensive</w:t>
      </w:r>
    </w:p>
    <w:p>
      <w:pPr>
        <w:spacing w:after="0" w:line="9"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Income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Total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Equity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Comprehensive</w:t>
      </w:r>
    </w:p>
    <w:p>
      <w:pPr>
        <w:spacing w:after="0" w:line="9"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Loss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5">
            <w:col w:w="4520" w:space="360"/>
            <w:col w:w="960" w:space="280"/>
            <w:col w:w="1680" w:space="180"/>
            <w:col w:w="1160" w:space="340"/>
            <w:col w:w="1160"/>
          </w:cols>
          <w:pgMar w:left="240" w:top="628" w:right="1019" w:bottom="144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Balance, December 31, 1997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($720)</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($168,608)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85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$ 138,897</w:t>
      </w:r>
    </w:p>
    <w:p>
      <w:pPr>
        <w:spacing w:after="0" w:line="208" w:lineRule="exact"/>
        <w:rPr>
          <w:sz w:val="20"/>
          <w:szCs w:val="20"/>
          <w:color w:val="auto"/>
        </w:rPr>
      </w:pPr>
    </w:p>
    <w:p>
      <w:pPr>
        <w:sectPr>
          <w:pgSz w:w="11900" w:h="16838" w:orient="portrait"/>
          <w:cols w:equalWidth="0" w:num="6">
            <w:col w:w="3180" w:space="720"/>
            <w:col w:w="520" w:space="620"/>
            <w:col w:w="900" w:space="620"/>
            <w:col w:w="80" w:space="540"/>
            <w:col w:w="180" w:space="700"/>
            <w:col w:w="2580"/>
          </w:cols>
          <w:pgMar w:left="240" w:top="628" w:right="1019" w:bottom="1440" w:gutter="0" w:footer="0" w:header="0"/>
          <w:type w:val="continuous"/>
        </w:sectPr>
      </w:pP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Amortization of unearned compensation</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90</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90</w:t>
      </w:r>
    </w:p>
    <w:p>
      <w:pPr>
        <w:spacing w:after="0" w:line="3" w:lineRule="exact"/>
        <w:rPr>
          <w:sz w:val="20"/>
          <w:szCs w:val="20"/>
          <w:color w:val="auto"/>
        </w:rPr>
      </w:pPr>
    </w:p>
    <w:p>
      <w:pPr>
        <w:sectPr>
          <w:pgSz w:w="11900" w:h="16838" w:orient="portrait"/>
          <w:cols w:equalWidth="0" w:num="3">
            <w:col w:w="3440" w:space="720"/>
            <w:col w:w="3800" w:space="720"/>
            <w:col w:w="1960"/>
          </w:cols>
          <w:pgMar w:left="240" w:top="628" w:right="10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Issuance of Common Stock in connection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of Class A Stock to</w:t>
      </w:r>
    </w:p>
    <w:p>
      <w:pPr>
        <w:sectPr>
          <w:pgSz w:w="11900" w:h="16838" w:orient="portrait"/>
          <w:cols w:equalWidth="0" w:num="1">
            <w:col w:w="10640"/>
          </w:cols>
          <w:pgMar w:left="240" w:top="628" w:right="1019" w:bottom="1440" w:gutter="0" w:footer="0" w:header="0"/>
          <w:type w:val="continuous"/>
        </w:sectPr>
      </w:pP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with exercise of stock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317</w:t>
      </w:r>
    </w:p>
    <w:p>
      <w:pPr>
        <w:spacing w:after="0" w:line="12" w:lineRule="exact"/>
        <w:rPr>
          <w:sz w:val="20"/>
          <w:szCs w:val="20"/>
          <w:color w:val="auto"/>
        </w:rPr>
      </w:pPr>
    </w:p>
    <w:p>
      <w:pPr>
        <w:sectPr>
          <w:pgSz w:w="11900" w:h="16838" w:orient="portrait"/>
          <w:cols w:equalWidth="0" w:num="2">
            <w:col w:w="7880" w:space="720"/>
            <w:col w:w="2040"/>
          </w:cols>
          <w:pgMar w:left="240" w:top="628" w:right="1019"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Common Stock</w:t>
      </w:r>
    </w:p>
    <w:p>
      <w:pPr>
        <w:sectPr>
          <w:pgSz w:w="11900" w:h="16838" w:orient="portrait"/>
          <w:cols w:equalWidth="0" w:num="1">
            <w:col w:w="10640"/>
          </w:cols>
          <w:pgMar w:left="240" w:top="628" w:right="101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loss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(3,829)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(3,829)</w:t>
      </w:r>
    </w:p>
    <w:p>
      <w:pPr>
        <w:spacing w:after="0" w:line="20" w:lineRule="exact"/>
        <w:rPr>
          <w:sz w:val="20"/>
          <w:szCs w:val="20"/>
          <w:color w:val="auto"/>
        </w:rPr>
      </w:pPr>
      <w:r>
        <w:rPr>
          <w:sz w:val="20"/>
          <w:szCs w:val="20"/>
          <w:color w:val="auto"/>
        </w:rPr>
        <w:br w:type="column"/>
      </w:r>
    </w:p>
    <w:p>
      <w:pPr>
        <w:spacing w:after="0"/>
        <w:tabs>
          <w:tab w:leader="none" w:pos="340" w:val="left"/>
        </w:tabs>
        <w:rPr>
          <w:sz w:val="20"/>
          <w:szCs w:val="20"/>
          <w:color w:val="auto"/>
        </w:rPr>
      </w:pPr>
      <w:r>
        <w:rPr>
          <w:rFonts w:ascii="Courier New" w:cs="Courier New" w:eastAsia="Courier New" w:hAnsi="Courier New"/>
          <w:sz w:val="15"/>
          <w:szCs w:val="15"/>
          <w:color w:val="auto"/>
        </w:rPr>
        <w:t>($</w:t>
        <w:tab/>
        <w:t>3,829)</w:t>
      </w:r>
    </w:p>
    <w:p>
      <w:pPr>
        <w:spacing w:after="0" w:line="3" w:lineRule="exact"/>
        <w:rPr>
          <w:sz w:val="20"/>
          <w:szCs w:val="20"/>
          <w:color w:val="auto"/>
        </w:rPr>
      </w:pPr>
    </w:p>
    <w:p>
      <w:pPr>
        <w:sectPr>
          <w:pgSz w:w="11900" w:h="16838" w:orient="portrait"/>
          <w:cols w:equalWidth="0" w:num="4">
            <w:col w:w="4600" w:space="720"/>
            <w:col w:w="2300" w:space="720"/>
            <w:col w:w="620" w:space="520"/>
            <w:col w:w="1160"/>
          </w:cols>
          <w:pgMar w:left="240" w:top="628" w:right="10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Change in net unrealized gain</w:t>
      </w:r>
    </w:p>
    <w:p>
      <w:pPr>
        <w:sectPr>
          <w:pgSz w:w="11900" w:h="16838" w:orient="portrait"/>
          <w:cols w:equalWidth="0" w:num="1">
            <w:col w:w="10640"/>
          </w:cols>
          <w:pgMar w:left="240" w:top="628" w:right="1019" w:bottom="1440" w:gutter="0" w:footer="0" w:header="0"/>
          <w:type w:val="continuous"/>
        </w:sectPr>
      </w:pP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on marketable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(39)</w:t>
      </w:r>
    </w:p>
    <w:p>
      <w:pPr>
        <w:spacing w:after="0" w:line="20" w:lineRule="exact"/>
        <w:rPr>
          <w:sz w:val="20"/>
          <w:szCs w:val="20"/>
          <w:color w:val="auto"/>
        </w:rPr>
      </w:pPr>
      <w:r>
        <w:rPr>
          <w:sz w:val="20"/>
          <w:szCs w:val="20"/>
          <w:color w:val="auto"/>
        </w:rPr>
        <w:br w:type="column"/>
      </w:r>
    </w:p>
    <w:p>
      <w:pPr>
        <w:spacing w:after="0"/>
        <w:tabs>
          <w:tab w:leader="none" w:pos="1400" w:val="left"/>
        </w:tabs>
        <w:rPr>
          <w:sz w:val="20"/>
          <w:szCs w:val="20"/>
          <w:color w:val="auto"/>
        </w:rPr>
      </w:pPr>
      <w:r>
        <w:rPr>
          <w:rFonts w:ascii="Courier New" w:cs="Courier New" w:eastAsia="Courier New" w:hAnsi="Courier New"/>
          <w:sz w:val="15"/>
          <w:szCs w:val="15"/>
          <w:color w:val="auto"/>
        </w:rPr>
        <w:t>(39)</w:t>
      </w:r>
      <w:r>
        <w:rPr>
          <w:sz w:val="20"/>
          <w:szCs w:val="20"/>
          <w:color w:val="auto"/>
        </w:rPr>
        <w:tab/>
      </w:r>
      <w:r>
        <w:rPr>
          <w:rFonts w:ascii="Courier New" w:cs="Courier New" w:eastAsia="Courier New" w:hAnsi="Courier New"/>
          <w:sz w:val="15"/>
          <w:szCs w:val="15"/>
          <w:color w:val="auto"/>
        </w:rPr>
        <w:t>(39)</w:t>
      </w:r>
    </w:p>
    <w:p>
      <w:pPr>
        <w:spacing w:after="0" w:line="174" w:lineRule="exact"/>
        <w:rPr>
          <w:sz w:val="20"/>
          <w:szCs w:val="20"/>
          <w:color w:val="auto"/>
        </w:rPr>
      </w:pPr>
    </w:p>
    <w:p>
      <w:pPr>
        <w:sectPr>
          <w:pgSz w:w="11900" w:h="16838" w:orient="portrait"/>
          <w:cols w:equalWidth="0" w:num="3">
            <w:col w:w="6380" w:space="720"/>
            <w:col w:w="780" w:space="720"/>
            <w:col w:w="2040"/>
          </w:cols>
          <w:pgMar w:left="240" w:top="628" w:right="1019" w:bottom="1440" w:gutter="0" w:footer="0" w:header="0"/>
          <w:type w:val="continuous"/>
        </w:sectPr>
      </w:pP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Balance, March 31, 1998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($630)</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($172,437)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46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$ 135,436</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right="260"/>
        <w:spacing w:after="0" w:line="239" w:lineRule="auto"/>
        <w:rPr>
          <w:sz w:val="20"/>
          <w:szCs w:val="20"/>
          <w:color w:val="auto"/>
        </w:rPr>
      </w:pPr>
      <w:r>
        <w:rPr>
          <w:rFonts w:ascii="Courier New" w:cs="Courier New" w:eastAsia="Courier New" w:hAnsi="Courier New"/>
          <w:sz w:val="15"/>
          <w:szCs w:val="15"/>
          <w:color w:val="auto"/>
        </w:rPr>
        <w:t>--------- ($ 3,868) =========</w:t>
      </w:r>
    </w:p>
    <w:p>
      <w:pPr>
        <w:spacing w:after="0" w:line="200" w:lineRule="exact"/>
        <w:rPr>
          <w:sz w:val="20"/>
          <w:szCs w:val="20"/>
          <w:color w:val="auto"/>
        </w:rPr>
      </w:pPr>
    </w:p>
    <w:p>
      <w:pPr>
        <w:sectPr>
          <w:pgSz w:w="11900" w:h="16838" w:orient="portrait"/>
          <w:cols w:equalWidth="0" w:num="6">
            <w:col w:w="3180" w:space="720"/>
            <w:col w:w="520" w:space="620"/>
            <w:col w:w="900" w:space="620"/>
            <w:col w:w="800" w:space="700"/>
            <w:col w:w="800" w:space="620"/>
            <w:col w:w="1160"/>
          </w:cols>
          <w:pgMar w:left="240" w:top="628" w:right="1019" w:bottom="1440" w:gutter="0" w:footer="0" w:header="0"/>
          <w:type w:val="continuous"/>
        </w:sectPr>
      </w:pPr>
    </w:p>
    <w:p>
      <w:pPr>
        <w:spacing w:after="0" w:line="315" w:lineRule="exact"/>
        <w:rPr>
          <w:sz w:val="20"/>
          <w:szCs w:val="20"/>
          <w:color w:val="auto"/>
        </w:rPr>
      </w:pPr>
    </w:p>
    <w:p>
      <w:pPr>
        <w:jc w:val="center"/>
        <w:ind w:right="3740"/>
        <w:spacing w:after="0"/>
        <w:rPr>
          <w:sz w:val="20"/>
          <w:szCs w:val="20"/>
          <w:color w:val="auto"/>
        </w:rPr>
      </w:pPr>
      <w:r>
        <w:rPr>
          <w:rFonts w:ascii="Courier New" w:cs="Courier New" w:eastAsia="Courier New" w:hAnsi="Courier New"/>
          <w:sz w:val="14"/>
          <w:szCs w:val="14"/>
          <w:color w:val="auto"/>
        </w:rPr>
        <w:t>The accompanying notes are an integral part of the financial statements.</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640"/>
          </w:cols>
          <w:pgMar w:left="240" w:top="628" w:right="1019" w:bottom="144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STATEMENTS OF CASH FLOWS (Unaudited)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(Decrease) in Cash and Cash Equivalents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40" w:type="dxa"/>
            <w:vAlign w:val="bottom"/>
          </w:tcPr>
          <w:p>
            <w:pPr>
              <w:spacing w:after="0"/>
              <w:rPr>
                <w:sz w:val="14"/>
                <w:szCs w:val="14"/>
                <w:color w:val="auto"/>
              </w:rPr>
            </w:pPr>
          </w:p>
        </w:tc>
        <w:tc>
          <w:tcPr>
            <w:tcW w:w="3680" w:type="dxa"/>
            <w:vAlign w:val="bottom"/>
            <w:gridSpan w:val="2"/>
          </w:tcPr>
          <w:p>
            <w:pPr>
              <w:ind w:left="920"/>
              <w:spacing w:after="0"/>
              <w:rPr>
                <w:sz w:val="20"/>
                <w:szCs w:val="20"/>
                <w:color w:val="auto"/>
              </w:rPr>
            </w:pPr>
            <w:r>
              <w:rPr>
                <w:rFonts w:ascii="Courier New" w:cs="Courier New" w:eastAsia="Courier New" w:hAnsi="Courier New"/>
                <w:sz w:val="15"/>
                <w:szCs w:val="15"/>
                <w:color w:val="auto"/>
              </w:rPr>
              <w:t>Three months ended March 31,</w:t>
            </w:r>
          </w:p>
        </w:tc>
      </w:tr>
      <w:tr>
        <w:trPr>
          <w:trHeight w:val="171"/>
        </w:trPr>
        <w:tc>
          <w:tcPr>
            <w:tcW w:w="7140" w:type="dxa"/>
            <w:vAlign w:val="bottom"/>
          </w:tcPr>
          <w:p>
            <w:pPr>
              <w:spacing w:after="0"/>
              <w:rPr>
                <w:sz w:val="14"/>
                <w:szCs w:val="14"/>
                <w:color w:val="auto"/>
              </w:rPr>
            </w:pPr>
          </w:p>
        </w:tc>
        <w:tc>
          <w:tcPr>
            <w:tcW w:w="2220" w:type="dxa"/>
            <w:vAlign w:val="bottom"/>
          </w:tcPr>
          <w:p>
            <w:pPr>
              <w:ind w:left="920"/>
              <w:spacing w:after="0"/>
              <w:rPr>
                <w:sz w:val="20"/>
                <w:szCs w:val="20"/>
                <w:color w:val="auto"/>
              </w:rPr>
            </w:pPr>
            <w:r>
              <w:rPr>
                <w:rFonts w:ascii="Courier New" w:cs="Courier New" w:eastAsia="Courier New" w:hAnsi="Courier New"/>
                <w:sz w:val="15"/>
                <w:szCs w:val="15"/>
                <w:color w:val="auto"/>
              </w:rPr>
              <w:t>1998</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7140" w:type="dxa"/>
            <w:vAlign w:val="bottom"/>
          </w:tcPr>
          <w:p>
            <w:pPr>
              <w:spacing w:after="0"/>
              <w:rPr>
                <w:sz w:val="14"/>
                <w:szCs w:val="14"/>
                <w:color w:val="auto"/>
              </w:rPr>
            </w:pPr>
          </w:p>
        </w:tc>
        <w:tc>
          <w:tcPr>
            <w:tcW w:w="2220" w:type="dxa"/>
            <w:vAlign w:val="bottom"/>
          </w:tcPr>
          <w:p>
            <w:pPr>
              <w:ind w:left="92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71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1"/>
        </w:trPr>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Net loss</w:t>
            </w:r>
          </w:p>
        </w:tc>
        <w:tc>
          <w:tcPr>
            <w:tcW w:w="222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($3,829)</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($5,929)</w:t>
            </w:r>
          </w:p>
        </w:tc>
      </w:tr>
      <w:tr>
        <w:trPr>
          <w:trHeight w:val="171"/>
        </w:trPr>
        <w:tc>
          <w:tcPr>
            <w:tcW w:w="7140" w:type="dxa"/>
            <w:vAlign w:val="bottom"/>
          </w:tcPr>
          <w:p>
            <w:pPr>
              <w:spacing w:after="0"/>
              <w:rPr>
                <w:sz w:val="14"/>
                <w:szCs w:val="14"/>
                <w:color w:val="auto"/>
              </w:rPr>
            </w:pPr>
          </w:p>
        </w:tc>
        <w:tc>
          <w:tcPr>
            <w:tcW w:w="222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Adjustments to reconcile net loss to net cash</w:t>
            </w:r>
          </w:p>
        </w:tc>
        <w:tc>
          <w:tcPr>
            <w:tcW w:w="22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7140" w:type="dxa"/>
            <w:vAlign w:val="bottom"/>
          </w:tcPr>
          <w:p>
            <w:pPr>
              <w:ind w:left="440"/>
              <w:spacing w:after="0"/>
              <w:rPr>
                <w:sz w:val="20"/>
                <w:szCs w:val="20"/>
                <w:color w:val="auto"/>
              </w:rPr>
            </w:pPr>
            <w:r>
              <w:rPr>
                <w:rFonts w:ascii="Courier New" w:cs="Courier New" w:eastAsia="Courier New" w:hAnsi="Courier New"/>
                <w:sz w:val="15"/>
                <w:szCs w:val="15"/>
                <w:color w:val="auto"/>
              </w:rPr>
              <w:t>used in operating activities</w:t>
            </w:r>
          </w:p>
        </w:tc>
        <w:tc>
          <w:tcPr>
            <w:tcW w:w="22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7140" w:type="dxa"/>
            <w:vAlign w:val="bottom"/>
          </w:tcPr>
          <w:p>
            <w:pPr>
              <w:ind w:left="520"/>
              <w:spacing w:after="0"/>
              <w:rPr>
                <w:sz w:val="20"/>
                <w:szCs w:val="20"/>
                <w:color w:val="auto"/>
              </w:rPr>
            </w:pPr>
            <w:r>
              <w:rPr>
                <w:rFonts w:ascii="Courier New" w:cs="Courier New" w:eastAsia="Courier New" w:hAnsi="Courier New"/>
                <w:sz w:val="15"/>
                <w:szCs w:val="15"/>
                <w:color w:val="auto"/>
              </w:rPr>
              <w:t>Loss in Amgen-Regeneron Partners</w:t>
            </w:r>
          </w:p>
        </w:tc>
        <w:tc>
          <w:tcPr>
            <w:tcW w:w="222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687</w:t>
            </w:r>
          </w:p>
        </w:tc>
        <w:tc>
          <w:tcPr>
            <w:tcW w:w="1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1,700</w:t>
            </w:r>
          </w:p>
        </w:tc>
      </w:tr>
      <w:tr>
        <w:trPr>
          <w:trHeight w:val="171"/>
        </w:trPr>
        <w:tc>
          <w:tcPr>
            <w:tcW w:w="7140" w:type="dxa"/>
            <w:vAlign w:val="bottom"/>
          </w:tcPr>
          <w:p>
            <w:pPr>
              <w:ind w:left="520"/>
              <w:spacing w:after="0"/>
              <w:rPr>
                <w:sz w:val="20"/>
                <w:szCs w:val="20"/>
                <w:color w:val="auto"/>
              </w:rPr>
            </w:pPr>
            <w:r>
              <w:rPr>
                <w:rFonts w:ascii="Courier New" w:cs="Courier New" w:eastAsia="Courier New" w:hAnsi="Courier New"/>
                <w:sz w:val="15"/>
                <w:szCs w:val="15"/>
                <w:color w:val="auto"/>
              </w:rPr>
              <w:t>Depreciation and amortization</w:t>
            </w:r>
          </w:p>
        </w:tc>
        <w:tc>
          <w:tcPr>
            <w:tcW w:w="222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869</w:t>
            </w:r>
          </w:p>
        </w:tc>
        <w:tc>
          <w:tcPr>
            <w:tcW w:w="1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1,201</w:t>
            </w:r>
          </w:p>
        </w:tc>
      </w:tr>
      <w:tr>
        <w:trPr>
          <w:trHeight w:val="171"/>
        </w:trPr>
        <w:tc>
          <w:tcPr>
            <w:tcW w:w="7140" w:type="dxa"/>
            <w:vAlign w:val="bottom"/>
          </w:tcPr>
          <w:p>
            <w:pPr>
              <w:ind w:left="520"/>
              <w:spacing w:after="0"/>
              <w:rPr>
                <w:sz w:val="20"/>
                <w:szCs w:val="20"/>
                <w:color w:val="auto"/>
              </w:rPr>
            </w:pPr>
            <w:r>
              <w:rPr>
                <w:rFonts w:ascii="Courier New" w:cs="Courier New" w:eastAsia="Courier New" w:hAnsi="Courier New"/>
                <w:sz w:val="15"/>
                <w:szCs w:val="15"/>
                <w:color w:val="auto"/>
              </w:rPr>
              <w:t>Stock issued in consideration for services rendered</w:t>
            </w:r>
          </w:p>
        </w:tc>
        <w:tc>
          <w:tcPr>
            <w:tcW w:w="222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90</w:t>
            </w:r>
          </w:p>
        </w:tc>
        <w:tc>
          <w:tcPr>
            <w:tcW w:w="1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90</w:t>
            </w:r>
          </w:p>
        </w:tc>
      </w:tr>
      <w:tr>
        <w:trPr>
          <w:trHeight w:val="171"/>
        </w:trPr>
        <w:tc>
          <w:tcPr>
            <w:tcW w:w="7140" w:type="dxa"/>
            <w:vAlign w:val="bottom"/>
          </w:tcPr>
          <w:p>
            <w:pPr>
              <w:ind w:left="520"/>
              <w:spacing w:after="0"/>
              <w:rPr>
                <w:sz w:val="20"/>
                <w:szCs w:val="20"/>
                <w:color w:val="auto"/>
              </w:rPr>
            </w:pPr>
            <w:r>
              <w:rPr>
                <w:rFonts w:ascii="Courier New" w:cs="Courier New" w:eastAsia="Courier New" w:hAnsi="Courier New"/>
                <w:sz w:val="15"/>
                <w:szCs w:val="15"/>
                <w:color w:val="auto"/>
              </w:rPr>
              <w:t>Changes in assets and liabilities</w:t>
            </w:r>
          </w:p>
        </w:tc>
        <w:tc>
          <w:tcPr>
            <w:tcW w:w="22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7140" w:type="dxa"/>
            <w:vAlign w:val="bottom"/>
          </w:tcPr>
          <w:p>
            <w:pPr>
              <w:ind w:left="700"/>
              <w:spacing w:after="0"/>
              <w:rPr>
                <w:sz w:val="20"/>
                <w:szCs w:val="20"/>
                <w:color w:val="auto"/>
              </w:rPr>
            </w:pPr>
            <w:r>
              <w:rPr>
                <w:rFonts w:ascii="Courier New" w:cs="Courier New" w:eastAsia="Courier New" w:hAnsi="Courier New"/>
                <w:sz w:val="15"/>
                <w:szCs w:val="15"/>
                <w:color w:val="auto"/>
              </w:rPr>
              <w:t>Decrease in amounts due from The Procter &amp; Gamble Company</w:t>
            </w:r>
          </w:p>
        </w:tc>
        <w:tc>
          <w:tcPr>
            <w:tcW w:w="222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97</w:t>
            </w:r>
          </w:p>
        </w:tc>
        <w:tc>
          <w:tcPr>
            <w:tcW w:w="1460" w:type="dxa"/>
            <w:vAlign w:val="bottom"/>
          </w:tcPr>
          <w:p>
            <w:pPr>
              <w:spacing w:after="0"/>
              <w:rPr>
                <w:sz w:val="14"/>
                <w:szCs w:val="14"/>
                <w:color w:val="auto"/>
              </w:rPr>
            </w:pPr>
          </w:p>
        </w:tc>
      </w:tr>
      <w:tr>
        <w:trPr>
          <w:trHeight w:val="171"/>
        </w:trPr>
        <w:tc>
          <w:tcPr>
            <w:tcW w:w="7140" w:type="dxa"/>
            <w:vAlign w:val="bottom"/>
          </w:tcPr>
          <w:p>
            <w:pPr>
              <w:ind w:left="700"/>
              <w:spacing w:after="0"/>
              <w:rPr>
                <w:sz w:val="20"/>
                <w:szCs w:val="20"/>
                <w:color w:val="auto"/>
              </w:rPr>
            </w:pPr>
            <w:r>
              <w:rPr>
                <w:rFonts w:ascii="Courier New" w:cs="Courier New" w:eastAsia="Courier New" w:hAnsi="Courier New"/>
                <w:sz w:val="15"/>
                <w:szCs w:val="15"/>
                <w:color w:val="auto"/>
              </w:rPr>
              <w:t>Decrease  in amounts due from Sumitomo Pharmaceuticals Co., Ltd.</w:t>
            </w:r>
          </w:p>
        </w:tc>
        <w:tc>
          <w:tcPr>
            <w:tcW w:w="222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2,115</w:t>
            </w:r>
          </w:p>
        </w:tc>
        <w:tc>
          <w:tcPr>
            <w:tcW w:w="1460" w:type="dxa"/>
            <w:vAlign w:val="bottom"/>
          </w:tcPr>
          <w:p>
            <w:pPr>
              <w:spacing w:after="0"/>
              <w:rPr>
                <w:sz w:val="14"/>
                <w:szCs w:val="14"/>
                <w:color w:val="auto"/>
              </w:rPr>
            </w:pPr>
          </w:p>
        </w:tc>
      </w:tr>
      <w:tr>
        <w:trPr>
          <w:trHeight w:val="171"/>
        </w:trPr>
        <w:tc>
          <w:tcPr>
            <w:tcW w:w="7140" w:type="dxa"/>
            <w:vAlign w:val="bottom"/>
          </w:tcPr>
          <w:p>
            <w:pPr>
              <w:ind w:left="700"/>
              <w:spacing w:after="0"/>
              <w:rPr>
                <w:sz w:val="20"/>
                <w:szCs w:val="20"/>
                <w:color w:val="auto"/>
              </w:rPr>
            </w:pPr>
            <w:r>
              <w:rPr>
                <w:rFonts w:ascii="Courier New" w:cs="Courier New" w:eastAsia="Courier New" w:hAnsi="Courier New"/>
                <w:sz w:val="15"/>
                <w:szCs w:val="15"/>
                <w:color w:val="auto"/>
              </w:rPr>
              <w:t>(Increase) decrease in amounts due from Merck &amp; Co., Ltd.</w:t>
            </w:r>
          </w:p>
        </w:tc>
        <w:tc>
          <w:tcPr>
            <w:tcW w:w="222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(189)</w:t>
            </w:r>
          </w:p>
        </w:tc>
        <w:tc>
          <w:tcPr>
            <w:tcW w:w="1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1,022</w:t>
            </w:r>
          </w:p>
        </w:tc>
      </w:tr>
      <w:tr>
        <w:trPr>
          <w:trHeight w:val="171"/>
        </w:trPr>
        <w:tc>
          <w:tcPr>
            <w:tcW w:w="7140" w:type="dxa"/>
            <w:vAlign w:val="bottom"/>
          </w:tcPr>
          <w:p>
            <w:pPr>
              <w:ind w:left="700"/>
              <w:spacing w:after="0"/>
              <w:rPr>
                <w:sz w:val="20"/>
                <w:szCs w:val="20"/>
                <w:color w:val="auto"/>
              </w:rPr>
            </w:pPr>
            <w:r>
              <w:rPr>
                <w:rFonts w:ascii="Courier New" w:cs="Courier New" w:eastAsia="Courier New" w:hAnsi="Courier New"/>
                <w:sz w:val="15"/>
                <w:szCs w:val="15"/>
                <w:color w:val="auto"/>
              </w:rPr>
              <w:t>Increase in amounts due from Amgen-Regeneron Partners</w:t>
            </w:r>
          </w:p>
        </w:tc>
        <w:tc>
          <w:tcPr>
            <w:tcW w:w="222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(73)</w:t>
            </w:r>
          </w:p>
        </w:tc>
        <w:tc>
          <w:tcPr>
            <w:tcW w:w="1460" w:type="dxa"/>
            <w:vAlign w:val="bottom"/>
          </w:tcPr>
          <w:p>
            <w:pPr>
              <w:spacing w:after="0"/>
              <w:rPr>
                <w:sz w:val="14"/>
                <w:szCs w:val="14"/>
                <w:color w:val="auto"/>
              </w:rPr>
            </w:pPr>
          </w:p>
        </w:tc>
      </w:tr>
      <w:tr>
        <w:trPr>
          <w:trHeight w:val="171"/>
        </w:trPr>
        <w:tc>
          <w:tcPr>
            <w:tcW w:w="7140" w:type="dxa"/>
            <w:vAlign w:val="bottom"/>
          </w:tcPr>
          <w:p>
            <w:pPr>
              <w:ind w:left="700"/>
              <w:spacing w:after="0"/>
              <w:rPr>
                <w:sz w:val="20"/>
                <w:szCs w:val="20"/>
                <w:color w:val="auto"/>
              </w:rPr>
            </w:pPr>
            <w:r>
              <w:rPr>
                <w:rFonts w:ascii="Courier New" w:cs="Courier New" w:eastAsia="Courier New" w:hAnsi="Courier New"/>
                <w:sz w:val="15"/>
                <w:szCs w:val="15"/>
                <w:color w:val="auto"/>
              </w:rPr>
              <w:t>Increase in investment in Amgen-Regeneron Partners</w:t>
            </w:r>
          </w:p>
        </w:tc>
        <w:tc>
          <w:tcPr>
            <w:tcW w:w="222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(1,030)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1"/>
        </w:trPr>
        <w:tc>
          <w:tcPr>
            <w:tcW w:w="7140" w:type="dxa"/>
            <w:vAlign w:val="bottom"/>
          </w:tcPr>
          <w:p>
            <w:pPr>
              <w:ind w:left="700"/>
              <w:spacing w:after="0"/>
              <w:rPr>
                <w:sz w:val="20"/>
                <w:szCs w:val="20"/>
                <w:color w:val="auto"/>
              </w:rPr>
            </w:pPr>
            <w:r>
              <w:rPr>
                <w:rFonts w:ascii="Courier New" w:cs="Courier New" w:eastAsia="Courier New" w:hAnsi="Courier New"/>
                <w:sz w:val="15"/>
                <w:szCs w:val="15"/>
                <w:color w:val="auto"/>
              </w:rPr>
              <w:t>(Increase) decrease in prepaid expenses and other assets</w:t>
            </w:r>
          </w:p>
        </w:tc>
        <w:tc>
          <w:tcPr>
            <w:tcW w:w="222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(741)</w:t>
            </w:r>
          </w:p>
        </w:tc>
        <w:tc>
          <w:tcPr>
            <w:tcW w:w="1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85</w:t>
            </w:r>
          </w:p>
        </w:tc>
      </w:tr>
      <w:tr>
        <w:trPr>
          <w:trHeight w:val="171"/>
        </w:trPr>
        <w:tc>
          <w:tcPr>
            <w:tcW w:w="7140" w:type="dxa"/>
            <w:vAlign w:val="bottom"/>
          </w:tcPr>
          <w:p>
            <w:pPr>
              <w:ind w:left="700"/>
              <w:spacing w:after="0"/>
              <w:rPr>
                <w:sz w:val="20"/>
                <w:szCs w:val="20"/>
                <w:color w:val="auto"/>
              </w:rPr>
            </w:pPr>
            <w:r>
              <w:rPr>
                <w:rFonts w:ascii="Courier New" w:cs="Courier New" w:eastAsia="Courier New" w:hAnsi="Courier New"/>
                <w:sz w:val="15"/>
                <w:szCs w:val="15"/>
                <w:color w:val="auto"/>
              </w:rPr>
              <w:t>Decrease in deferred revenue</w:t>
            </w:r>
          </w:p>
        </w:tc>
        <w:tc>
          <w:tcPr>
            <w:tcW w:w="222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(1,750)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(1,280)</w:t>
            </w:r>
          </w:p>
        </w:tc>
      </w:tr>
      <w:tr>
        <w:trPr>
          <w:trHeight w:val="171"/>
        </w:trPr>
        <w:tc>
          <w:tcPr>
            <w:tcW w:w="7140" w:type="dxa"/>
            <w:vAlign w:val="bottom"/>
          </w:tcPr>
          <w:p>
            <w:pPr>
              <w:ind w:left="700"/>
              <w:spacing w:after="0"/>
              <w:rPr>
                <w:sz w:val="20"/>
                <w:szCs w:val="20"/>
                <w:color w:val="auto"/>
              </w:rPr>
            </w:pPr>
            <w:r>
              <w:rPr>
                <w:rFonts w:ascii="Courier New" w:cs="Courier New" w:eastAsia="Courier New" w:hAnsi="Courier New"/>
                <w:sz w:val="15"/>
                <w:szCs w:val="15"/>
                <w:color w:val="auto"/>
              </w:rPr>
              <w:t>Decrease in accounts payable, accrued expenses,</w:t>
            </w:r>
          </w:p>
        </w:tc>
        <w:tc>
          <w:tcPr>
            <w:tcW w:w="22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7140" w:type="dxa"/>
            <w:vAlign w:val="bottom"/>
          </w:tcPr>
          <w:p>
            <w:pPr>
              <w:ind w:left="880"/>
              <w:spacing w:after="0"/>
              <w:rPr>
                <w:sz w:val="20"/>
                <w:szCs w:val="20"/>
                <w:color w:val="auto"/>
              </w:rPr>
            </w:pPr>
            <w:r>
              <w:rPr>
                <w:rFonts w:ascii="Courier New" w:cs="Courier New" w:eastAsia="Courier New" w:hAnsi="Courier New"/>
                <w:sz w:val="15"/>
                <w:szCs w:val="15"/>
                <w:color w:val="auto"/>
              </w:rPr>
              <w:t>and other liabilities</w:t>
            </w:r>
          </w:p>
        </w:tc>
        <w:tc>
          <w:tcPr>
            <w:tcW w:w="222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(452)</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(240)</w:t>
            </w:r>
          </w:p>
        </w:tc>
      </w:tr>
      <w:tr>
        <w:trPr>
          <w:trHeight w:val="171"/>
        </w:trPr>
        <w:tc>
          <w:tcPr>
            <w:tcW w:w="7140" w:type="dxa"/>
            <w:vAlign w:val="bottom"/>
          </w:tcPr>
          <w:p>
            <w:pPr>
              <w:spacing w:after="0"/>
              <w:rPr>
                <w:sz w:val="14"/>
                <w:szCs w:val="14"/>
                <w:color w:val="auto"/>
              </w:rPr>
            </w:pPr>
          </w:p>
        </w:tc>
        <w:tc>
          <w:tcPr>
            <w:tcW w:w="222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140" w:type="dxa"/>
            <w:vAlign w:val="bottom"/>
          </w:tcPr>
          <w:p>
            <w:pPr>
              <w:ind w:left="1500"/>
              <w:spacing w:after="0"/>
              <w:rPr>
                <w:sz w:val="20"/>
                <w:szCs w:val="20"/>
                <w:color w:val="auto"/>
              </w:rPr>
            </w:pPr>
            <w:r>
              <w:rPr>
                <w:rFonts w:ascii="Courier New" w:cs="Courier New" w:eastAsia="Courier New" w:hAnsi="Courier New"/>
                <w:sz w:val="15"/>
                <w:szCs w:val="15"/>
                <w:color w:val="auto"/>
              </w:rPr>
              <w:t>Total adjustments</w:t>
            </w:r>
          </w:p>
        </w:tc>
        <w:tc>
          <w:tcPr>
            <w:tcW w:w="222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(377)</w:t>
            </w:r>
          </w:p>
        </w:tc>
        <w:tc>
          <w:tcPr>
            <w:tcW w:w="1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2,569</w:t>
            </w:r>
          </w:p>
        </w:tc>
      </w:tr>
      <w:tr>
        <w:trPr>
          <w:trHeight w:val="171"/>
        </w:trPr>
        <w:tc>
          <w:tcPr>
            <w:tcW w:w="7140" w:type="dxa"/>
            <w:vAlign w:val="bottom"/>
          </w:tcPr>
          <w:p>
            <w:pPr>
              <w:spacing w:after="0"/>
              <w:rPr>
                <w:sz w:val="14"/>
                <w:szCs w:val="14"/>
                <w:color w:val="auto"/>
              </w:rPr>
            </w:pPr>
          </w:p>
        </w:tc>
        <w:tc>
          <w:tcPr>
            <w:tcW w:w="222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140" w:type="dxa"/>
            <w:vAlign w:val="bottom"/>
          </w:tcPr>
          <w:p>
            <w:pPr>
              <w:ind w:left="880"/>
              <w:spacing w:after="0"/>
              <w:rPr>
                <w:sz w:val="20"/>
                <w:szCs w:val="20"/>
                <w:color w:val="auto"/>
              </w:rPr>
            </w:pPr>
            <w:r>
              <w:rPr>
                <w:rFonts w:ascii="Courier New" w:cs="Courier New" w:eastAsia="Courier New" w:hAnsi="Courier New"/>
                <w:sz w:val="15"/>
                <w:szCs w:val="15"/>
                <w:color w:val="auto"/>
              </w:rPr>
              <w:t>Net cash used in operating activities</w:t>
            </w:r>
          </w:p>
        </w:tc>
        <w:tc>
          <w:tcPr>
            <w:tcW w:w="222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(4,206)</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(3,360)</w:t>
            </w:r>
          </w:p>
        </w:tc>
      </w:tr>
      <w:tr>
        <w:trPr>
          <w:trHeight w:val="171"/>
        </w:trPr>
        <w:tc>
          <w:tcPr>
            <w:tcW w:w="7140" w:type="dxa"/>
            <w:vAlign w:val="bottom"/>
          </w:tcPr>
          <w:p>
            <w:pPr>
              <w:spacing w:after="0"/>
              <w:rPr>
                <w:sz w:val="14"/>
                <w:szCs w:val="14"/>
                <w:color w:val="auto"/>
              </w:rPr>
            </w:pPr>
          </w:p>
        </w:tc>
        <w:tc>
          <w:tcPr>
            <w:tcW w:w="222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71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1"/>
        </w:trPr>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Purchases of marketable securities</w:t>
            </w:r>
          </w:p>
        </w:tc>
        <w:tc>
          <w:tcPr>
            <w:tcW w:w="222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(26,475)</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(20,562)</w:t>
            </w:r>
          </w:p>
        </w:tc>
      </w:tr>
      <w:tr>
        <w:trPr>
          <w:trHeight w:val="171"/>
        </w:trPr>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Sales of marketable securities</w:t>
            </w:r>
          </w:p>
        </w:tc>
        <w:tc>
          <w:tcPr>
            <w:tcW w:w="222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22,342</w:t>
            </w:r>
          </w:p>
        </w:tc>
        <w:tc>
          <w:tcPr>
            <w:tcW w:w="1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19,593</w:t>
            </w:r>
          </w:p>
        </w:tc>
      </w:tr>
      <w:tr>
        <w:trPr>
          <w:trHeight w:val="171"/>
        </w:trPr>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Capital expenditures</w:t>
            </w:r>
          </w:p>
        </w:tc>
        <w:tc>
          <w:tcPr>
            <w:tcW w:w="222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(874)</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(1,184)</w:t>
            </w:r>
          </w:p>
        </w:tc>
      </w:tr>
      <w:tr>
        <w:trPr>
          <w:trHeight w:val="171"/>
        </w:trPr>
        <w:tc>
          <w:tcPr>
            <w:tcW w:w="7140" w:type="dxa"/>
            <w:vAlign w:val="bottom"/>
          </w:tcPr>
          <w:p>
            <w:pPr>
              <w:spacing w:after="0"/>
              <w:rPr>
                <w:sz w:val="14"/>
                <w:szCs w:val="14"/>
                <w:color w:val="auto"/>
              </w:rPr>
            </w:pPr>
          </w:p>
        </w:tc>
        <w:tc>
          <w:tcPr>
            <w:tcW w:w="222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140" w:type="dxa"/>
            <w:vAlign w:val="bottom"/>
          </w:tcPr>
          <w:p>
            <w:pPr>
              <w:ind w:left="880"/>
              <w:spacing w:after="0"/>
              <w:rPr>
                <w:sz w:val="20"/>
                <w:szCs w:val="20"/>
                <w:color w:val="auto"/>
              </w:rPr>
            </w:pPr>
            <w:r>
              <w:rPr>
                <w:rFonts w:ascii="Courier New" w:cs="Courier New" w:eastAsia="Courier New" w:hAnsi="Courier New"/>
                <w:sz w:val="15"/>
                <w:szCs w:val="15"/>
                <w:color w:val="auto"/>
              </w:rPr>
              <w:t>Net cash used in investing activities</w:t>
            </w:r>
          </w:p>
        </w:tc>
        <w:tc>
          <w:tcPr>
            <w:tcW w:w="222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(5,007)</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(2,153)</w:t>
            </w:r>
          </w:p>
        </w:tc>
      </w:tr>
      <w:tr>
        <w:trPr>
          <w:trHeight w:val="171"/>
        </w:trPr>
        <w:tc>
          <w:tcPr>
            <w:tcW w:w="7140" w:type="dxa"/>
            <w:vAlign w:val="bottom"/>
          </w:tcPr>
          <w:p>
            <w:pPr>
              <w:spacing w:after="0"/>
              <w:rPr>
                <w:sz w:val="14"/>
                <w:szCs w:val="14"/>
                <w:color w:val="auto"/>
              </w:rPr>
            </w:pPr>
          </w:p>
        </w:tc>
        <w:tc>
          <w:tcPr>
            <w:tcW w:w="222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71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1"/>
        </w:trPr>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Net proceeds from the issuance of stock</w:t>
            </w:r>
          </w:p>
        </w:tc>
        <w:tc>
          <w:tcPr>
            <w:tcW w:w="222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317</w:t>
            </w:r>
          </w:p>
        </w:tc>
        <w:tc>
          <w:tcPr>
            <w:tcW w:w="1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107</w:t>
            </w:r>
          </w:p>
        </w:tc>
      </w:tr>
      <w:tr>
        <w:trPr>
          <w:trHeight w:val="171"/>
        </w:trPr>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Principal payments on note payable</w:t>
            </w:r>
          </w:p>
        </w:tc>
        <w:tc>
          <w:tcPr>
            <w:tcW w:w="222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(17)</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1"/>
        </w:trPr>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Capital lease payments</w:t>
            </w:r>
          </w:p>
        </w:tc>
        <w:tc>
          <w:tcPr>
            <w:tcW w:w="222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(750)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(1,136)</w:t>
            </w:r>
          </w:p>
        </w:tc>
      </w:tr>
      <w:tr>
        <w:trPr>
          <w:trHeight w:val="171"/>
        </w:trPr>
        <w:tc>
          <w:tcPr>
            <w:tcW w:w="7140" w:type="dxa"/>
            <w:vAlign w:val="bottom"/>
          </w:tcPr>
          <w:p>
            <w:pPr>
              <w:spacing w:after="0"/>
              <w:rPr>
                <w:sz w:val="14"/>
                <w:szCs w:val="14"/>
                <w:color w:val="auto"/>
              </w:rPr>
            </w:pPr>
          </w:p>
        </w:tc>
        <w:tc>
          <w:tcPr>
            <w:tcW w:w="222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140" w:type="dxa"/>
            <w:vAlign w:val="bottom"/>
          </w:tcPr>
          <w:p>
            <w:pPr>
              <w:ind w:left="880"/>
              <w:spacing w:after="0"/>
              <w:rPr>
                <w:sz w:val="20"/>
                <w:szCs w:val="20"/>
                <w:color w:val="auto"/>
              </w:rPr>
            </w:pPr>
            <w:r>
              <w:rPr>
                <w:rFonts w:ascii="Courier New" w:cs="Courier New" w:eastAsia="Courier New" w:hAnsi="Courier New"/>
                <w:sz w:val="15"/>
                <w:szCs w:val="15"/>
                <w:color w:val="auto"/>
              </w:rPr>
              <w:t>Net cash used in financing activities</w:t>
            </w:r>
          </w:p>
        </w:tc>
        <w:tc>
          <w:tcPr>
            <w:tcW w:w="222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(450)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(1,048)</w:t>
            </w:r>
          </w:p>
        </w:tc>
      </w:tr>
      <w:tr>
        <w:trPr>
          <w:trHeight w:val="171"/>
        </w:trPr>
        <w:tc>
          <w:tcPr>
            <w:tcW w:w="7140" w:type="dxa"/>
            <w:vAlign w:val="bottom"/>
          </w:tcPr>
          <w:p>
            <w:pPr>
              <w:spacing w:after="0"/>
              <w:rPr>
                <w:sz w:val="14"/>
                <w:szCs w:val="14"/>
                <w:color w:val="auto"/>
              </w:rPr>
            </w:pPr>
          </w:p>
        </w:tc>
        <w:tc>
          <w:tcPr>
            <w:tcW w:w="222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7140" w:type="dxa"/>
            <w:vAlign w:val="bottom"/>
          </w:tcPr>
          <w:p>
            <w:pPr>
              <w:ind w:left="880"/>
              <w:spacing w:after="0"/>
              <w:rPr>
                <w:sz w:val="20"/>
                <w:szCs w:val="20"/>
                <w:color w:val="auto"/>
              </w:rPr>
            </w:pPr>
            <w:r>
              <w:rPr>
                <w:rFonts w:ascii="Courier New" w:cs="Courier New" w:eastAsia="Courier New" w:hAnsi="Courier New"/>
                <w:sz w:val="15"/>
                <w:szCs w:val="15"/>
                <w:color w:val="auto"/>
              </w:rPr>
              <w:t>Net decrease in cash and cash equivalents</w:t>
            </w:r>
          </w:p>
        </w:tc>
        <w:tc>
          <w:tcPr>
            <w:tcW w:w="222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(9,663)</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(6,561)</w:t>
            </w:r>
          </w:p>
        </w:tc>
      </w:tr>
      <w:tr>
        <w:trPr>
          <w:trHeight w:val="171"/>
        </w:trPr>
        <w:tc>
          <w:tcPr>
            <w:tcW w:w="7140" w:type="dxa"/>
            <w:vAlign w:val="bottom"/>
          </w:tcPr>
          <w:p>
            <w:pPr>
              <w:spacing w:after="0"/>
              <w:rPr>
                <w:sz w:val="14"/>
                <w:szCs w:val="14"/>
                <w:color w:val="auto"/>
              </w:rPr>
            </w:pPr>
          </w:p>
        </w:tc>
        <w:tc>
          <w:tcPr>
            <w:tcW w:w="222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714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222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28,921</w:t>
            </w:r>
          </w:p>
        </w:tc>
        <w:tc>
          <w:tcPr>
            <w:tcW w:w="1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34,475</w:t>
            </w:r>
          </w:p>
        </w:tc>
      </w:tr>
      <w:tr>
        <w:trPr>
          <w:trHeight w:val="171"/>
        </w:trPr>
        <w:tc>
          <w:tcPr>
            <w:tcW w:w="7140" w:type="dxa"/>
            <w:vAlign w:val="bottom"/>
          </w:tcPr>
          <w:p>
            <w:pPr>
              <w:spacing w:after="0"/>
              <w:rPr>
                <w:sz w:val="14"/>
                <w:szCs w:val="14"/>
                <w:color w:val="auto"/>
              </w:rPr>
            </w:pPr>
          </w:p>
        </w:tc>
        <w:tc>
          <w:tcPr>
            <w:tcW w:w="222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7140" w:type="dxa"/>
            <w:vAlign w:val="bottom"/>
          </w:tcPr>
          <w:p>
            <w:pPr>
              <w:ind w:left="880"/>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222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$19,258</w:t>
            </w:r>
          </w:p>
        </w:tc>
        <w:tc>
          <w:tcPr>
            <w:tcW w:w="1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$27,914</w:t>
            </w:r>
          </w:p>
        </w:tc>
      </w:tr>
      <w:tr>
        <w:trPr>
          <w:trHeight w:val="171"/>
        </w:trPr>
        <w:tc>
          <w:tcPr>
            <w:tcW w:w="7140" w:type="dxa"/>
            <w:vAlign w:val="bottom"/>
          </w:tcPr>
          <w:p>
            <w:pPr>
              <w:spacing w:after="0"/>
              <w:rPr>
                <w:sz w:val="14"/>
                <w:szCs w:val="14"/>
                <w:color w:val="auto"/>
              </w:rPr>
            </w:pPr>
          </w:p>
        </w:tc>
        <w:tc>
          <w:tcPr>
            <w:tcW w:w="222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90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820"/>
          </w:cols>
          <w:pgMar w:left="240" w:top="628" w:right="839" w:bottom="1440" w:gutter="0" w:footer="0" w:header="0"/>
        </w:sectPr>
      </w:pPr>
    </w:p>
    <w:bookmarkStart w:id="6" w:name="page7"/>
    <w:bookmarkEnd w:id="6"/>
    <w:p>
      <w:pPr>
        <w:ind w:left="9"/>
        <w:spacing w:after="0"/>
        <w:rPr>
          <w:sz w:val="20"/>
          <w:szCs w:val="20"/>
          <w:color w:val="auto"/>
        </w:rPr>
      </w:pPr>
      <w:r>
        <w:rPr>
          <w:rFonts w:ascii="Courier New" w:cs="Courier New" w:eastAsia="Courier New" w:hAnsi="Courier New"/>
          <w:sz w:val="15"/>
          <w:szCs w:val="15"/>
          <w:color w:val="auto"/>
        </w:rPr>
        <w:t>REGENERON PHARMACEUTICALS, INC.</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Notes to Condensed Financial Statements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42" w:lineRule="exact"/>
        <w:rPr>
          <w:sz w:val="20"/>
          <w:szCs w:val="20"/>
          <w:color w:val="auto"/>
        </w:rPr>
      </w:pPr>
    </w:p>
    <w:p>
      <w:pPr>
        <w:ind w:left="789" w:hanging="789"/>
        <w:spacing w:after="0"/>
        <w:tabs>
          <w:tab w:leader="none" w:pos="78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Interim Financial Statements</w:t>
      </w:r>
    </w:p>
    <w:p>
      <w:pPr>
        <w:spacing w:after="0" w:line="174" w:lineRule="exact"/>
        <w:rPr>
          <w:rFonts w:ascii="Courier New" w:cs="Courier New" w:eastAsia="Courier New" w:hAnsi="Courier New"/>
          <w:sz w:val="15"/>
          <w:szCs w:val="15"/>
          <w:color w:val="auto"/>
        </w:rPr>
      </w:pPr>
    </w:p>
    <w:p>
      <w:pPr>
        <w:ind w:left="78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interim Condensed Financial Statements of Regeneron Pharmaceuticals, Inc.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generally accepted accounting principles. In the opinion of management, these financial statements reflect all adjustments, consisting only of normal recurring accruals, necessary for a fair presentation of the Company's financial position, results of operation, and cash flows for such periods. The results of operations for any interim periods are not necessarily indicative of the results for the full year. These financial statements should be read in conjunction with the financial statements and notes thereto contained in the Company's Annual Report on Form 10-K for the year ended December 31, 1997.</w:t>
      </w:r>
    </w:p>
    <w:p>
      <w:pPr>
        <w:spacing w:after="0" w:line="349" w:lineRule="exact"/>
        <w:rPr>
          <w:rFonts w:ascii="Courier New" w:cs="Courier New" w:eastAsia="Courier New" w:hAnsi="Courier New"/>
          <w:sz w:val="15"/>
          <w:szCs w:val="15"/>
          <w:color w:val="auto"/>
        </w:rPr>
      </w:pPr>
    </w:p>
    <w:p>
      <w:pPr>
        <w:ind w:left="789" w:hanging="789"/>
        <w:spacing w:after="0"/>
        <w:tabs>
          <w:tab w:leader="none" w:pos="78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Cash Flows</w:t>
      </w:r>
    </w:p>
    <w:p>
      <w:pPr>
        <w:spacing w:after="0" w:line="174" w:lineRule="exact"/>
        <w:rPr>
          <w:rFonts w:ascii="Courier New" w:cs="Courier New" w:eastAsia="Courier New" w:hAnsi="Courier New"/>
          <w:sz w:val="15"/>
          <w:szCs w:val="15"/>
          <w:color w:val="auto"/>
        </w:rPr>
      </w:pPr>
    </w:p>
    <w:p>
      <w:pPr>
        <w:ind w:left="789" w:right="42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Supplemental disclosure of noncash investing and financing activities:</w:t>
      </w:r>
    </w:p>
    <w:p>
      <w:pPr>
        <w:spacing w:after="0" w:line="174" w:lineRule="exact"/>
        <w:rPr>
          <w:rFonts w:ascii="Courier New" w:cs="Courier New" w:eastAsia="Courier New" w:hAnsi="Courier New"/>
          <w:sz w:val="15"/>
          <w:szCs w:val="15"/>
          <w:color w:val="auto"/>
        </w:rPr>
      </w:pPr>
    </w:p>
    <w:p>
      <w:pPr>
        <w:ind w:left="789" w:right="375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Capital lease obligations of $250 were incurred during the first three months of 1997, when the Company leased new equipment. No such obligations were incurred for the three months ended March 31, 1998.</w:t>
      </w:r>
    </w:p>
    <w:p>
      <w:pPr>
        <w:spacing w:after="0" w:line="176" w:lineRule="exact"/>
        <w:rPr>
          <w:rFonts w:ascii="Courier New" w:cs="Courier New" w:eastAsia="Courier New" w:hAnsi="Courier New"/>
          <w:sz w:val="15"/>
          <w:szCs w:val="15"/>
          <w:color w:val="auto"/>
        </w:rPr>
      </w:pPr>
    </w:p>
    <w:p>
      <w:pPr>
        <w:ind w:left="789" w:right="375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accounts payable and accrued expenses at March 31, 1998 and December 31, 1997 were approximately $117 and $635 of capital expenditures, respectively. Included in accounts payable and accrued expenses at March 31, 1997 and December 31, 1996 were approximately $104 and $800, respectively, of accrued capital expenditures.</w:t>
      </w:r>
    </w:p>
    <w:p>
      <w:pPr>
        <w:spacing w:after="0" w:line="343" w:lineRule="exact"/>
        <w:rPr>
          <w:rFonts w:ascii="Courier New" w:cs="Courier New" w:eastAsia="Courier New" w:hAnsi="Courier New"/>
          <w:sz w:val="15"/>
          <w:szCs w:val="15"/>
          <w:color w:val="auto"/>
        </w:rPr>
      </w:pPr>
    </w:p>
    <w:p>
      <w:pPr>
        <w:ind w:left="789" w:hanging="789"/>
        <w:spacing w:after="0"/>
        <w:tabs>
          <w:tab w:leader="none" w:pos="78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Payable and Accrued Expenses</w:t>
      </w:r>
    </w:p>
    <w:p>
      <w:pPr>
        <w:spacing w:after="0" w:line="174" w:lineRule="exact"/>
        <w:rPr>
          <w:rFonts w:ascii="Courier New" w:cs="Courier New" w:eastAsia="Courier New" w:hAnsi="Courier New"/>
          <w:sz w:val="15"/>
          <w:szCs w:val="15"/>
          <w:color w:val="auto"/>
        </w:rPr>
      </w:pPr>
    </w:p>
    <w:p>
      <w:pPr>
        <w:ind w:left="789" w:right="391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payable and accrued expenses as of March 31, 1998 and December 31, 1997 consist of the following:</w:t>
      </w:r>
    </w:p>
    <w:p>
      <w:pPr>
        <w:spacing w:after="0" w:line="17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140" w:type="dxa"/>
            <w:vAlign w:val="bottom"/>
          </w:tcPr>
          <w:p>
            <w:pPr>
              <w:spacing w:after="0"/>
              <w:rPr>
                <w:sz w:val="14"/>
                <w:szCs w:val="14"/>
                <w:color w:val="auto"/>
              </w:rPr>
            </w:pP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March 31,</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3140" w:type="dxa"/>
            <w:vAlign w:val="bottom"/>
          </w:tcPr>
          <w:p>
            <w:pPr>
              <w:spacing w:after="0"/>
              <w:rPr>
                <w:sz w:val="14"/>
                <w:szCs w:val="14"/>
                <w:color w:val="auto"/>
              </w:rPr>
            </w:pP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1998</w:t>
            </w:r>
          </w:p>
        </w:tc>
        <w:tc>
          <w:tcPr>
            <w:tcW w:w="12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3140" w:type="dxa"/>
            <w:vAlign w:val="bottom"/>
          </w:tcPr>
          <w:p>
            <w:pPr>
              <w:spacing w:after="0"/>
              <w:rPr>
                <w:sz w:val="14"/>
                <w:szCs w:val="14"/>
                <w:color w:val="auto"/>
              </w:rPr>
            </w:pP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14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$1,763</w:t>
            </w:r>
          </w:p>
        </w:tc>
        <w:tc>
          <w:tcPr>
            <w:tcW w:w="12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$2,947</w:t>
            </w:r>
          </w:p>
        </w:tc>
      </w:tr>
      <w:tr>
        <w:trPr>
          <w:trHeight w:val="341"/>
        </w:trPr>
        <w:tc>
          <w:tcPr>
            <w:tcW w:w="3140" w:type="dxa"/>
            <w:vAlign w:val="bottom"/>
          </w:tcPr>
          <w:p>
            <w:pPr>
              <w:spacing w:after="0"/>
              <w:rPr>
                <w:sz w:val="20"/>
                <w:szCs w:val="20"/>
                <w:color w:val="auto"/>
              </w:rPr>
            </w:pPr>
            <w:r>
              <w:rPr>
                <w:rFonts w:ascii="Courier New" w:cs="Courier New" w:eastAsia="Courier New" w:hAnsi="Courier New"/>
                <w:sz w:val="15"/>
                <w:szCs w:val="15"/>
                <w:color w:val="auto"/>
              </w:rPr>
              <w:t>Accrued payroll and related costs</w:t>
            </w: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973</w:t>
            </w:r>
          </w:p>
        </w:tc>
        <w:tc>
          <w:tcPr>
            <w:tcW w:w="12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654</w:t>
            </w:r>
          </w:p>
        </w:tc>
      </w:tr>
      <w:tr>
        <w:trPr>
          <w:trHeight w:val="171"/>
        </w:trPr>
        <w:tc>
          <w:tcPr>
            <w:tcW w:w="3140" w:type="dxa"/>
            <w:vAlign w:val="bottom"/>
          </w:tcPr>
          <w:p>
            <w:pPr>
              <w:spacing w:after="0"/>
              <w:rPr>
                <w:sz w:val="20"/>
                <w:szCs w:val="20"/>
                <w:color w:val="auto"/>
              </w:rPr>
            </w:pPr>
            <w:r>
              <w:rPr>
                <w:rFonts w:ascii="Courier New" w:cs="Courier New" w:eastAsia="Courier New" w:hAnsi="Courier New"/>
                <w:sz w:val="15"/>
                <w:szCs w:val="15"/>
                <w:color w:val="auto"/>
              </w:rPr>
              <w:t>Accrued clinical trial expense</w:t>
            </w: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320</w:t>
            </w:r>
          </w:p>
        </w:tc>
        <w:tc>
          <w:tcPr>
            <w:tcW w:w="12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320</w:t>
            </w:r>
          </w:p>
        </w:tc>
      </w:tr>
      <w:tr>
        <w:trPr>
          <w:trHeight w:val="171"/>
        </w:trPr>
        <w:tc>
          <w:tcPr>
            <w:tcW w:w="3140" w:type="dxa"/>
            <w:vAlign w:val="bottom"/>
          </w:tcPr>
          <w:p>
            <w:pPr>
              <w:spacing w:after="0"/>
              <w:rPr>
                <w:sz w:val="20"/>
                <w:szCs w:val="20"/>
                <w:color w:val="auto"/>
              </w:rPr>
            </w:pPr>
            <w:r>
              <w:rPr>
                <w:rFonts w:ascii="Courier New" w:cs="Courier New" w:eastAsia="Courier New" w:hAnsi="Courier New"/>
                <w:sz w:val="15"/>
                <w:szCs w:val="15"/>
                <w:color w:val="auto"/>
              </w:rPr>
              <w:t>Accrued expenses, other</w:t>
            </w: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350</w:t>
            </w:r>
          </w:p>
        </w:tc>
        <w:tc>
          <w:tcPr>
            <w:tcW w:w="12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392</w:t>
            </w:r>
          </w:p>
        </w:tc>
      </w:tr>
      <w:tr>
        <w:trPr>
          <w:trHeight w:val="171"/>
        </w:trPr>
        <w:tc>
          <w:tcPr>
            <w:tcW w:w="3140" w:type="dxa"/>
            <w:vAlign w:val="bottom"/>
          </w:tcPr>
          <w:p>
            <w:pPr>
              <w:spacing w:after="0"/>
              <w:rPr>
                <w:sz w:val="20"/>
                <w:szCs w:val="20"/>
                <w:color w:val="auto"/>
              </w:rPr>
            </w:pPr>
            <w:r>
              <w:rPr>
                <w:rFonts w:ascii="Courier New" w:cs="Courier New" w:eastAsia="Courier New" w:hAnsi="Courier New"/>
                <w:sz w:val="15"/>
                <w:szCs w:val="15"/>
                <w:color w:val="auto"/>
              </w:rPr>
              <w:t>Deferred compensation</w:t>
            </w: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277</w:t>
            </w:r>
          </w:p>
        </w:tc>
        <w:tc>
          <w:tcPr>
            <w:tcW w:w="12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350</w:t>
            </w:r>
          </w:p>
        </w:tc>
      </w:tr>
      <w:tr>
        <w:trPr>
          <w:trHeight w:val="171"/>
        </w:trPr>
        <w:tc>
          <w:tcPr>
            <w:tcW w:w="3140" w:type="dxa"/>
            <w:vAlign w:val="bottom"/>
          </w:tcPr>
          <w:p>
            <w:pPr>
              <w:spacing w:after="0"/>
              <w:rPr>
                <w:sz w:val="14"/>
                <w:szCs w:val="14"/>
                <w:color w:val="auto"/>
              </w:rPr>
            </w:pP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r>
      <w:tr>
        <w:trPr>
          <w:trHeight w:val="171"/>
        </w:trPr>
        <w:tc>
          <w:tcPr>
            <w:tcW w:w="3140" w:type="dxa"/>
            <w:vAlign w:val="bottom"/>
          </w:tcPr>
          <w:p>
            <w:pPr>
              <w:spacing w:after="0"/>
              <w:rPr>
                <w:sz w:val="14"/>
                <w:szCs w:val="14"/>
                <w:color w:val="auto"/>
              </w:rPr>
            </w:pP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$3,683</w:t>
            </w:r>
          </w:p>
        </w:tc>
        <w:tc>
          <w:tcPr>
            <w:tcW w:w="12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$4,663</w:t>
            </w:r>
          </w:p>
        </w:tc>
      </w:tr>
      <w:tr>
        <w:trPr>
          <w:trHeight w:val="171"/>
        </w:trPr>
        <w:tc>
          <w:tcPr>
            <w:tcW w:w="3140" w:type="dxa"/>
            <w:vAlign w:val="bottom"/>
          </w:tcPr>
          <w:p>
            <w:pPr>
              <w:spacing w:after="0"/>
              <w:rPr>
                <w:sz w:val="14"/>
                <w:szCs w:val="14"/>
                <w:color w:val="auto"/>
              </w:rPr>
            </w:pP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r>
      <w:tr>
        <w:trPr>
          <w:trHeight w:val="341"/>
        </w:trPr>
        <w:tc>
          <w:tcPr>
            <w:tcW w:w="3140" w:type="dxa"/>
            <w:vAlign w:val="bottom"/>
          </w:tcPr>
          <w:p>
            <w:pPr>
              <w:spacing w:after="0"/>
              <w:rPr>
                <w:sz w:val="24"/>
                <w:szCs w:val="24"/>
                <w:color w:val="auto"/>
              </w:rPr>
            </w:pPr>
          </w:p>
        </w:tc>
        <w:tc>
          <w:tcPr>
            <w:tcW w:w="1340" w:type="dxa"/>
            <w:vAlign w:val="bottom"/>
          </w:tcPr>
          <w:p>
            <w:pPr>
              <w:jc w:val="right"/>
              <w:ind w:right="946"/>
              <w:spacing w:after="0"/>
              <w:rPr>
                <w:sz w:val="20"/>
                <w:szCs w:val="20"/>
                <w:color w:val="auto"/>
              </w:rPr>
            </w:pPr>
            <w:r>
              <w:rPr>
                <w:rFonts w:ascii="Courier New" w:cs="Courier New" w:eastAsia="Courier New" w:hAnsi="Courier New"/>
                <w:sz w:val="15"/>
                <w:szCs w:val="15"/>
                <w:color w:val="auto"/>
              </w:rPr>
              <w:t>7</w:t>
            </w:r>
          </w:p>
        </w:tc>
        <w:tc>
          <w:tcPr>
            <w:tcW w:w="1200" w:type="dxa"/>
            <w:vAlign w:val="bottom"/>
          </w:tcPr>
          <w:p>
            <w:pPr>
              <w:spacing w:after="0"/>
              <w:rPr>
                <w:sz w:val="24"/>
                <w:szCs w:val="24"/>
                <w:color w:val="auto"/>
              </w:rPr>
            </w:pPr>
          </w:p>
        </w:tc>
      </w:tr>
    </w:tbl>
    <w:p>
      <w:pPr>
        <w:sectPr>
          <w:pgSz w:w="11900" w:h="16838" w:orient="portrait"/>
          <w:cols w:equalWidth="0" w:num="1">
            <w:col w:w="10228"/>
          </w:cols>
          <w:pgMar w:left="231" w:top="628" w:right="1440" w:bottom="1440" w:gutter="0" w:footer="0" w:header="0"/>
        </w:sectPr>
      </w:pPr>
    </w:p>
    <w:bookmarkStart w:id="7" w:name="page8"/>
    <w:bookmarkEnd w:id="7"/>
    <w:p>
      <w:pPr>
        <w:ind w:left="9"/>
        <w:spacing w:after="0"/>
        <w:rPr>
          <w:sz w:val="20"/>
          <w:szCs w:val="20"/>
          <w:color w:val="auto"/>
        </w:rPr>
      </w:pPr>
      <w:r>
        <w:rPr>
          <w:rFonts w:ascii="Courier New" w:cs="Courier New" w:eastAsia="Courier New" w:hAnsi="Courier New"/>
          <w:sz w:val="15"/>
          <w:szCs w:val="15"/>
          <w:color w:val="auto"/>
        </w:rPr>
        <w:t>REGENERON PHARMACEUTICALS, INC.</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Notes to Condensed Financial Statements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42" w:lineRule="exact"/>
        <w:rPr>
          <w:sz w:val="20"/>
          <w:szCs w:val="20"/>
          <w:color w:val="auto"/>
        </w:rPr>
      </w:pPr>
    </w:p>
    <w:p>
      <w:pPr>
        <w:ind w:left="789" w:hanging="789"/>
        <w:spacing w:after="0"/>
        <w:tabs>
          <w:tab w:leader="none" w:pos="78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Loss per Share</w:t>
      </w:r>
    </w:p>
    <w:p>
      <w:pPr>
        <w:spacing w:after="0" w:line="174" w:lineRule="exact"/>
        <w:rPr>
          <w:rFonts w:ascii="Courier New" w:cs="Courier New" w:eastAsia="Courier New" w:hAnsi="Courier New"/>
          <w:sz w:val="15"/>
          <w:szCs w:val="15"/>
          <w:color w:val="auto"/>
        </w:rPr>
      </w:pPr>
    </w:p>
    <w:p>
      <w:pPr>
        <w:ind w:left="789" w:right="375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basic net loss per share amounts have been computed by dividing net loss by the weighted average number of Common and Class A shares outstanding. For the three months ended March 31, 1998 and 1997, the Company reported net losses and, therefore, no common stock equivalents were included in the computation of diluted net loss per share since such inclusion would have been antidilutive. The calculations of basic and diluted net loss per share are as follows:</w:t>
      </w:r>
    </w:p>
    <w:p>
      <w:pPr>
        <w:sectPr>
          <w:pgSz w:w="11900" w:h="16838" w:orient="portrait"/>
          <w:cols w:equalWidth="0" w:num="1">
            <w:col w:w="10228"/>
          </w:cols>
          <w:pgMar w:left="231" w:top="799" w:right="1440" w:bottom="1440" w:gutter="0" w:footer="0" w:header="0"/>
        </w:sectPr>
      </w:pPr>
    </w:p>
    <w:p>
      <w:pPr>
        <w:spacing w:after="0" w:line="174" w:lineRule="exact"/>
        <w:rPr>
          <w:sz w:val="20"/>
          <w:szCs w:val="20"/>
          <w:color w:val="auto"/>
        </w:rPr>
      </w:pPr>
    </w:p>
    <w:p>
      <w:pPr>
        <w:ind w:left="1869"/>
        <w:spacing w:after="0"/>
        <w:rPr>
          <w:sz w:val="20"/>
          <w:szCs w:val="20"/>
          <w:color w:val="auto"/>
        </w:rPr>
      </w:pPr>
      <w:r>
        <w:rPr>
          <w:rFonts w:ascii="Courier New" w:cs="Courier New" w:eastAsia="Courier New" w:hAnsi="Courier New"/>
          <w:sz w:val="15"/>
          <w:szCs w:val="15"/>
          <w:color w:val="auto"/>
        </w:rPr>
        <w:t>Net Loss</w:t>
      </w:r>
    </w:p>
    <w:p>
      <w:pPr>
        <w:spacing w:after="0" w:line="3" w:lineRule="exact"/>
        <w:rPr>
          <w:sz w:val="20"/>
          <w:szCs w:val="20"/>
          <w:color w:val="auto"/>
        </w:rPr>
      </w:pPr>
    </w:p>
    <w:p>
      <w:pPr>
        <w:ind w:left="1769"/>
        <w:spacing w:after="0"/>
        <w:rPr>
          <w:sz w:val="20"/>
          <w:szCs w:val="20"/>
          <w:color w:val="auto"/>
        </w:rPr>
      </w:pPr>
      <w:r>
        <w:rPr>
          <w:rFonts w:ascii="Courier New" w:cs="Courier New" w:eastAsia="Courier New" w:hAnsi="Courier New"/>
          <w:sz w:val="14"/>
          <w:szCs w:val="14"/>
          <w:color w:val="auto"/>
        </w:rPr>
        <w:t>(Numerator)</w:t>
      </w:r>
    </w:p>
    <w:p>
      <w:pPr>
        <w:spacing w:after="0" w:line="12" w:lineRule="exact"/>
        <w:rPr>
          <w:sz w:val="20"/>
          <w:szCs w:val="20"/>
          <w:color w:val="auto"/>
        </w:rPr>
      </w:pPr>
    </w:p>
    <w:p>
      <w:pPr>
        <w:ind w:left="1769"/>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Shares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(Denominator)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 Share</w:t>
      </w:r>
    </w:p>
    <w:p>
      <w:pPr>
        <w:spacing w:after="0" w:line="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Amount</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ectPr>
          <w:pgSz w:w="11900" w:h="16838" w:orient="portrait"/>
          <w:cols w:equalWidth="0" w:num="3">
            <w:col w:w="2749" w:space="440"/>
            <w:col w:w="1160" w:space="180"/>
            <w:col w:w="5699"/>
          </w:cols>
          <w:pgMar w:left="231" w:top="799" w:right="1440" w:bottom="1440" w:gutter="0" w:footer="0" w:header="0"/>
          <w:type w:val="continuous"/>
        </w:sectPr>
      </w:pPr>
    </w:p>
    <w:p>
      <w:pPr>
        <w:ind w:left="9"/>
        <w:spacing w:after="0"/>
        <w:rPr>
          <w:sz w:val="20"/>
          <w:szCs w:val="20"/>
          <w:color w:val="auto"/>
        </w:rPr>
      </w:pPr>
      <w:r>
        <w:rPr>
          <w:rFonts w:ascii="Courier New" w:cs="Courier New" w:eastAsia="Courier New" w:hAnsi="Courier New"/>
          <w:sz w:val="14"/>
          <w:szCs w:val="14"/>
          <w:color w:val="auto"/>
        </w:rPr>
        <w:t>1998:</w:t>
      </w:r>
    </w:p>
    <w:p>
      <w:pPr>
        <w:sectPr>
          <w:pgSz w:w="11900" w:h="16838" w:orient="portrait"/>
          <w:cols w:equalWidth="0" w:num="1">
            <w:col w:w="10228"/>
          </w:cols>
          <w:pgMar w:left="231" w:top="799" w:right="1440" w:bottom="1440" w:gutter="0" w:footer="0" w:header="0"/>
          <w:type w:val="continuous"/>
        </w:sectPr>
      </w:pPr>
    </w:p>
    <w:p>
      <w:pPr>
        <w:spacing w:after="0" w:line="12" w:lineRule="exact"/>
        <w:rPr>
          <w:sz w:val="20"/>
          <w:szCs w:val="20"/>
          <w:color w:val="auto"/>
        </w:rPr>
      </w:pPr>
    </w:p>
    <w:p>
      <w:pPr>
        <w:ind w:left="529"/>
        <w:spacing w:after="0"/>
        <w:rPr>
          <w:sz w:val="20"/>
          <w:szCs w:val="20"/>
          <w:color w:val="auto"/>
        </w:rPr>
      </w:pPr>
      <w:r>
        <w:rPr>
          <w:rFonts w:ascii="Courier New" w:cs="Courier New" w:eastAsia="Courier New" w:hAnsi="Courier New"/>
          <w:sz w:val="14"/>
          <w:szCs w:val="14"/>
          <w:color w:val="auto"/>
        </w:rPr>
        <w:t>Basic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($3,829)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30,932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0.12)</w:t>
      </w:r>
    </w:p>
    <w:p>
      <w:pPr>
        <w:spacing w:after="0" w:line="11" w:lineRule="exact"/>
        <w:rPr>
          <w:sz w:val="20"/>
          <w:szCs w:val="20"/>
          <w:color w:val="auto"/>
        </w:rPr>
      </w:pPr>
    </w:p>
    <w:p>
      <w:pPr>
        <w:sectPr>
          <w:pgSz w:w="11900" w:h="16838" w:orient="portrait"/>
          <w:cols w:equalWidth="0" w:num="5">
            <w:col w:w="1329" w:space="620"/>
            <w:col w:w="720" w:space="700"/>
            <w:col w:w="540" w:space="620"/>
            <w:col w:w="180" w:space="180"/>
            <w:col w:w="5339"/>
          </w:cols>
          <w:pgMar w:left="231" w:top="799" w:right="1440" w:bottom="1440" w:gutter="0" w:footer="0" w:header="0"/>
          <w:type w:val="continuous"/>
        </w:sectPr>
      </w:pPr>
    </w:p>
    <w:p>
      <w:pPr>
        <w:ind w:left="529"/>
        <w:spacing w:after="0"/>
        <w:rPr>
          <w:sz w:val="20"/>
          <w:szCs w:val="20"/>
          <w:color w:val="auto"/>
        </w:rPr>
      </w:pPr>
      <w:r>
        <w:rPr>
          <w:rFonts w:ascii="Courier New" w:cs="Courier New" w:eastAsia="Courier New" w:hAnsi="Courier New"/>
          <w:sz w:val="14"/>
          <w:szCs w:val="14"/>
          <w:color w:val="auto"/>
        </w:rPr>
        <w:t>Diluted</w:t>
      </w:r>
    </w:p>
    <w:p>
      <w:pPr>
        <w:spacing w:after="0" w:line="180"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1997:</w:t>
      </w:r>
    </w:p>
    <w:p>
      <w:pPr>
        <w:sectPr>
          <w:pgSz w:w="11900" w:h="16838" w:orient="portrait"/>
          <w:cols w:equalWidth="0" w:num="1">
            <w:col w:w="10228"/>
          </w:cols>
          <w:pgMar w:left="231" w:top="799" w:right="1440" w:bottom="1440" w:gutter="0" w:footer="0" w:header="0"/>
          <w:type w:val="continuous"/>
        </w:sectPr>
      </w:pPr>
    </w:p>
    <w:p>
      <w:pPr>
        <w:spacing w:after="0" w:line="3" w:lineRule="exact"/>
        <w:rPr>
          <w:sz w:val="20"/>
          <w:szCs w:val="20"/>
          <w:color w:val="auto"/>
        </w:rPr>
      </w:pPr>
    </w:p>
    <w:p>
      <w:pPr>
        <w:ind w:left="529"/>
        <w:spacing w:after="0"/>
        <w:rPr>
          <w:sz w:val="20"/>
          <w:szCs w:val="20"/>
          <w:color w:val="auto"/>
        </w:rPr>
      </w:pPr>
      <w:r>
        <w:rPr>
          <w:rFonts w:ascii="Courier New" w:cs="Courier New" w:eastAsia="Courier New" w:hAnsi="Courier New"/>
          <w:sz w:val="14"/>
          <w:szCs w:val="14"/>
          <w:color w:val="auto"/>
        </w:rPr>
        <w:t>Basic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($5,929)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25,799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0.23)</w:t>
      </w:r>
    </w:p>
    <w:p>
      <w:pPr>
        <w:spacing w:after="0" w:line="11" w:lineRule="exact"/>
        <w:rPr>
          <w:sz w:val="20"/>
          <w:szCs w:val="20"/>
          <w:color w:val="auto"/>
        </w:rPr>
      </w:pPr>
    </w:p>
    <w:p>
      <w:pPr>
        <w:sectPr>
          <w:pgSz w:w="11900" w:h="16838" w:orient="portrait"/>
          <w:cols w:equalWidth="0" w:num="5">
            <w:col w:w="1329" w:space="620"/>
            <w:col w:w="720" w:space="700"/>
            <w:col w:w="540" w:space="620"/>
            <w:col w:w="180" w:space="180"/>
            <w:col w:w="5339"/>
          </w:cols>
          <w:pgMar w:left="231" w:top="799" w:right="1440" w:bottom="1440" w:gutter="0" w:footer="0" w:header="0"/>
          <w:type w:val="continuous"/>
        </w:sectPr>
      </w:pPr>
    </w:p>
    <w:p>
      <w:pPr>
        <w:ind w:left="529"/>
        <w:spacing w:after="0"/>
        <w:rPr>
          <w:sz w:val="20"/>
          <w:szCs w:val="20"/>
          <w:color w:val="auto"/>
        </w:rPr>
      </w:pPr>
      <w:r>
        <w:rPr>
          <w:rFonts w:ascii="Courier New" w:cs="Courier New" w:eastAsia="Courier New" w:hAnsi="Courier New"/>
          <w:sz w:val="14"/>
          <w:szCs w:val="14"/>
          <w:color w:val="auto"/>
        </w:rPr>
        <w:t>Diluted</w:t>
      </w:r>
    </w:p>
    <w:p>
      <w:pPr>
        <w:sectPr>
          <w:pgSz w:w="11900" w:h="16838" w:orient="portrait"/>
          <w:cols w:equalWidth="0" w:num="1">
            <w:col w:w="10228"/>
          </w:cols>
          <w:pgMar w:left="231" w:top="799" w:right="1440" w:bottom="144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ind w:left="789" w:right="3839"/>
        <w:spacing w:after="0" w:line="239" w:lineRule="auto"/>
        <w:rPr>
          <w:sz w:val="20"/>
          <w:szCs w:val="20"/>
          <w:color w:val="auto"/>
        </w:rPr>
      </w:pPr>
      <w:r>
        <w:rPr>
          <w:rFonts w:ascii="Courier New" w:cs="Courier New" w:eastAsia="Courier New" w:hAnsi="Courier New"/>
          <w:sz w:val="15"/>
          <w:szCs w:val="15"/>
          <w:color w:val="auto"/>
        </w:rPr>
        <w:t>Options and warrants, which have been excluded from the diluted per share amounts because their effect would have been antidilutive, include the following:</w:t>
      </w:r>
    </w:p>
    <w:p>
      <w:pPr>
        <w:spacing w:after="0" w:line="200" w:lineRule="exact"/>
        <w:rPr>
          <w:sz w:val="20"/>
          <w:szCs w:val="20"/>
          <w:color w:val="auto"/>
        </w:rPr>
      </w:pPr>
    </w:p>
    <w:p>
      <w:pPr>
        <w:spacing w:after="0" w:line="314" w:lineRule="exact"/>
        <w:rPr>
          <w:sz w:val="20"/>
          <w:szCs w:val="20"/>
          <w:color w:val="auto"/>
        </w:rPr>
      </w:pPr>
    </w:p>
    <w:p>
      <w:pPr>
        <w:ind w:left="4969"/>
        <w:spacing w:after="0"/>
        <w:rPr>
          <w:sz w:val="20"/>
          <w:szCs w:val="20"/>
          <w:color w:val="auto"/>
        </w:rPr>
      </w:pPr>
      <w:r>
        <w:rPr>
          <w:rFonts w:ascii="Courier New" w:cs="Courier New" w:eastAsia="Courier New" w:hAnsi="Courier New"/>
          <w:sz w:val="15"/>
          <w:szCs w:val="15"/>
          <w:color w:val="auto"/>
        </w:rPr>
        <w:t>Three Months Ended March 31,</w:t>
      </w:r>
    </w:p>
    <w:p>
      <w:pPr>
        <w:spacing w:after="0" w:line="1" w:lineRule="exact"/>
        <w:rPr>
          <w:sz w:val="20"/>
          <w:szCs w:val="20"/>
          <w:color w:val="auto"/>
        </w:rPr>
      </w:pPr>
    </w:p>
    <w:p>
      <w:pPr>
        <w:ind w:left="460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709"/>
        <w:spacing w:after="0"/>
        <w:tabs>
          <w:tab w:leader="none" w:pos="7429"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3" w:lineRule="exact"/>
        <w:rPr>
          <w:sz w:val="20"/>
          <w:szCs w:val="20"/>
          <w:color w:val="auto"/>
        </w:rPr>
      </w:pPr>
    </w:p>
    <w:p>
      <w:pPr>
        <w:ind w:left="3809"/>
        <w:spacing w:after="0"/>
        <w:tabs>
          <w:tab w:leader="none" w:pos="6549"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9" w:lineRule="exact"/>
        <w:rPr>
          <w:sz w:val="20"/>
          <w:szCs w:val="20"/>
          <w:color w:val="auto"/>
        </w:rPr>
      </w:pPr>
    </w:p>
    <w:p>
      <w:pPr>
        <w:ind w:left="3809"/>
        <w:spacing w:after="0"/>
        <w:tabs>
          <w:tab w:leader="none" w:pos="5209" w:val="left"/>
          <w:tab w:leader="none" w:pos="6549" w:val="left"/>
          <w:tab w:leader="none" w:pos="8049" w:val="left"/>
        </w:tabs>
        <w:rPr>
          <w:sz w:val="20"/>
          <w:szCs w:val="20"/>
          <w:color w:val="auto"/>
        </w:rPr>
      </w:pPr>
      <w:r>
        <w:rPr>
          <w:rFonts w:ascii="Courier New" w:cs="Courier New" w:eastAsia="Courier New" w:hAnsi="Courier New"/>
          <w:sz w:val="15"/>
          <w:szCs w:val="15"/>
          <w:color w:val="auto"/>
        </w:rPr>
        <w:t>Weighted</w:t>
      </w:r>
      <w:r>
        <w:rPr>
          <w:sz w:val="20"/>
          <w:szCs w:val="20"/>
          <w:color w:val="auto"/>
        </w:rPr>
        <w:tab/>
      </w:r>
      <w:r>
        <w:rPr>
          <w:rFonts w:ascii="Courier New" w:cs="Courier New" w:eastAsia="Courier New" w:hAnsi="Courier New"/>
          <w:sz w:val="15"/>
          <w:szCs w:val="15"/>
          <w:color w:val="auto"/>
        </w:rPr>
        <w:t>Weighted</w:t>
      </w:r>
      <w:r>
        <w:rPr>
          <w:sz w:val="20"/>
          <w:szCs w:val="20"/>
          <w:color w:val="auto"/>
        </w:rPr>
        <w:tab/>
      </w:r>
      <w:r>
        <w:rPr>
          <w:rFonts w:ascii="Courier New" w:cs="Courier New" w:eastAsia="Courier New" w:hAnsi="Courier New"/>
          <w:sz w:val="15"/>
          <w:szCs w:val="15"/>
          <w:color w:val="auto"/>
        </w:rPr>
        <w:t>Weighted</w:t>
      </w:r>
      <w:r>
        <w:rPr>
          <w:sz w:val="20"/>
          <w:szCs w:val="20"/>
          <w:color w:val="auto"/>
        </w:rPr>
        <w:tab/>
      </w:r>
      <w:r>
        <w:rPr>
          <w:rFonts w:ascii="Courier New" w:cs="Courier New" w:eastAsia="Courier New" w:hAnsi="Courier New"/>
          <w:sz w:val="15"/>
          <w:szCs w:val="15"/>
          <w:color w:val="auto"/>
        </w:rPr>
        <w:t>Weighted</w:t>
      </w:r>
    </w:p>
    <w:p>
      <w:pPr>
        <w:spacing w:after="0" w:line="1" w:lineRule="exact"/>
        <w:rPr>
          <w:sz w:val="20"/>
          <w:szCs w:val="20"/>
          <w:color w:val="auto"/>
        </w:rPr>
      </w:pPr>
    </w:p>
    <w:p>
      <w:pPr>
        <w:ind w:left="3809"/>
        <w:spacing w:after="0"/>
        <w:tabs>
          <w:tab w:leader="none" w:pos="5209" w:val="left"/>
          <w:tab w:leader="none" w:pos="6549" w:val="left"/>
          <w:tab w:leader="none" w:pos="8049" w:val="left"/>
        </w:tabs>
        <w:rPr>
          <w:sz w:val="20"/>
          <w:szCs w:val="20"/>
          <w:color w:val="auto"/>
        </w:rPr>
      </w:pP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4"/>
          <w:szCs w:val="14"/>
          <w:color w:val="auto"/>
        </w:rPr>
        <w:t>Average</w:t>
      </w:r>
    </w:p>
    <w:p>
      <w:pPr>
        <w:sectPr>
          <w:pgSz w:w="11900" w:h="16838" w:orient="portrait"/>
          <w:cols w:equalWidth="0" w:num="1">
            <w:col w:w="10228"/>
          </w:cols>
          <w:pgMar w:left="231" w:top="799" w:right="1440" w:bottom="1440" w:gutter="0" w:footer="0" w:header="0"/>
          <w:type w:val="continuous"/>
        </w:sectPr>
      </w:pPr>
    </w:p>
    <w:p>
      <w:pPr>
        <w:spacing w:after="0" w:line="171" w:lineRule="exact"/>
        <w:rPr>
          <w:sz w:val="20"/>
          <w:szCs w:val="20"/>
          <w:color w:val="auto"/>
        </w:rPr>
      </w:pPr>
    </w:p>
    <w:p>
      <w:pPr>
        <w:ind w:left="3809"/>
        <w:spacing w:after="0"/>
        <w:rPr>
          <w:sz w:val="20"/>
          <w:szCs w:val="20"/>
          <w:color w:val="auto"/>
        </w:rPr>
      </w:pPr>
      <w:r>
        <w:rPr>
          <w:rFonts w:ascii="Courier New" w:cs="Courier New" w:eastAsia="Courier New" w:hAnsi="Courier New"/>
          <w:sz w:val="15"/>
          <w:szCs w:val="15"/>
          <w:color w:val="auto"/>
        </w:rPr>
        <w:t>Number</w:t>
      </w:r>
    </w:p>
    <w:p>
      <w:pPr>
        <w:spacing w:after="0" w:line="3" w:lineRule="exact"/>
        <w:rPr>
          <w:sz w:val="20"/>
          <w:szCs w:val="20"/>
          <w:color w:val="auto"/>
        </w:rPr>
      </w:pPr>
    </w:p>
    <w:p>
      <w:pPr>
        <w:ind w:left="3809"/>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271" w:lineRule="auto"/>
        <w:rPr>
          <w:sz w:val="20"/>
          <w:szCs w:val="20"/>
          <w:color w:val="auto"/>
        </w:rPr>
      </w:pPr>
      <w:r>
        <w:rPr>
          <w:rFonts w:ascii="Courier New" w:cs="Courier New" w:eastAsia="Courier New" w:hAnsi="Courier New"/>
          <w:sz w:val="14"/>
          <w:szCs w:val="14"/>
          <w:color w:val="auto"/>
        </w:rPr>
        <w:t>Exercise Price --------------</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Number</w:t>
      </w:r>
    </w:p>
    <w:p>
      <w:pPr>
        <w:spacing w:after="0" w:line="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 Price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9" w:lineRule="exact"/>
        <w:rPr>
          <w:sz w:val="20"/>
          <w:szCs w:val="20"/>
          <w:color w:val="auto"/>
        </w:rPr>
      </w:pPr>
    </w:p>
    <w:p>
      <w:pPr>
        <w:sectPr>
          <w:pgSz w:w="11900" w:h="16838" w:orient="portrait"/>
          <w:cols w:equalWidth="0" w:num="4">
            <w:col w:w="4349" w:space="620"/>
            <w:col w:w="1240" w:space="260"/>
            <w:col w:w="720" w:space="540"/>
            <w:col w:w="2499"/>
          </w:cols>
          <w:pgMar w:left="231" w:top="799" w:right="1440" w:bottom="1440" w:gutter="0" w:footer="0" w:header="0"/>
          <w:type w:val="continuous"/>
        </w:sectPr>
      </w:pPr>
    </w:p>
    <w:p>
      <w:pPr>
        <w:ind w:left="9"/>
        <w:spacing w:after="0"/>
        <w:rPr>
          <w:sz w:val="20"/>
          <w:szCs w:val="20"/>
          <w:color w:val="auto"/>
        </w:rPr>
      </w:pPr>
      <w:r>
        <w:rPr>
          <w:rFonts w:ascii="Courier New" w:cs="Courier New" w:eastAsia="Courier New" w:hAnsi="Courier New"/>
          <w:sz w:val="15"/>
          <w:szCs w:val="15"/>
          <w:color w:val="auto"/>
        </w:rPr>
        <w:t>Options and warrants with</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exercise prices below the average</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fair market value of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Company's common stock for</w:t>
      </w:r>
    </w:p>
    <w:p>
      <w:pPr>
        <w:sectPr>
          <w:pgSz w:w="11900" w:h="16838" w:orient="portrait"/>
          <w:cols w:equalWidth="0" w:num="1">
            <w:col w:w="10228"/>
          </w:cols>
          <w:pgMar w:left="231" w:top="799" w:right="1440" w:bottom="1440" w:gutter="0" w:footer="0" w:header="0"/>
          <w:type w:val="continuous"/>
        </w:sectPr>
      </w:pP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the respective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1,848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$ 4.61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3,753</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5"/>
          <w:szCs w:val="15"/>
          <w:color w:val="auto"/>
        </w:rPr>
        <w:t>$</w:t>
        <w:tab/>
        <w:t>7.07</w:t>
      </w:r>
    </w:p>
    <w:p>
      <w:pPr>
        <w:spacing w:after="0" w:line="171" w:lineRule="exact"/>
        <w:rPr>
          <w:sz w:val="20"/>
          <w:szCs w:val="20"/>
          <w:color w:val="auto"/>
        </w:rPr>
      </w:pPr>
    </w:p>
    <w:p>
      <w:pPr>
        <w:sectPr>
          <w:pgSz w:w="11900" w:h="16838" w:orient="portrait"/>
          <w:cols w:equalWidth="0" w:num="5">
            <w:col w:w="3089" w:space="720"/>
            <w:col w:w="880" w:space="720"/>
            <w:col w:w="540" w:space="700"/>
            <w:col w:w="800" w:space="720"/>
            <w:col w:w="2059"/>
          </w:cols>
          <w:pgMar w:left="231" w:top="799" w:right="1440" w:bottom="1440" w:gutter="0" w:footer="0" w:header="0"/>
          <w:type w:val="continuous"/>
        </w:sectPr>
      </w:pPr>
    </w:p>
    <w:p>
      <w:pPr>
        <w:ind w:left="9"/>
        <w:spacing w:after="0"/>
        <w:rPr>
          <w:sz w:val="20"/>
          <w:szCs w:val="20"/>
          <w:color w:val="auto"/>
        </w:rPr>
      </w:pPr>
      <w:r>
        <w:rPr>
          <w:rFonts w:ascii="Courier New" w:cs="Courier New" w:eastAsia="Courier New" w:hAnsi="Courier New"/>
          <w:sz w:val="15"/>
          <w:szCs w:val="15"/>
          <w:color w:val="auto"/>
        </w:rPr>
        <w:t>Options and warrants with</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exercise prices above the average</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fair market value of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Company's common stock for</w:t>
      </w:r>
    </w:p>
    <w:p>
      <w:pPr>
        <w:sectPr>
          <w:pgSz w:w="11900" w:h="16838" w:orient="portrait"/>
          <w:cols w:equalWidth="0" w:num="1">
            <w:col w:w="10228"/>
          </w:cols>
          <w:pgMar w:left="231" w:top="799" w:right="1440" w:bottom="1440" w:gutter="0" w:footer="0" w:header="0"/>
          <w:type w:val="continuous"/>
        </w:sectPr>
      </w:pP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the respective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4,433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6,281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$11.72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1,665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5,418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$15.09</w:t>
      </w:r>
    </w:p>
    <w:p>
      <w:pPr>
        <w:spacing w:after="0" w:line="682" w:lineRule="exact"/>
        <w:rPr>
          <w:sz w:val="20"/>
          <w:szCs w:val="20"/>
          <w:color w:val="auto"/>
        </w:rPr>
      </w:pPr>
    </w:p>
    <w:p>
      <w:pPr>
        <w:sectPr>
          <w:pgSz w:w="11900" w:h="16838" w:orient="portrait"/>
          <w:cols w:equalWidth="0" w:num="5">
            <w:col w:w="3089" w:space="720"/>
            <w:col w:w="880" w:space="720"/>
            <w:col w:w="540" w:space="700"/>
            <w:col w:w="880" w:space="720"/>
            <w:col w:w="1979"/>
          </w:cols>
          <w:pgMar w:left="231" w:top="799" w:right="1440" w:bottom="1440" w:gutter="0" w:footer="0" w:header="0"/>
          <w:type w:val="continuous"/>
        </w:sectPr>
      </w:pPr>
    </w:p>
    <w:p>
      <w:pPr>
        <w:ind w:left="336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8"/>
          </w:cols>
          <w:pgMar w:left="231" w:top="799" w:right="1440" w:bottom="1440" w:gutter="0" w:footer="0" w:header="0"/>
          <w:type w:val="continuous"/>
        </w:sectPr>
      </w:pPr>
    </w:p>
    <w:bookmarkStart w:id="8" w:name="page9"/>
    <w:bookmarkEnd w:id="8"/>
    <w:p>
      <w:pPr>
        <w:ind w:left="9"/>
        <w:spacing w:after="0"/>
        <w:rPr>
          <w:sz w:val="20"/>
          <w:szCs w:val="20"/>
          <w:color w:val="auto"/>
        </w:rPr>
      </w:pPr>
      <w:r>
        <w:rPr>
          <w:rFonts w:ascii="Courier New" w:cs="Courier New" w:eastAsia="Courier New" w:hAnsi="Courier New"/>
          <w:sz w:val="15"/>
          <w:szCs w:val="15"/>
          <w:color w:val="auto"/>
        </w:rPr>
        <w:t>REGENERON PHARMACEUTICALS, INC.</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Notes to Condensed Financial Statements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42" w:lineRule="exact"/>
        <w:rPr>
          <w:sz w:val="20"/>
          <w:szCs w:val="20"/>
          <w:color w:val="auto"/>
        </w:rPr>
      </w:pPr>
    </w:p>
    <w:p>
      <w:pPr>
        <w:ind w:left="789" w:hanging="789"/>
        <w:spacing w:after="0"/>
        <w:tabs>
          <w:tab w:leader="none" w:pos="78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Adoption of Statement of Financial Accounting Standard No. 130</w:t>
      </w:r>
    </w:p>
    <w:p>
      <w:pPr>
        <w:spacing w:after="0" w:line="174" w:lineRule="exact"/>
        <w:rPr>
          <w:rFonts w:ascii="Courier New" w:cs="Courier New" w:eastAsia="Courier New" w:hAnsi="Courier New"/>
          <w:sz w:val="15"/>
          <w:szCs w:val="15"/>
          <w:color w:val="auto"/>
        </w:rPr>
      </w:pPr>
    </w:p>
    <w:p>
      <w:pPr>
        <w:ind w:left="789" w:right="375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adopted Statement of Financial Accounting Standard No. 130, Reporting Comprehensive Income ("SFAS No. 130"). Comprehensive loss represents the change in net assets of a business enterprise during a period from transactions and other events and circumstances from non-owner sources. Comprehensive loss of the Company includes net loss adjusted for the change in net unrealized gain or loss on marketable securities. The net effect of income taxes on comprehensive loss is immaterial. The disclosures required by SFAS No. 130 for the three months ended March 31, 1998 have been included in the Statement of Stockholders' Equity. For the three months ended March 31, 1998 and 1997, the components of comprehensive loss were:</w:t>
      </w:r>
    </w:p>
    <w:p>
      <w:pPr>
        <w:sectPr>
          <w:pgSz w:w="11900" w:h="16838" w:orient="portrait"/>
          <w:cols w:equalWidth="0" w:num="1">
            <w:col w:w="10228"/>
          </w:cols>
          <w:pgMar w:left="231" w:top="628" w:right="1440" w:bottom="1440" w:gutter="0" w:footer="0" w:header="0"/>
        </w:sectPr>
      </w:pPr>
    </w:p>
    <w:p>
      <w:pPr>
        <w:spacing w:after="0" w:line="200" w:lineRule="exact"/>
        <w:rPr>
          <w:sz w:val="20"/>
          <w:szCs w:val="20"/>
          <w:color w:val="auto"/>
        </w:rPr>
      </w:pPr>
    </w:p>
    <w:p>
      <w:pPr>
        <w:spacing w:after="0" w:line="319" w:lineRule="exact"/>
        <w:rPr>
          <w:sz w:val="20"/>
          <w:szCs w:val="20"/>
          <w:color w:val="auto"/>
        </w:rPr>
      </w:pPr>
    </w:p>
    <w:p>
      <w:pPr>
        <w:ind w:left="6389"/>
        <w:spacing w:after="0"/>
        <w:rPr>
          <w:sz w:val="20"/>
          <w:szCs w:val="20"/>
          <w:color w:val="auto"/>
        </w:rPr>
      </w:pPr>
      <w:r>
        <w:rPr>
          <w:rFonts w:ascii="Courier New" w:cs="Courier New" w:eastAsia="Courier New" w:hAnsi="Courier New"/>
          <w:sz w:val="15"/>
          <w:szCs w:val="15"/>
          <w:color w:val="auto"/>
        </w:rPr>
        <w:t>1998</w:t>
      </w:r>
    </w:p>
    <w:p>
      <w:pPr>
        <w:spacing w:after="0" w:line="3" w:lineRule="exact"/>
        <w:rPr>
          <w:sz w:val="20"/>
          <w:szCs w:val="20"/>
          <w:color w:val="auto"/>
        </w:rPr>
      </w:pPr>
    </w:p>
    <w:p>
      <w:pPr>
        <w:ind w:left="6389"/>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1997</w:t>
      </w:r>
    </w:p>
    <w:p>
      <w:pPr>
        <w:spacing w:after="0" w:line="3" w:lineRule="exact"/>
        <w:rPr>
          <w:sz w:val="20"/>
          <w:szCs w:val="20"/>
          <w:color w:val="auto"/>
        </w:rPr>
      </w:pPr>
    </w:p>
    <w:p>
      <w:pPr>
        <w:ind w:left="116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ectPr>
          <w:pgSz w:w="11900" w:h="16838" w:orient="portrait"/>
          <w:cols w:equalWidth="0" w:num="2">
            <w:col w:w="6749" w:space="80"/>
            <w:col w:w="3399"/>
          </w:cols>
          <w:pgMar w:left="231" w:top="628" w:right="1440" w:bottom="1440" w:gutter="0" w:footer="0" w:header="0"/>
          <w:type w:val="continuous"/>
        </w:sectPr>
      </w:pPr>
    </w:p>
    <w:p>
      <w:pPr>
        <w:spacing w:after="0" w:line="313"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Net Loss</w:t>
      </w:r>
    </w:p>
    <w:p>
      <w:pPr>
        <w:spacing w:after="0" w:line="3" w:lineRule="exact"/>
        <w:rPr>
          <w:sz w:val="20"/>
          <w:szCs w:val="20"/>
          <w:color w:val="auto"/>
        </w:rPr>
      </w:pPr>
    </w:p>
    <w:p>
      <w:pPr>
        <w:ind w:left="789"/>
        <w:spacing w:after="0"/>
        <w:rPr>
          <w:sz w:val="20"/>
          <w:szCs w:val="20"/>
          <w:color w:val="auto"/>
        </w:rPr>
      </w:pPr>
      <w:r>
        <w:rPr>
          <w:rFonts w:ascii="Courier New" w:cs="Courier New" w:eastAsia="Courier New" w:hAnsi="Courier New"/>
          <w:sz w:val="14"/>
          <w:szCs w:val="14"/>
          <w:color w:val="auto"/>
        </w:rPr>
        <w:t>Change in net unrealized gain on marketable securities</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$(3,829)</w:t>
      </w:r>
    </w:p>
    <w:p>
      <w:pPr>
        <w:spacing w:after="0" w:line="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(39)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$(5,929)</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(157)</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sectPr>
          <w:pgSz w:w="11900" w:h="16838" w:orient="portrait"/>
          <w:cols w:equalWidth="0" w:num="3">
            <w:col w:w="5589" w:space="720"/>
            <w:col w:w="860" w:space="720"/>
            <w:col w:w="2339"/>
          </w:cols>
          <w:pgMar w:left="231" w:top="628" w:right="1440" w:bottom="1440" w:gutter="0" w:footer="0" w:header="0"/>
          <w:type w:val="continuous"/>
        </w:sectPr>
      </w:pPr>
    </w:p>
    <w:p>
      <w:pPr>
        <w:spacing w:after="0" w:line="3" w:lineRule="exact"/>
        <w:rPr>
          <w:sz w:val="20"/>
          <w:szCs w:val="20"/>
          <w:color w:val="auto"/>
        </w:rPr>
      </w:pPr>
    </w:p>
    <w:p>
      <w:pPr>
        <w:ind w:left="1589"/>
        <w:spacing w:after="0"/>
        <w:rPr>
          <w:sz w:val="20"/>
          <w:szCs w:val="20"/>
          <w:color w:val="auto"/>
        </w:rPr>
      </w:pPr>
      <w:r>
        <w:rPr>
          <w:rFonts w:ascii="Courier New" w:cs="Courier New" w:eastAsia="Courier New" w:hAnsi="Courier New"/>
          <w:sz w:val="14"/>
          <w:szCs w:val="14"/>
          <w:color w:val="auto"/>
        </w:rPr>
        <w:t>Total comprehensive loss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$(3,868)</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$(6,086)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5589" w:space="720"/>
            <w:col w:w="860" w:space="720"/>
            <w:col w:w="2339"/>
          </w:cols>
          <w:pgMar w:left="231" w:top="628" w:right="1440" w:bottom="1440" w:gutter="0" w:footer="0" w:header="0"/>
          <w:type w:val="continuous"/>
        </w:sectPr>
      </w:pPr>
    </w:p>
    <w:p>
      <w:pPr>
        <w:spacing w:after="0" w:line="14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8"/>
          </w:cols>
          <w:pgMar w:left="231" w:top="628" w:right="1440" w:bottom="1440" w:gutter="0" w:footer="0" w:header="0"/>
          <w:type w:val="continuous"/>
        </w:sectPr>
      </w:pPr>
    </w:p>
    <w:bookmarkStart w:id="9" w:name="page10"/>
    <w:bookmarkEnd w:id="9"/>
    <w:p>
      <w:pPr>
        <w:ind w:left="700" w:right="3919" w:hanging="709"/>
        <w:spacing w:after="0" w:line="238"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Overview. The discussion below contains forward-looking statements that involve risks and uncertainties relating to the future financial performance of Regeneron Pharmaceuticals, Inc. ("Regeneron" or the "Company") and actual events or results may differ materially. These statements concern, among other things, the possible therapeutic applications of the Company's product candidates and research programs, the timing and nature of the Company's clinical and research programs now underway or planned, a variety of items described herein and in the footnotes to the Company's financial statements (including the useful life of assets, the anticipated length of agreements, and other matters), and the future uses of capital and financial needs of the Company. These statements are made by the Company based on management's current beliefs and judgment. In evaluating such statements, stockholders and potential investors should specifically consider the various factors identified under the caption "Factors That May Affect Future Operating Results" which could cause actual results to differ materially from those indicated by such forward-looking statements.</w:t>
      </w:r>
    </w:p>
    <w:p>
      <w:pPr>
        <w:spacing w:after="0" w:line="183"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Regeneron is a leader in the application of molecular and cell biology to discover novel potential therapeutics for human medical conditions and is seeking to develop and commercialize these discoveries. The Company is applying its technological expertise in protein growth factors, their receptors, and their mechanisms of action to the discovery and development of protein-based drugs and orally active, small molecule drugs.</w:t>
      </w:r>
    </w:p>
    <w:p>
      <w:pPr>
        <w:spacing w:after="0" w:line="175" w:lineRule="exact"/>
        <w:rPr>
          <w:sz w:val="20"/>
          <w:szCs w:val="20"/>
          <w:color w:val="auto"/>
        </w:rPr>
      </w:pPr>
    </w:p>
    <w:p>
      <w:pPr>
        <w:ind w:right="3759" w:firstLine="799"/>
        <w:spacing w:after="0" w:line="238" w:lineRule="auto"/>
        <w:rPr>
          <w:sz w:val="20"/>
          <w:szCs w:val="20"/>
          <w:color w:val="auto"/>
        </w:rPr>
      </w:pPr>
      <w:r>
        <w:rPr>
          <w:rFonts w:ascii="Courier New" w:cs="Courier New" w:eastAsia="Courier New" w:hAnsi="Courier New"/>
          <w:sz w:val="15"/>
          <w:szCs w:val="15"/>
          <w:color w:val="auto"/>
        </w:rPr>
        <w:t>The Company is pursuing research and development programs in the following areas:</w:t>
      </w:r>
    </w:p>
    <w:p>
      <w:pPr>
        <w:spacing w:after="0" w:line="175" w:lineRule="exact"/>
        <w:rPr>
          <w:sz w:val="20"/>
          <w:szCs w:val="20"/>
          <w:color w:val="auto"/>
        </w:rPr>
      </w:pPr>
    </w:p>
    <w:p>
      <w:pPr>
        <w:ind w:left="1320" w:right="3759" w:hanging="179"/>
        <w:spacing w:after="0" w:line="239" w:lineRule="auto"/>
        <w:tabs>
          <w:tab w:leader="none" w:pos="1300" w:val="left"/>
        </w:tabs>
        <w:rPr>
          <w:sz w:val="20"/>
          <w:szCs w:val="20"/>
          <w:color w:val="auto"/>
        </w:rPr>
      </w:pPr>
      <w:r>
        <w:rPr>
          <w:rFonts w:ascii="Courier New" w:cs="Courier New" w:eastAsia="Courier New" w:hAnsi="Courier New"/>
          <w:sz w:val="15"/>
          <w:szCs w:val="15"/>
          <w:color w:val="auto"/>
        </w:rPr>
        <w:t>o</w:t>
        <w:tab/>
        <w:t>AXOKINE(R), a second generation ciliary neurotrophic factor, for the treatment of obesity (and diseases related to obesity such as Type II diabetes),</w:t>
      </w:r>
    </w:p>
    <w:p>
      <w:pPr>
        <w:spacing w:after="0" w:line="175" w:lineRule="exact"/>
        <w:rPr>
          <w:sz w:val="20"/>
          <w:szCs w:val="20"/>
          <w:color w:val="auto"/>
        </w:rPr>
      </w:pPr>
    </w:p>
    <w:p>
      <w:pPr>
        <w:ind w:left="1320" w:right="3659" w:hanging="179"/>
        <w:spacing w:after="0" w:line="238" w:lineRule="auto"/>
        <w:tabs>
          <w:tab w:leader="none" w:pos="1300" w:val="left"/>
        </w:tabs>
        <w:rPr>
          <w:sz w:val="20"/>
          <w:szCs w:val="20"/>
          <w:color w:val="auto"/>
        </w:rPr>
      </w:pPr>
      <w:r>
        <w:rPr>
          <w:rFonts w:ascii="Courier New" w:cs="Courier New" w:eastAsia="Courier New" w:hAnsi="Courier New"/>
          <w:sz w:val="15"/>
          <w:szCs w:val="15"/>
          <w:color w:val="auto"/>
        </w:rPr>
        <w:t>o</w:t>
        <w:tab/>
        <w:t>AXOKINE for the treatment of retinitis pigmentosa and other retinal diseases,</w:t>
      </w:r>
    </w:p>
    <w:p>
      <w:pPr>
        <w:spacing w:after="0" w:line="175" w:lineRule="exact"/>
        <w:rPr>
          <w:sz w:val="20"/>
          <w:szCs w:val="20"/>
          <w:color w:val="auto"/>
        </w:rPr>
      </w:pPr>
    </w:p>
    <w:p>
      <w:pPr>
        <w:ind w:left="1320" w:right="3659" w:hanging="179"/>
        <w:spacing w:after="0" w:line="239" w:lineRule="auto"/>
        <w:tabs>
          <w:tab w:leader="none" w:pos="1300" w:val="left"/>
        </w:tabs>
        <w:rPr>
          <w:sz w:val="20"/>
          <w:szCs w:val="20"/>
          <w:color w:val="auto"/>
        </w:rPr>
      </w:pPr>
      <w:r>
        <w:rPr>
          <w:rFonts w:ascii="Courier New" w:cs="Courier New" w:eastAsia="Courier New" w:hAnsi="Courier New"/>
          <w:sz w:val="15"/>
          <w:szCs w:val="15"/>
          <w:color w:val="auto"/>
        </w:rPr>
        <w:t>o</w:t>
        <w:tab/>
        <w:t>Brain-derived neurotrophic factor ("BDNF") for the treatment of amyotrophic lateral sclerosis ("ALS," commonly known as Lou Gehrig's disease),</w:t>
      </w:r>
    </w:p>
    <w:p>
      <w:pPr>
        <w:spacing w:after="0" w:line="172"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o Neurotrophin-3 ("NT-3") for the treatment of enteric</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neuropathies (constipating conditions),</w:t>
      </w:r>
    </w:p>
    <w:p>
      <w:pPr>
        <w:spacing w:after="0" w:line="345" w:lineRule="exact"/>
        <w:rPr>
          <w:sz w:val="20"/>
          <w:szCs w:val="20"/>
          <w:color w:val="auto"/>
        </w:rPr>
      </w:pPr>
    </w:p>
    <w:p>
      <w:pPr>
        <w:jc w:val="both"/>
        <w:ind w:left="1320" w:right="3579" w:hanging="179"/>
        <w:spacing w:after="0" w:line="239" w:lineRule="auto"/>
        <w:tabs>
          <w:tab w:leader="none" w:pos="1300" w:val="left"/>
        </w:tabs>
        <w:rPr>
          <w:sz w:val="20"/>
          <w:szCs w:val="20"/>
          <w:color w:val="auto"/>
        </w:rPr>
      </w:pPr>
      <w:r>
        <w:rPr>
          <w:rFonts w:ascii="Courier New" w:cs="Courier New" w:eastAsia="Courier New" w:hAnsi="Courier New"/>
          <w:sz w:val="15"/>
          <w:szCs w:val="15"/>
          <w:color w:val="auto"/>
        </w:rPr>
        <w:t>o</w:t>
        <w:tab/>
        <w:t>Angiopoietins, a new family of ligands (and their receptors, called the TIE family of receptors) that appears to regulate blood vessel formation, or angiogenesis,</w:t>
      </w:r>
    </w:p>
    <w:p>
      <w:pPr>
        <w:spacing w:after="0" w:line="175" w:lineRule="exact"/>
        <w:rPr>
          <w:sz w:val="20"/>
          <w:szCs w:val="20"/>
          <w:color w:val="auto"/>
        </w:rPr>
      </w:pPr>
    </w:p>
    <w:p>
      <w:pPr>
        <w:ind w:left="1320" w:right="3759" w:hanging="179"/>
        <w:spacing w:after="0" w:line="264" w:lineRule="auto"/>
        <w:tabs>
          <w:tab w:leader="none" w:pos="1300" w:val="left"/>
        </w:tabs>
        <w:rPr>
          <w:sz w:val="20"/>
          <w:szCs w:val="20"/>
          <w:color w:val="auto"/>
        </w:rPr>
      </w:pPr>
      <w:r>
        <w:rPr>
          <w:rFonts w:ascii="Courier New" w:cs="Courier New" w:eastAsia="Courier New" w:hAnsi="Courier New"/>
          <w:sz w:val="14"/>
          <w:szCs w:val="14"/>
          <w:color w:val="auto"/>
        </w:rPr>
        <w:t>o</w:t>
        <w:tab/>
        <w:t>Protein antagonists for cytokines such as interleukin-4 ("IL-4") and interleukin-6 ("IL-6") as potential treatment of inflammatory diseases, allergic disorders, and cancer,</w:t>
      </w:r>
    </w:p>
    <w:p>
      <w:pPr>
        <w:spacing w:after="0" w:line="159" w:lineRule="exact"/>
        <w:rPr>
          <w:sz w:val="20"/>
          <w:szCs w:val="20"/>
          <w:color w:val="auto"/>
        </w:rPr>
      </w:pPr>
    </w:p>
    <w:p>
      <w:pPr>
        <w:jc w:val="both"/>
        <w:ind w:left="1320" w:right="3919" w:hanging="179"/>
        <w:spacing w:after="0" w:line="239" w:lineRule="auto"/>
        <w:tabs>
          <w:tab w:leader="none" w:pos="1300" w:val="left"/>
        </w:tabs>
        <w:rPr>
          <w:sz w:val="20"/>
          <w:szCs w:val="20"/>
          <w:color w:val="auto"/>
        </w:rPr>
      </w:pPr>
      <w:r>
        <w:rPr>
          <w:rFonts w:ascii="Courier New" w:cs="Courier New" w:eastAsia="Courier New" w:hAnsi="Courier New"/>
          <w:sz w:val="15"/>
          <w:szCs w:val="15"/>
          <w:color w:val="auto"/>
        </w:rPr>
        <w:t>o</w:t>
        <w:tab/>
        <w:t>Noggin, a naturally occurring protein, for potential use in treating abnormal bone formation and related diseases and conditions,</w:t>
      </w:r>
    </w:p>
    <w:p>
      <w:pPr>
        <w:spacing w:after="0" w:line="175" w:lineRule="exact"/>
        <w:rPr>
          <w:sz w:val="20"/>
          <w:szCs w:val="20"/>
          <w:color w:val="auto"/>
        </w:rPr>
      </w:pPr>
    </w:p>
    <w:p>
      <w:pPr>
        <w:ind w:left="1320" w:right="3919" w:hanging="179"/>
        <w:spacing w:after="0" w:line="239" w:lineRule="auto"/>
        <w:tabs>
          <w:tab w:leader="none" w:pos="1300" w:val="left"/>
        </w:tabs>
        <w:rPr>
          <w:sz w:val="20"/>
          <w:szCs w:val="20"/>
          <w:color w:val="auto"/>
        </w:rPr>
      </w:pPr>
      <w:r>
        <w:rPr>
          <w:rFonts w:ascii="Courier New" w:cs="Courier New" w:eastAsia="Courier New" w:hAnsi="Courier New"/>
          <w:sz w:val="15"/>
          <w:szCs w:val="15"/>
          <w:color w:val="auto"/>
        </w:rPr>
        <w:t>o</w:t>
        <w:tab/>
        <w:t>Muscle atrophy, based on a receptor (called MuSK) of the tyrosine kinases type that is specifically expressed in skeletal muscle and a protein ligand (agrin) for this receptor, and</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1" w:right="1440" w:bottom="1440" w:gutter="0" w:footer="0" w:header="0"/>
        </w:sectPr>
      </w:pPr>
    </w:p>
    <w:bookmarkStart w:id="10" w:name="page11"/>
    <w:bookmarkEnd w:id="10"/>
    <w:p>
      <w:pPr>
        <w:ind w:left="1320" w:right="3659" w:hanging="179"/>
        <w:spacing w:after="0" w:line="239" w:lineRule="auto"/>
        <w:tabs>
          <w:tab w:leader="none" w:pos="1300" w:val="left"/>
        </w:tabs>
        <w:rPr>
          <w:sz w:val="20"/>
          <w:szCs w:val="20"/>
          <w:color w:val="auto"/>
        </w:rPr>
      </w:pPr>
      <w:r>
        <w:rPr>
          <w:rFonts w:ascii="Courier New" w:cs="Courier New" w:eastAsia="Courier New" w:hAnsi="Courier New"/>
          <w:sz w:val="15"/>
          <w:szCs w:val="15"/>
          <w:color w:val="auto"/>
        </w:rPr>
        <w:t>o</w:t>
        <w:tab/>
        <w:t>Research programs to discover orally active, small molecule-based drugs, some of which may mimic or antagonize protein- or receptor-based drug candidates that the Company is developing.</w:t>
      </w:r>
    </w:p>
    <w:p>
      <w:pPr>
        <w:spacing w:after="0" w:line="176"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Discussion of First Quarter 1998 Activities. In the first quarter of 1998, the Company continued to develop AXOKINE under the Company's collaboration agreement ("the Procter &amp; Gamble Agreement") with The Procter and Gamble Company ("Procter &amp; Gamble"). Subject to completion of planned preclinical and related development activities and regulatory review, the Company expects that an Investigational New Drug application will be filed with the United States Food and Drug Administration (the "FDA") by the end of 1998 or in early 1999 pursuant to which clinical studies of AXOKINE for obesity and related conditions, including Type II diabetes, would begin. The Company and Procter &amp; Gamble also continued to collaborate in research and development in the fields of angiogenesis, bone growth, and muscle injury and atrophy, as well as small molecule (orally active) drugs. The majority of the Company's scientific resources are devoted to its collaborative activities with Procter &amp; Gamble.</w:t>
      </w:r>
    </w:p>
    <w:p>
      <w:pPr>
        <w:spacing w:after="0" w:line="16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The Company continued independently to develop AXOKINE for use in treating degenerative retinal diseases. The Company is collaborating with academic investigators, government agencies, and private foundations in the development of AXOKINE for retinal disease. Subject to completion of appropriate preclinical experiments and regulatory approval, the Company plans to commence a Phase I clinical study of AXOKINE to treat retinitis pigmentosa in late 1998 or early 1999.</w:t>
      </w:r>
    </w:p>
    <w:p>
      <w:pPr>
        <w:spacing w:after="0" w:line="176" w:lineRule="exact"/>
        <w:rPr>
          <w:sz w:val="20"/>
          <w:szCs w:val="20"/>
          <w:color w:val="auto"/>
        </w:rPr>
      </w:pPr>
    </w:p>
    <w:p>
      <w:pPr>
        <w:ind w:right="3219" w:firstLine="799"/>
        <w:spacing w:after="0" w:line="261" w:lineRule="auto"/>
        <w:rPr>
          <w:sz w:val="20"/>
          <w:szCs w:val="20"/>
          <w:color w:val="auto"/>
        </w:rPr>
      </w:pPr>
      <w:r>
        <w:rPr>
          <w:rFonts w:ascii="Courier New" w:cs="Courier New" w:eastAsia="Courier New" w:hAnsi="Courier New"/>
          <w:sz w:val="14"/>
          <w:szCs w:val="14"/>
          <w:color w:val="auto"/>
        </w:rPr>
        <w:t>During the first quarter of 1998, the Company continued to develop independent of any corporate collaboration its proprietary cytokine traps for the potential treatment of inflammatory disease, asthma, cancer, and rheumatoid arthritis. In addition, the Company continued to conduct research with Pharmacopeia, Inc. and Glaxo Wellcome plc in the area of small molecule (orally</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active) drugs.</w:t>
      </w:r>
    </w:p>
    <w:p>
      <w:pPr>
        <w:spacing w:after="0" w:line="174"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During the first quarter of 1998, Amgen-Regeneron Partners, the partnership equally owned by Regeneron and Amgen Inc. ("Amgen"), continued to develop brain derived neurotrophic factor ("BDNF") and neurotrophin-3 (NT-3"). BDNF is currently being developed by Amgen-Regeneron Partners for potential use in treating amyotrophic lateral sclerosis ("ALS," commonly known as Lou Gehrig's disease) through two routes of administration: intrathecal (infusion into the spinal fluid through an implanted pump) and subcutaneous (injection under the skin). An intrathecal study in ALS patients is ongoing. Subcutaneous studies conducted by Regeneron on behalf of the partnership began in the first quarter of 1998. The subcutaneous studies are based on an analysis of the Amgen-Regeneron Partners' Phase III trial of BDNF for ALS that was completed in 1996. That trial failed to achieve its predetermined end points, but subsequent analyses indicated that a retrospectively-defined subset of ALS patients in the trial may have received a survival benefit from BDNF treatment.</w:t>
      </w:r>
    </w:p>
    <w:p>
      <w:pPr>
        <w:spacing w:after="0" w:line="164" w:lineRule="exact"/>
        <w:rPr>
          <w:sz w:val="20"/>
          <w:szCs w:val="20"/>
          <w:color w:val="auto"/>
        </w:rPr>
      </w:pPr>
    </w:p>
    <w:p>
      <w:pPr>
        <w:ind w:right="3479" w:firstLine="799"/>
        <w:spacing w:after="0"/>
        <w:rPr>
          <w:sz w:val="20"/>
          <w:szCs w:val="20"/>
          <w:color w:val="auto"/>
        </w:rPr>
      </w:pPr>
      <w:r>
        <w:rPr>
          <w:rFonts w:ascii="Courier New" w:cs="Courier New" w:eastAsia="Courier New" w:hAnsi="Courier New"/>
          <w:sz w:val="15"/>
          <w:szCs w:val="15"/>
          <w:color w:val="auto"/>
        </w:rPr>
        <w:t>In March 1998, Sumitomo Pharmaceuticals Co., Ltd. ("Sumitomo Pharmaceuticals"), the Company's collaborator in the development of BDNF in Japan, began a Phase I safety assessment of BDNF delivered subcutaneously to normal volunteers. Sumitomo Pharmaceuticals is initially developing BDNF to treat ALS.</w:t>
      </w:r>
    </w:p>
    <w:p>
      <w:pPr>
        <w:spacing w:after="0" w:line="174"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Amgen-Regeneron Partners' clinical development of NT-3 is currently focused on enteric neuropathies (constipating conditions). The enteric nervous system is a complex collection of nerves that control the function of the gastrointestinal system, including</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1" w:right="1440" w:bottom="1440" w:gutter="0" w:footer="0" w:header="0"/>
        </w:sectPr>
      </w:pPr>
    </w:p>
    <w:bookmarkStart w:id="11" w:name="page12"/>
    <w:bookmarkEnd w:id="11"/>
    <w:p>
      <w:pPr>
        <w:ind w:right="3119"/>
        <w:spacing w:after="0"/>
        <w:rPr>
          <w:sz w:val="20"/>
          <w:szCs w:val="20"/>
          <w:color w:val="auto"/>
        </w:rPr>
      </w:pPr>
      <w:r>
        <w:rPr>
          <w:rFonts w:ascii="Courier New" w:cs="Courier New" w:eastAsia="Courier New" w:hAnsi="Courier New"/>
          <w:sz w:val="15"/>
          <w:szCs w:val="15"/>
          <w:color w:val="auto"/>
        </w:rPr>
        <w:t>gastrointestinal motility. Regeneron, on behalf of Amgen-Regeneron Partners, plans to commence by mid-1998, the first of a series of small clinical studies of NT-3 in enteric neuropathies. The initial study includes patients suffering from severe idiopathic constipation. Later studies may be in patients who suffer from constipation associated with Parkinson's disease, spinal cord injury, use of opiate pain-killers, and other conditions.</w:t>
      </w:r>
    </w:p>
    <w:p>
      <w:pPr>
        <w:spacing w:after="0" w:line="175"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No assurance can be given that extended administration of BDNF or NT-3 will be safe or effective. The treatment of ALS has been shown, in a number of clinical settings using a variety of treatment modalities (including Amgen-Regeneron Partners' earlier clinical studies), to present significant difficulties. The design of an ALS clinical study presents special difficulties and risks, as do the facts that ALS is a progressive disease that afflicts individual patients differently and other ALS treatments are approved or have been or are currently being tested, creating the possibility that patients in any BDNF study may also receive other therapeutics during all or part of the BDNF trial. The treatment of various constipating conditions may present additional clinical trial risks in light of the complex and not wholly understood mechanisms of action that lead to the conditions, the concurrent use of other drugs to treat the underlying illnesses as well as the gastrointestinal condition, the potential difficulty of designing and achieving significant</w:t>
      </w:r>
    </w:p>
    <w:p>
      <w:pPr>
        <w:spacing w:after="0" w:line="16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clinical end points, and other factors. No assurance can be given that these or any other studies of BDNF or NT-3 will be successful or that BDNF or NT-3 will be commercialized.</w:t>
      </w:r>
    </w:p>
    <w:p>
      <w:pPr>
        <w:spacing w:after="0" w:line="17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Substantial risk is inherent in the research, development, and commercialization of drugs. In addition, in each of the areas of the Company's independent and collaborative activities, other companies and entities are actively pursuing competitive paths toward similar objectives. The results of the Company's and its collaborators' past activities in connection with the research and development of AXOKINE, cytokine traps, angiopoietins, abnormal bone growth, muscle atrophy, small molecules, BDNF, and NT-3 do not necessarily predict the results or success of current or future activities including, but not limited to, any additional preclinical or clinical studies. The Company cannot predict whether, when, or under what conditions any of its research or product candidates, including without limitation AXOKINE, BDNF, or NT-3, will be shown to be safe or effective to treat any human condition or be approved for marketing by any regulatory agency. The delay or failure of current or future studies to demonstrate the safety or efficacy of the Company's product candidates to treat human conditions or to be approved for marketing could have a material adverse impact on the Company.</w:t>
      </w:r>
    </w:p>
    <w:p>
      <w:pPr>
        <w:spacing w:after="0" w:line="183" w:lineRule="exact"/>
        <w:rPr>
          <w:sz w:val="20"/>
          <w:szCs w:val="20"/>
          <w:color w:val="auto"/>
        </w:rPr>
      </w:pPr>
    </w:p>
    <w:p>
      <w:pPr>
        <w:ind w:right="3119" w:firstLine="799"/>
        <w:spacing w:after="0" w:line="260" w:lineRule="auto"/>
        <w:rPr>
          <w:sz w:val="20"/>
          <w:szCs w:val="20"/>
          <w:color w:val="auto"/>
        </w:rPr>
      </w:pPr>
      <w:r>
        <w:rPr>
          <w:rFonts w:ascii="Courier New" w:cs="Courier New" w:eastAsia="Courier New" w:hAnsi="Courier New"/>
          <w:sz w:val="14"/>
          <w:szCs w:val="14"/>
          <w:color w:val="auto"/>
        </w:rPr>
        <w:t>To date, Regeneron has not received any revenues from the commercial sale of products and may never receive such revenues. Before such revenues can be realized, the Company (or its collaborators) must overcome a number of hurdles which include successfully completing its research and development efforts and obtaining regulatory approval from the FDA or regulatory authorities in other countries. In addition, the biotechnology and pharmaceutical industries are rapidly evolving and highly competitive, and new developments may render the Company's products and technologies noncompetitive and obsolete.</w:t>
      </w:r>
    </w:p>
    <w:p>
      <w:pPr>
        <w:spacing w:after="0" w:line="161"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From inception on January 8, 1988 through March 31, 1998, Regeneron had a cumulative loss of $172.4 million. In the absence of revenues from commercial product sales or other sources (the amount, timing, nature, or source of which cannot be predicted), the Company's losses will continue as the Company conducts its research and development activities. The Company's activities may expand over time and may require additional resources, and the Company's operating losses may be substantial over at least</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801" w:right="1440" w:bottom="1440" w:gutter="0" w:footer="0" w:header="0"/>
        </w:sectPr>
      </w:pPr>
    </w:p>
    <w:bookmarkStart w:id="12" w:name="page13"/>
    <w:bookmarkEnd w:id="12"/>
    <w:p>
      <w:pPr>
        <w:ind w:right="3219"/>
        <w:spacing w:after="0" w:line="264" w:lineRule="auto"/>
        <w:rPr>
          <w:sz w:val="20"/>
          <w:szCs w:val="20"/>
          <w:color w:val="auto"/>
        </w:rPr>
      </w:pPr>
      <w:r>
        <w:rPr>
          <w:rFonts w:ascii="Courier New" w:cs="Courier New" w:eastAsia="Courier New" w:hAnsi="Courier New"/>
          <w:sz w:val="14"/>
          <w:szCs w:val="14"/>
          <w:color w:val="auto"/>
        </w:rPr>
        <w:t>the next several years. The Company's losses may fluctuate from quarter to quarter and will depend, among other factors, on the timing of certain expenses and on the progress of the Company's research and development efforts.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ind w:right="3299" w:firstLine="799"/>
        <w:spacing w:after="0" w:line="261" w:lineRule="auto"/>
        <w:rPr>
          <w:sz w:val="20"/>
          <w:szCs w:val="20"/>
          <w:color w:val="auto"/>
        </w:rPr>
      </w:pPr>
      <w:r>
        <w:rPr>
          <w:rFonts w:ascii="Courier New" w:cs="Courier New" w:eastAsia="Courier New" w:hAnsi="Courier New"/>
          <w:sz w:val="14"/>
          <w:szCs w:val="14"/>
          <w:color w:val="auto"/>
        </w:rPr>
        <w:t>Three months ended March 31,1998 and 1997. The Company's total revenue increased to $8.3 million for the first quarter of 1998 from $6.2 million for the same period in 1997. Contract research and development revenue increased to $4.6 million for the first quarter of 1998 from $4.2 million for the same period in 1997, as higher revenue related to the P&amp;G Agreement more</w:t>
      </w:r>
    </w:p>
    <w:p>
      <w:pPr>
        <w:spacing w:after="0" w:line="162"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than offset a decrease in revenue from Amgen-Regeneron Partners and Sumitomo Pharmaceuticals. Contract manufacturing revenue related to the long-term manufacturing agreement (the "Merck Agreement") with Merck &amp; Co., Inc. ("Merck") increased to $1.9 million for the first quarter of 1998 compared to $0.7 million for the same period in 1997 as a result of increased activity in preparation for manufacturing a product for Merck at the Company's Rensselaer facility. Investment income in the first quarter of 1998 increased to $1.8 million from $1.3 million for the same period in 1997, due mainly to higher levels of interest-bearing investments resulting primarily from the proceeds of a private placement of equity securities with Procter &amp; Gamble in June 1997.</w:t>
      </w:r>
    </w:p>
    <w:p>
      <w:pPr>
        <w:spacing w:after="0" w:line="166"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The Company's total operating expenses were $12.1 million in the first quarters of both 1998 and 1997. Research and development expenses increased to $8.2 million in the first quarter of 1998 from $7.1 million for the same period in 1997, primarily as a result of additional employees and increased activity in the Company's preclinical and clinical research programs. Loss in Amgen-Regeneron Partners decreased to $0.7 million in the first quarter of 1998 from $1.7 million for the same period in 1997, as the level of clinical trial activity declined. Research and development expenses (including loss in Amgen-Regeneron Partners) were approximately 73% of total operating expenses in the first quarter of 1998, compared to 72% for the same period in 1997.</w:t>
      </w:r>
    </w:p>
    <w:p>
      <w:pPr>
        <w:spacing w:after="0" w:line="178" w:lineRule="exact"/>
        <w:rPr>
          <w:sz w:val="20"/>
          <w:szCs w:val="20"/>
          <w:color w:val="auto"/>
        </w:rPr>
      </w:pPr>
    </w:p>
    <w:p>
      <w:pPr>
        <w:ind w:right="3219" w:firstLine="799"/>
        <w:spacing w:after="0" w:line="259" w:lineRule="auto"/>
        <w:rPr>
          <w:sz w:val="20"/>
          <w:szCs w:val="20"/>
          <w:color w:val="auto"/>
        </w:rPr>
      </w:pPr>
      <w:r>
        <w:rPr>
          <w:rFonts w:ascii="Courier New" w:cs="Courier New" w:eastAsia="Courier New" w:hAnsi="Courier New"/>
          <w:sz w:val="14"/>
          <w:szCs w:val="14"/>
          <w:color w:val="auto"/>
        </w:rPr>
        <w:t>General and administrative expenses decreased slightly to $1.4 million in the first quarter 1998 from $1.5 million for the same period in 1997. Depreciation and amortization expense decreased to $0.9 million in the first quarter of 1998 from $1.2 million in the first quarter of 1997, as certain laboratory equipment became fully depreciated. Contract manufacturing expenses, which are direct expenses related to the Merck Agreement and are reimbursed by Merck, increased to $0.9 million in the first quarter of 1998 from $0.5 million in the same period of 1997, primarily from increased manufacturing support by Company personnel. Interest expense decreased to $0.1 million from $0.2 million in the first quarters of 1998 and 1997, respectively, as the amount of outstanding obligations in connection with capital leases declined.</w:t>
      </w:r>
    </w:p>
    <w:p>
      <w:pPr>
        <w:spacing w:after="0" w:line="165" w:lineRule="exact"/>
        <w:rPr>
          <w:sz w:val="20"/>
          <w:szCs w:val="20"/>
          <w:color w:val="auto"/>
        </w:rPr>
      </w:pPr>
    </w:p>
    <w:p>
      <w:pPr>
        <w:jc w:val="both"/>
        <w:ind w:right="3219" w:firstLine="799"/>
        <w:spacing w:after="0" w:line="264" w:lineRule="auto"/>
        <w:rPr>
          <w:sz w:val="20"/>
          <w:szCs w:val="20"/>
          <w:color w:val="auto"/>
        </w:rPr>
      </w:pPr>
      <w:r>
        <w:rPr>
          <w:rFonts w:ascii="Courier New" w:cs="Courier New" w:eastAsia="Courier New" w:hAnsi="Courier New"/>
          <w:sz w:val="14"/>
          <w:szCs w:val="14"/>
          <w:color w:val="auto"/>
        </w:rPr>
        <w:t>The Company's net loss for the first quarter of 1998 was $3.8 million, or $0.12 per share (basic and diluted), compared to a net loss of $5.9 million, or $0.23 per share (basic and diluted), for the same period in 1997.</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Since its inception in 1988, the Company has financed its operations primarily through private placements and public offerings of its equity securities, revenue earned under the several agreements between the Company and each of Amgen, Sumitomo</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1" w:right="1440" w:bottom="1440" w:gutter="0" w:footer="0" w:header="0"/>
        </w:sectPr>
      </w:pPr>
    </w:p>
    <w:bookmarkStart w:id="13" w:name="page14"/>
    <w:bookmarkEnd w:id="13"/>
    <w:p>
      <w:pPr>
        <w:ind w:right="3399"/>
        <w:spacing w:after="0" w:line="238" w:lineRule="auto"/>
        <w:rPr>
          <w:sz w:val="20"/>
          <w:szCs w:val="20"/>
          <w:color w:val="auto"/>
        </w:rPr>
      </w:pPr>
      <w:r>
        <w:rPr>
          <w:rFonts w:ascii="Courier New" w:cs="Courier New" w:eastAsia="Courier New" w:hAnsi="Courier New"/>
          <w:sz w:val="15"/>
          <w:szCs w:val="15"/>
          <w:color w:val="auto"/>
        </w:rPr>
        <w:t>Chemical Company, Ltd., Sumitomo Pharmaceuticals, Merck, and Procter &amp; Gamble and investment income.</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In May 1997, the Company and Procter &amp; Gamble entered into the P&amp;G</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Agreement. Procter &amp; Gamble agreed over the first five years of the P&amp;G Agreement to purchase up to $60.0 million in Regeneron equity (of which $42.9 was purchased in June 1997) and provide up to $94.7 million in support of Regeneron's research efforts related to the collaboration. During the second five years of the P&amp;G Agreement, the companies will share all research costs equally. Clinical testing and commercialization expenses for jointly developed products will be shared equally throughout the ten years of the collaboration. The companies expect jointly to develop and market worldwide any products resulting from the collaboration and share equally in profits. Either company may terminate the P&amp;G Agreement at the end of five years with at least one year prior notice or earlier in the event of a default (as defined in the P&amp;G Agreement). In September 1997, the Company and Procter &amp; Gamble expanded the P&amp;G Agreement to include AXOKINE and related molecules (delivered systemically), and agreed to develop AXOKINE initially to treat obesity associated with Type II diabetes. Procter &amp; Gamble agreed to reimburse the Company for certain research and development costs and pay as much as $15.0 million in additional funding, partly subject to achieving certain milestones related to AXOKINE. Of the $15.0 million, $5.0 million was paid in 1997 and an additional $5.0 million is expected in 1998.</w:t>
      </w:r>
    </w:p>
    <w:p>
      <w:pPr>
        <w:spacing w:after="0" w:line="185"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In connection with the Company's agreement to collaborate with Sumitomo Pharmaceuticals in the research and development of BDNF in Japan, the Company continues to be reimbursed in connection with supplying Sumitomo Pharmaceuticals with BDNF for preclinical and clinical use. The Company expects to receive a $5.0 million milestone payment during 1998 in connection with the start of Sumitomo's Phase I clinical study of BDNF.</w:t>
      </w:r>
    </w:p>
    <w:p>
      <w:pPr>
        <w:spacing w:after="0" w:line="17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The Company's activities relating to BDNF and NT-3, as agreed upon by Amgen and Regeneron, are being reimbursed by Amgen-Regeneron Partners, and the Company recognizes such reimbursement as revenue. The funding of Amgen-Regeneron Partners is through capital contributions from Amgen and Regeneron, who must make equal payments in order to maintain equal ownership and equal sharing of any profits or losses from the partnership. The Company has made capital contributions totaling approximately $45.2 million to Amgen-Regeneron Partners from the partnership's inception in June 1993 through December 31, 1997. The Company expects that its capital contributions in 1998 will total $5.7 million for the full year, of which $2.4 million has been funded through May 1998. These contributions could increase or decrease, depending upon the cost of Amgen-Regeneron Partners' conducting additional BDNF and NT-3 studies and the outcomes of those and other ongoing studies.</w:t>
      </w:r>
    </w:p>
    <w:p>
      <w:pPr>
        <w:spacing w:after="0" w:line="180"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From its inception in January 1988 through March 31, 1998, the Company invested approximately $56.7 million in property, plant, and equipment. This includes $16.8 million to acquire and renovate the Rensselaer facility and $14.1 million of completed construction at the facility related to the Merck Agreement. In connection with the purchase and renovation of the Rensselaer facility, the Company obtained financing of $2.0 million from the New York State Urban Development Corporation, of which $1.7 million is outstanding. Under the terms of such financing, the Company is not permitted to declare or pay dividends to its stockholders.</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1" w:right="1440" w:bottom="1440" w:gutter="0" w:footer="0" w:header="0"/>
        </w:sectPr>
      </w:pPr>
    </w:p>
    <w:bookmarkStart w:id="14" w:name="page15"/>
    <w:bookmarkEnd w:id="14"/>
    <w:p>
      <w:pPr>
        <w:ind w:right="3119" w:firstLine="799"/>
        <w:spacing w:after="0"/>
        <w:rPr>
          <w:sz w:val="20"/>
          <w:szCs w:val="20"/>
          <w:color w:val="auto"/>
        </w:rPr>
      </w:pPr>
      <w:r>
        <w:rPr>
          <w:rFonts w:ascii="Courier New" w:cs="Courier New" w:eastAsia="Courier New" w:hAnsi="Courier New"/>
          <w:sz w:val="15"/>
          <w:szCs w:val="15"/>
          <w:color w:val="auto"/>
        </w:rPr>
        <w:t>The Company expects that expenses related to the filing, prosecution, defense, and enforcement of patent and other intellectual property claims will continue to be substantial as a result of patent filings and prosecutions in the United States and foreign countries. The Company is currently involved in interference proceedings in the Patent and Trademark Office between Regeneron's patent applications and patents relating to ciliary neurotrophic factor ("CNTF") issued to Synergen, Inc. ("Synergen"). Amgen acquired all outstanding shares of Synergen in 1994. In March 1998, the Company and Amgen entered into a covenant not to sue each other which, among other things, resolved their patent interference and related opposition and other patent proceedings relating to CNTF and AXOKINE. The Company also granted Amgen a license to use CNTF and second generation CNTFs other than AXOKINE to treat retinal degenerative conditions. Neither party will pay royalties or make other payments to the other party in consideration of this agreement.</w:t>
      </w:r>
    </w:p>
    <w:p>
      <w:pPr>
        <w:spacing w:after="0" w:line="181"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As of March 31, 1998, the Company had no established banking arrangements through which it could obtain short-term financing or a line of credit. Additional funds may be raised through, among other things, the issuance of additional securities, other financing arrangements, and future collaboration agreements. No assurance can be given that additional financing will be available or, if available, that it will be available on acceptable terms. In addition, the Company estimates that through mid-2002 it could receive additional payments from Procter &amp; Gamble in the form of research funding, milestones, and equity purchases of as much as $100 million or more.</w:t>
      </w:r>
    </w:p>
    <w:p>
      <w:pPr>
        <w:spacing w:after="0" w:line="177"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At March 31, 1998, the Company had $122.5 million in cash, cash equivalents, and marketable securities. The Company expects to incur substantial funding requirements for, among other things, research and development activities (including preclinical and clinical testing), validation of manufacturing facilities, and the acquisition of equipment. The Company expects to incur ongoing funding requirements for capital contributions to Amgen-Regeneron Partners to support the continued development and clinical trials of BDNF and NT-3. The amount needed to fund operations will also depend on other factors, including the status of competitive products, the success of the Company's research and development programs, the status of patents and other intellectual property rights developments, and the continuation, extent, and success of any collaborative research programs (including those with Amgen and Procter &amp; Gamble). The Company believes that its existing capital resources will enable it to meet operating needs for at least several years. No assurance can be given that there will be no change in projected revenues or expenses that would lead to the Company's capital being consumed significantly before such time.</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Factors That May Affect Future Operating Results</w:t>
      </w:r>
    </w:p>
    <w:p>
      <w:pPr>
        <w:spacing w:after="0" w:line="174" w:lineRule="exact"/>
        <w:rPr>
          <w:sz w:val="20"/>
          <w:szCs w:val="20"/>
          <w:color w:val="auto"/>
        </w:rPr>
      </w:pPr>
    </w:p>
    <w:p>
      <w:pPr>
        <w:ind w:right="3119" w:firstLine="799"/>
        <w:spacing w:after="0" w:line="260" w:lineRule="auto"/>
        <w:rPr>
          <w:sz w:val="20"/>
          <w:szCs w:val="20"/>
          <w:color w:val="auto"/>
        </w:rPr>
      </w:pPr>
      <w:r>
        <w:rPr>
          <w:rFonts w:ascii="Courier New" w:cs="Courier New" w:eastAsia="Courier New" w:hAnsi="Courier New"/>
          <w:sz w:val="14"/>
          <w:szCs w:val="14"/>
          <w:color w:val="auto"/>
        </w:rPr>
        <w:t>Regeneron cautions stockholders and potential investors that the following important factors, among others, in some cases have affected, and in the future could affect, Regeneron's actual results and could cause Regeneron's actual results to differ materially from those expressed in any forward-looking statements made by, or on behalf of, Regeneron. The statements under this caption are intended to serve as cautionary statements within the meaning of the</w:t>
      </w:r>
    </w:p>
    <w:p>
      <w:pPr>
        <w:spacing w:after="0" w:line="164" w:lineRule="exact"/>
        <w:rPr>
          <w:sz w:val="20"/>
          <w:szCs w:val="20"/>
          <w:color w:val="auto"/>
        </w:rPr>
      </w:pPr>
    </w:p>
    <w:p>
      <w:pPr>
        <w:ind w:right="3299"/>
        <w:spacing w:after="0" w:line="264" w:lineRule="auto"/>
        <w:rPr>
          <w:sz w:val="20"/>
          <w:szCs w:val="20"/>
          <w:color w:val="auto"/>
        </w:rPr>
      </w:pPr>
      <w:r>
        <w:rPr>
          <w:rFonts w:ascii="Courier New" w:cs="Courier New" w:eastAsia="Courier New" w:hAnsi="Courier New"/>
          <w:sz w:val="14"/>
          <w:szCs w:val="14"/>
          <w:color w:val="auto"/>
        </w:rPr>
        <w:t>Private Securities Litigation Reform Act of 1995. The following information is not intended to limit in any way the characterization of other statements or information under other captions as cautionary statements for such purpose:</w:t>
      </w:r>
    </w:p>
    <w:p>
      <w:pPr>
        <w:spacing w:after="0" w:line="15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1" w:right="1440" w:bottom="1440" w:gutter="0" w:footer="0" w:header="0"/>
        </w:sectPr>
      </w:pPr>
    </w:p>
    <w:bookmarkStart w:id="15" w:name="page16"/>
    <w:bookmarkEnd w:id="15"/>
    <w:p>
      <w:pPr>
        <w:ind w:left="445" w:right="4099" w:hanging="445"/>
        <w:spacing w:after="0" w:line="239" w:lineRule="auto"/>
        <w:tabs>
          <w:tab w:leader="none" w:pos="44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 difficulty, or failure of the Company's research and development programs to produce product candidates that are scientifically or commercially appropriate for further development by the Company or others.</w:t>
      </w:r>
    </w:p>
    <w:p>
      <w:pPr>
        <w:spacing w:after="0" w:line="176" w:lineRule="exact"/>
        <w:rPr>
          <w:rFonts w:ascii="Courier New" w:cs="Courier New" w:eastAsia="Courier New" w:hAnsi="Courier New"/>
          <w:sz w:val="15"/>
          <w:szCs w:val="15"/>
          <w:color w:val="auto"/>
        </w:rPr>
      </w:pPr>
    </w:p>
    <w:p>
      <w:pPr>
        <w:ind w:left="445" w:right="3759" w:hanging="445"/>
        <w:spacing w:after="0"/>
        <w:tabs>
          <w:tab w:leader="none" w:pos="44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 or termination of material collaborative or licensing agreements (including in particular, but not limited to, those with Procter &amp; Gamble and Amgen) and the resulting loss of research or other funding could have a material adverse effect on the Company and its operations. A change of control of one or more of the Company's material collaborators or licensees could also have a material adverse effect on the Company.</w:t>
      </w:r>
    </w:p>
    <w:p>
      <w:pPr>
        <w:spacing w:after="0" w:line="176" w:lineRule="exact"/>
        <w:rPr>
          <w:rFonts w:ascii="Courier New" w:cs="Courier New" w:eastAsia="Courier New" w:hAnsi="Courier New"/>
          <w:sz w:val="15"/>
          <w:szCs w:val="15"/>
          <w:color w:val="auto"/>
        </w:rPr>
      </w:pPr>
    </w:p>
    <w:p>
      <w:pPr>
        <w:ind w:left="445" w:right="3839" w:hanging="445"/>
        <w:spacing w:after="0" w:line="261" w:lineRule="auto"/>
        <w:tabs>
          <w:tab w:leader="none" w:pos="445"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Delay, difficulty, or failure in obtaining regulatory approval (including approval of its facilities for production) for the Company's products (including vaccine intermediate for Merck), including delays or difficulties in development because of insufficient proof of safety or efficacy.</w:t>
      </w:r>
    </w:p>
    <w:p>
      <w:pPr>
        <w:spacing w:after="0" w:line="161" w:lineRule="exact"/>
        <w:rPr>
          <w:rFonts w:ascii="Courier New" w:cs="Courier New" w:eastAsia="Courier New" w:hAnsi="Courier New"/>
          <w:sz w:val="14"/>
          <w:szCs w:val="14"/>
          <w:color w:val="auto"/>
        </w:rPr>
      </w:pPr>
    </w:p>
    <w:p>
      <w:pPr>
        <w:ind w:left="445" w:right="3919" w:hanging="445"/>
        <w:spacing w:after="0" w:line="264" w:lineRule="auto"/>
        <w:tabs>
          <w:tab w:leader="none" w:pos="445"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Increased and irregular costs of development, manufacture, regulatory approval, sales, and marketing associated with the introduction of products in the late stage of development.</w:t>
      </w:r>
    </w:p>
    <w:p>
      <w:pPr>
        <w:spacing w:after="0" w:line="159" w:lineRule="exact"/>
        <w:rPr>
          <w:rFonts w:ascii="Courier New" w:cs="Courier New" w:eastAsia="Courier New" w:hAnsi="Courier New"/>
          <w:sz w:val="14"/>
          <w:szCs w:val="14"/>
          <w:color w:val="auto"/>
        </w:rPr>
      </w:pPr>
    </w:p>
    <w:p>
      <w:pPr>
        <w:ind w:left="445" w:right="3919" w:hanging="445"/>
        <w:spacing w:after="0" w:line="239" w:lineRule="auto"/>
        <w:tabs>
          <w:tab w:leader="none" w:pos="44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Competitive or market factors that may cause use of the Company's products to be limited or otherwise fail to achieve broad acceptance.</w:t>
      </w:r>
    </w:p>
    <w:p>
      <w:pPr>
        <w:spacing w:after="0" w:line="175" w:lineRule="exact"/>
        <w:rPr>
          <w:rFonts w:ascii="Courier New" w:cs="Courier New" w:eastAsia="Courier New" w:hAnsi="Courier New"/>
          <w:sz w:val="15"/>
          <w:szCs w:val="15"/>
          <w:color w:val="auto"/>
        </w:rPr>
      </w:pPr>
    </w:p>
    <w:p>
      <w:pPr>
        <w:ind w:left="445" w:right="4019" w:hanging="445"/>
        <w:spacing w:after="0" w:line="239" w:lineRule="auto"/>
        <w:tabs>
          <w:tab w:leader="none" w:pos="44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obtain, maintain, and prosecute intellectual property rights, and the cost of acquiring in-process technology and other intellectual property rights, either by license, collaboration, or purchase of another entity.</w:t>
      </w:r>
    </w:p>
    <w:p>
      <w:pPr>
        <w:spacing w:after="0" w:line="176" w:lineRule="exact"/>
        <w:rPr>
          <w:rFonts w:ascii="Courier New" w:cs="Courier New" w:eastAsia="Courier New" w:hAnsi="Courier New"/>
          <w:sz w:val="15"/>
          <w:szCs w:val="15"/>
          <w:color w:val="auto"/>
        </w:rPr>
      </w:pPr>
    </w:p>
    <w:p>
      <w:pPr>
        <w:ind w:left="445" w:right="3839" w:hanging="445"/>
        <w:spacing w:after="0"/>
        <w:tabs>
          <w:tab w:leader="none" w:pos="44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or high costs of obtaining adequate financing to meet the Company's obligations under its collaboration and licensing agreements or to fund 50 percent of the cost of developing product candidates in order to retain 50 percent of the commercialization rights.</w:t>
      </w:r>
    </w:p>
    <w:p>
      <w:pPr>
        <w:spacing w:after="0" w:line="174" w:lineRule="exact"/>
        <w:rPr>
          <w:rFonts w:ascii="Courier New" w:cs="Courier New" w:eastAsia="Courier New" w:hAnsi="Courier New"/>
          <w:sz w:val="15"/>
          <w:szCs w:val="15"/>
          <w:color w:val="auto"/>
        </w:rPr>
      </w:pPr>
    </w:p>
    <w:p>
      <w:pPr>
        <w:ind w:left="445" w:right="4379" w:hanging="445"/>
        <w:spacing w:after="0"/>
        <w:tabs>
          <w:tab w:leader="none" w:pos="44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and rate of growth of Regeneron's general and administrative expenses, and the impact of unusual or infrequent charges resulting from Regeneron's ongoing evaluation of its business strategies and organizational structure.</w:t>
      </w:r>
    </w:p>
    <w:p>
      <w:pPr>
        <w:spacing w:after="0" w:line="345" w:lineRule="exact"/>
        <w:rPr>
          <w:rFonts w:ascii="Courier New" w:cs="Courier New" w:eastAsia="Courier New" w:hAnsi="Courier New"/>
          <w:sz w:val="15"/>
          <w:szCs w:val="15"/>
          <w:color w:val="auto"/>
        </w:rPr>
      </w:pPr>
    </w:p>
    <w:p>
      <w:pPr>
        <w:ind w:left="445" w:right="3759" w:hanging="445"/>
        <w:spacing w:after="0" w:line="261" w:lineRule="auto"/>
        <w:tabs>
          <w:tab w:leader="none" w:pos="445"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of corporate partners to develop or commercialize successfully the Company's products or to retain and expand the markets served by the commercial collaborations; conflicts of interest, priorities, and commercial strategies which may arise between the Company and such corporate partners.</w:t>
      </w:r>
    </w:p>
    <w:p>
      <w:pPr>
        <w:spacing w:after="0" w:line="161" w:lineRule="exact"/>
        <w:rPr>
          <w:rFonts w:ascii="Courier New" w:cs="Courier New" w:eastAsia="Courier New" w:hAnsi="Courier New"/>
          <w:sz w:val="14"/>
          <w:szCs w:val="14"/>
          <w:color w:val="auto"/>
        </w:rPr>
      </w:pPr>
    </w:p>
    <w:p>
      <w:pPr>
        <w:ind w:left="445" w:right="3839" w:hanging="445"/>
        <w:spacing w:after="0"/>
        <w:tabs>
          <w:tab w:leader="none" w:pos="44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Delays or difficulties in developing and acquiring production technology and technical and managerial personnel to manufacture novel biotechnology products in commercial quantities at reasonable costs and in compliance with applicable quality assurance and environmental regulations and governmental permitting requirements.</w:t>
      </w:r>
    </w:p>
    <w:p>
      <w:pPr>
        <w:spacing w:after="0" w:line="175" w:lineRule="exact"/>
        <w:rPr>
          <w:rFonts w:ascii="Courier New" w:cs="Courier New" w:eastAsia="Courier New" w:hAnsi="Courier New"/>
          <w:sz w:val="15"/>
          <w:szCs w:val="15"/>
          <w:color w:val="auto"/>
        </w:rPr>
      </w:pPr>
    </w:p>
    <w:p>
      <w:pPr>
        <w:ind w:left="445" w:right="4019" w:hanging="445"/>
        <w:spacing w:after="0" w:line="238" w:lineRule="auto"/>
        <w:tabs>
          <w:tab w:leader="none" w:pos="44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obtaining key raw materials and supplies for the manufacture of the Company's product candidates.</w:t>
      </w:r>
    </w:p>
    <w:p>
      <w:pPr>
        <w:spacing w:after="0" w:line="172" w:lineRule="exact"/>
        <w:rPr>
          <w:sz w:val="20"/>
          <w:szCs w:val="20"/>
          <w:color w:val="auto"/>
        </w:rPr>
      </w:pPr>
    </w:p>
    <w:p>
      <w:pPr>
        <w:ind w:left="2925"/>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784"/>
          </w:cols>
          <w:pgMar w:left="675" w:top="801" w:right="1440" w:bottom="1440" w:gutter="0" w:footer="0" w:header="0"/>
        </w:sectPr>
      </w:pPr>
    </w:p>
    <w:bookmarkStart w:id="16" w:name="page17"/>
    <w:bookmarkEnd w:id="16"/>
    <w:p>
      <w:pPr>
        <w:ind w:left="880" w:right="3759" w:hanging="445"/>
        <w:spacing w:after="0"/>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costs and other effects of legal and administrative cases and proceedings (whether civil, such as product- or employment-related, or environmental, or criminal); settlements and investigations; developments or assertions by or against Regeneron relating to intellectual property rights and licenses; the issuance and use of patents and proprietary technology by Regeneron and its competitors, including the possible negative effect on the Company's ability to develop, manufacture, and sell its products in circumstances where it is unable to obtain licenses to patents which may be required for such products.</w:t>
      </w:r>
    </w:p>
    <w:p>
      <w:pPr>
        <w:spacing w:after="0" w:line="178" w:lineRule="exact"/>
        <w:rPr>
          <w:rFonts w:ascii="Courier New" w:cs="Courier New" w:eastAsia="Courier New" w:hAnsi="Courier New"/>
          <w:sz w:val="15"/>
          <w:szCs w:val="15"/>
          <w:color w:val="auto"/>
        </w:rPr>
      </w:pPr>
    </w:p>
    <w:p>
      <w:pPr>
        <w:ind w:left="880" w:right="3759" w:hanging="445"/>
        <w:spacing w:after="0"/>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Underutilization of the Company's existing or new manufacturing facilities or of any facility expansions, resulting in inefficiencies and higher costs; start-up costs, inefficiencies, delays, and increased depreciation costs in connection with the start of production in new plants and expansions.</w:t>
      </w:r>
    </w:p>
    <w:p>
      <w:pPr>
        <w:spacing w:after="0" w:line="175" w:lineRule="exact"/>
        <w:rPr>
          <w:rFonts w:ascii="Courier New" w:cs="Courier New" w:eastAsia="Courier New" w:hAnsi="Courier New"/>
          <w:sz w:val="15"/>
          <w:szCs w:val="15"/>
          <w:color w:val="auto"/>
        </w:rPr>
      </w:pPr>
    </w:p>
    <w:p>
      <w:pPr>
        <w:ind w:left="880" w:right="3919" w:hanging="445"/>
        <w:spacing w:after="0" w:line="239" w:lineRule="auto"/>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Health care reform, including reductions or changes in reimbursement available for prescription medications or other reforms.</w:t>
      </w:r>
    </w:p>
    <w:p>
      <w:pPr>
        <w:spacing w:after="0" w:line="175" w:lineRule="exact"/>
        <w:rPr>
          <w:rFonts w:ascii="Courier New" w:cs="Courier New" w:eastAsia="Courier New" w:hAnsi="Courier New"/>
          <w:sz w:val="15"/>
          <w:szCs w:val="15"/>
          <w:color w:val="auto"/>
        </w:rPr>
      </w:pPr>
    </w:p>
    <w:p>
      <w:pPr>
        <w:ind w:left="880" w:right="3759" w:hanging="445"/>
        <w:spacing w:after="0" w:line="259" w:lineRule="auto"/>
        <w:tabs>
          <w:tab w:leader="none" w:pos="8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ability to attract and retain key personnel. As Regeneron's scientific efforts lead to potentially promising new directions, both outside of recombinant protein therapies (into orally active, small molecule pharmaceuticals) and outside of treatments for neurological and neurodegenerative conditions (into, for example, potential programs in obesity, diabetes, cancer, inflammation, muscle disease, bone growth disorders, and angiogenesis), the Company will require additional internal expertise or external collaborations in areas in which it currently does not have substantial resources and personnel.</w:t>
      </w:r>
    </w:p>
    <w:p>
      <w:pPr>
        <w:spacing w:after="0" w:line="336" w:lineRule="exact"/>
        <w:rPr>
          <w:sz w:val="20"/>
          <w:szCs w:val="20"/>
          <w:color w:val="auto"/>
        </w:rPr>
      </w:pPr>
    </w:p>
    <w:p>
      <w:pPr>
        <w:ind w:right="3839" w:firstLine="799"/>
        <w:spacing w:after="0"/>
        <w:rPr>
          <w:sz w:val="20"/>
          <w:szCs w:val="20"/>
          <w:color w:val="auto"/>
        </w:rPr>
      </w:pPr>
      <w:r>
        <w:rPr>
          <w:rFonts w:ascii="Courier New" w:cs="Courier New" w:eastAsia="Courier New" w:hAnsi="Courier New"/>
          <w:sz w:val="15"/>
          <w:szCs w:val="15"/>
          <w:color w:val="auto"/>
        </w:rPr>
        <w:t>The Company is evaluating the need to modify its computer systems and software to properly handle information and transactions relating to the year 2000. Presently the Company believes that with modifications to some existing software, the year 2000 issue can be mitigated. The Company plans to complete the year 2000 project not later than December 31, 1998, and does not expect the cost of such modifications to be material.</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1" w:right="1440" w:bottom="1440" w:gutter="0" w:footer="0" w:header="0"/>
        </w:sectPr>
      </w:pPr>
    </w:p>
    <w:bookmarkStart w:id="17" w:name="page18"/>
    <w:bookmarkEnd w:id="17"/>
    <w:p>
      <w:pPr>
        <w:ind w:left="9"/>
        <w:spacing w:after="0"/>
        <w:rPr>
          <w:sz w:val="20"/>
          <w:szCs w:val="20"/>
          <w:color w:val="auto"/>
        </w:rPr>
      </w:pPr>
      <w:r>
        <w:rPr>
          <w:rFonts w:ascii="Courier New" w:cs="Courier New" w:eastAsia="Courier New" w:hAnsi="Courier New"/>
          <w:sz w:val="15"/>
          <w:szCs w:val="15"/>
          <w:color w:val="auto"/>
        </w:rPr>
        <w:t>PART II. OTHER INFORMATION</w:t>
      </w:r>
    </w:p>
    <w:p>
      <w:pPr>
        <w:spacing w:after="0" w:line="342" w:lineRule="exact"/>
        <w:rPr>
          <w:sz w:val="20"/>
          <w:szCs w:val="20"/>
          <w:color w:val="auto"/>
        </w:rPr>
      </w:pPr>
    </w:p>
    <w:p>
      <w:pPr>
        <w:ind w:left="9"/>
        <w:spacing w:after="0"/>
        <w:tabs>
          <w:tab w:leader="none" w:pos="769"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342" w:lineRule="exact"/>
        <w:rPr>
          <w:sz w:val="20"/>
          <w:szCs w:val="20"/>
          <w:color w:val="auto"/>
        </w:rPr>
      </w:pPr>
    </w:p>
    <w:p>
      <w:pPr>
        <w:ind w:left="789" w:hanging="789"/>
        <w:spacing w:after="0"/>
        <w:tabs>
          <w:tab w:leader="none" w:pos="78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1" w:lineRule="exact"/>
        <w:rPr>
          <w:sz w:val="20"/>
          <w:szCs w:val="20"/>
          <w:color w:val="auto"/>
        </w:rPr>
      </w:pPr>
    </w:p>
    <w:p>
      <w:pPr>
        <w:ind w:left="1589"/>
        <w:spacing w:after="0"/>
        <w:tabs>
          <w:tab w:leader="none" w:pos="2369" w:val="left"/>
        </w:tabs>
        <w:rPr>
          <w:sz w:val="20"/>
          <w:szCs w:val="20"/>
          <w:color w:val="auto"/>
        </w:rPr>
      </w:pP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5"/>
          <w:szCs w:val="15"/>
          <w:color w:val="auto"/>
        </w:rPr>
        <w:t>Financial Data Schedule</w:t>
      </w:r>
    </w:p>
    <w:p>
      <w:pPr>
        <w:spacing w:after="0" w:line="342" w:lineRule="exact"/>
        <w:rPr>
          <w:sz w:val="20"/>
          <w:szCs w:val="20"/>
          <w:color w:val="auto"/>
        </w:rPr>
      </w:pPr>
    </w:p>
    <w:p>
      <w:pPr>
        <w:ind w:left="789" w:hanging="789"/>
        <w:spacing w:after="0"/>
        <w:tabs>
          <w:tab w:leader="none" w:pos="78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w:t>
      </w:r>
    </w:p>
    <w:p>
      <w:pPr>
        <w:spacing w:after="0" w:line="174" w:lineRule="exact"/>
        <w:rPr>
          <w:sz w:val="20"/>
          <w:szCs w:val="20"/>
          <w:color w:val="auto"/>
        </w:rPr>
      </w:pPr>
    </w:p>
    <w:p>
      <w:pPr>
        <w:ind w:left="9" w:right="4099" w:firstLine="1597"/>
        <w:spacing w:after="0" w:line="238" w:lineRule="auto"/>
        <w:rPr>
          <w:sz w:val="20"/>
          <w:szCs w:val="20"/>
          <w:color w:val="auto"/>
        </w:rPr>
      </w:pPr>
      <w:r>
        <w:rPr>
          <w:rFonts w:ascii="Courier New" w:cs="Courier New" w:eastAsia="Courier New" w:hAnsi="Courier New"/>
          <w:sz w:val="15"/>
          <w:szCs w:val="15"/>
          <w:color w:val="auto"/>
        </w:rPr>
        <w:t>No reports on Form 8-K were filed by the registrant during the quarter ended March 31, 1998.</w:t>
      </w:r>
    </w:p>
    <w:p>
      <w:pPr>
        <w:spacing w:after="0" w:line="34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8"/>
          </w:cols>
          <w:pgMar w:left="231" w:top="628" w:right="1440" w:bottom="1440" w:gutter="0" w:footer="0" w:header="0"/>
        </w:sectPr>
      </w:pPr>
    </w:p>
    <w:bookmarkStart w:id="18" w:name="page19"/>
    <w:bookmarkEnd w:id="18"/>
    <w:p>
      <w:pPr>
        <w:ind w:left="3000"/>
        <w:spacing w:after="0"/>
        <w:rPr>
          <w:sz w:val="20"/>
          <w:szCs w:val="20"/>
          <w:color w:val="auto"/>
        </w:rPr>
      </w:pPr>
      <w:r>
        <w:rPr>
          <w:rFonts w:ascii="Courier New" w:cs="Courier New" w:eastAsia="Courier New" w:hAnsi="Courier New"/>
          <w:sz w:val="15"/>
          <w:szCs w:val="15"/>
          <w:color w:val="auto"/>
        </w:rPr>
        <w:t>SIGNATURE</w:t>
      </w:r>
    </w:p>
    <w:p>
      <w:pPr>
        <w:spacing w:after="0" w:line="345" w:lineRule="exact"/>
        <w:rPr>
          <w:sz w:val="20"/>
          <w:szCs w:val="20"/>
          <w:color w:val="auto"/>
        </w:rPr>
      </w:pPr>
    </w:p>
    <w:p>
      <w:pPr>
        <w:jc w:val="both"/>
        <w:ind w:right="3839"/>
        <w:spacing w:after="0" w:line="239"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40" w:type="dxa"/>
            <w:vAlign w:val="bottom"/>
          </w:tcPr>
          <w:p>
            <w:pPr>
              <w:ind w:left="100"/>
              <w:spacing w:after="0"/>
              <w:rPr>
                <w:sz w:val="20"/>
                <w:szCs w:val="20"/>
                <w:color w:val="auto"/>
              </w:rPr>
            </w:pPr>
            <w:r>
              <w:rPr>
                <w:rFonts w:ascii="Courier New" w:cs="Courier New" w:eastAsia="Courier New" w:hAnsi="Courier New"/>
                <w:sz w:val="15"/>
                <w:szCs w:val="15"/>
                <w:color w:val="auto"/>
                <w:w w:val="97"/>
              </w:rPr>
              <w:t>Regeneron Pharmaceuticals, Inc.</w:t>
            </w:r>
          </w:p>
        </w:tc>
      </w:tr>
      <w:tr>
        <w:trPr>
          <w:trHeight w:val="512"/>
        </w:trPr>
        <w:tc>
          <w:tcPr>
            <w:tcW w:w="62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1760" w:type="dxa"/>
            <w:vAlign w:val="bottom"/>
          </w:tcPr>
          <w:p>
            <w:pPr>
              <w:ind w:left="160"/>
              <w:spacing w:after="0"/>
              <w:rPr>
                <w:sz w:val="20"/>
                <w:szCs w:val="20"/>
                <w:color w:val="auto"/>
              </w:rPr>
            </w:pPr>
            <w:r>
              <w:rPr>
                <w:rFonts w:ascii="Courier New" w:cs="Courier New" w:eastAsia="Courier New" w:hAnsi="Courier New"/>
                <w:sz w:val="15"/>
                <w:szCs w:val="15"/>
                <w:color w:val="auto"/>
              </w:rPr>
              <w:t>May 8, 1998</w:t>
            </w:r>
          </w:p>
        </w:tc>
        <w:tc>
          <w:tcPr>
            <w:tcW w:w="980" w:type="dxa"/>
            <w:vAlign w:val="bottom"/>
          </w:tcPr>
          <w:p>
            <w:pPr>
              <w:ind w:left="620"/>
              <w:spacing w:after="0"/>
              <w:rPr>
                <w:sz w:val="20"/>
                <w:szCs w:val="20"/>
                <w:color w:val="auto"/>
              </w:rPr>
            </w:pPr>
            <w:r>
              <w:rPr>
                <w:rFonts w:ascii="Courier New" w:cs="Courier New" w:eastAsia="Courier New" w:hAnsi="Courier New"/>
                <w:sz w:val="15"/>
                <w:szCs w:val="15"/>
                <w:color w:val="auto"/>
              </w:rPr>
              <w:t>By:</w:t>
            </w:r>
          </w:p>
        </w:tc>
        <w:tc>
          <w:tcPr>
            <w:tcW w:w="2840" w:type="dxa"/>
            <w:vAlign w:val="bottom"/>
          </w:tcPr>
          <w:p>
            <w:pPr>
              <w:ind w:left="540"/>
              <w:spacing w:after="0"/>
              <w:rPr>
                <w:sz w:val="20"/>
                <w:szCs w:val="20"/>
                <w:color w:val="auto"/>
              </w:rPr>
            </w:pPr>
            <w:r>
              <w:rPr>
                <w:rFonts w:ascii="Courier New" w:cs="Courier New" w:eastAsia="Courier New" w:hAnsi="Courier New"/>
                <w:sz w:val="15"/>
                <w:szCs w:val="15"/>
                <w:color w:val="auto"/>
              </w:rPr>
              <w:t>/s/ Murray A. Goldberg</w:t>
            </w:r>
          </w:p>
        </w:tc>
      </w:tr>
    </w:tbl>
    <w:p>
      <w:pPr>
        <w:spacing w:after="0" w:line="1" w:lineRule="exact"/>
        <w:rPr>
          <w:sz w:val="20"/>
          <w:szCs w:val="20"/>
          <w:color w:val="auto"/>
        </w:rPr>
      </w:pPr>
    </w:p>
    <w:p>
      <w:pPr>
        <w:ind w:left="440"/>
        <w:spacing w:after="0"/>
        <w:tabs>
          <w:tab w:leader="none" w:pos="32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Murray A. Goldberg</w:t>
      </w:r>
    </w:p>
    <w:p>
      <w:pPr>
        <w:spacing w:after="0" w:line="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Vice President, Finance &amp; Administration,</w:t>
      </w:r>
    </w:p>
    <w:p>
      <w:pPr>
        <w:spacing w:after="0" w:line="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Chief Financial Officer, and Treasurer</w:t>
      </w:r>
    </w:p>
    <w:p>
      <w:pPr>
        <w:spacing w:after="0" w:line="200" w:lineRule="exact"/>
        <w:rPr>
          <w:sz w:val="20"/>
          <w:szCs w:val="20"/>
          <w:color w:val="auto"/>
        </w:rPr>
      </w:pPr>
    </w:p>
    <w:p>
      <w:pPr>
        <w:spacing w:after="0" w:line="31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28"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w:t>
      </w:r>
    </w:p>
    <w:p>
      <w:pPr>
        <w:spacing w:after="0" w:line="34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3-MOS</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DEC-31-1998</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JAN-01-1998</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MAR-31-1998</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19,258</w:t>
      </w:r>
    </w:p>
    <w:p>
      <w:pPr>
        <w:spacing w:after="0" w:line="1"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5"/>
          <w:szCs w:val="15"/>
          <w:color w:val="auto"/>
        </w:rPr>
        <w:t>103,214</w:t>
      </w:r>
    </w:p>
    <w:p>
      <w:pPr>
        <w:spacing w:after="0" w:line="1"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5"/>
          <w:szCs w:val="15"/>
          <w:color w:val="auto"/>
        </w:rPr>
        <w:t>4,631</w:t>
      </w:r>
    </w:p>
    <w:p>
      <w:pPr>
        <w:spacing w:after="0" w:line="1"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90,906</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56,664</w:t>
      </w:r>
    </w:p>
    <w:p>
      <w:pPr>
        <w:spacing w:after="0" w:line="1"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24,464</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161,432</w:t>
      </w:r>
    </w:p>
    <w:p>
      <w:pPr>
        <w:spacing w:after="0" w:line="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7,471</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31</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135,405</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161,432</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8,250</w:t>
      </w:r>
    </w:p>
    <w:p>
      <w:pPr>
        <w:spacing w:after="0" w:line="1" w:lineRule="exact"/>
        <w:rPr>
          <w:sz w:val="20"/>
          <w:szCs w:val="20"/>
          <w:color w:val="auto"/>
        </w:rPr>
      </w:pPr>
    </w:p>
    <w:p>
      <w:pPr>
        <w:jc w:val="right"/>
        <w:ind w:right="7039"/>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jc w:val="right"/>
        <w:ind w:right="8019"/>
        <w:spacing w:after="0"/>
        <w:rPr>
          <w:sz w:val="20"/>
          <w:szCs w:val="20"/>
          <w:color w:val="auto"/>
        </w:rPr>
      </w:pPr>
      <w:r>
        <w:rPr>
          <w:rFonts w:ascii="Courier New" w:cs="Courier New" w:eastAsia="Courier New" w:hAnsi="Courier New"/>
          <w:sz w:val="15"/>
          <w:szCs w:val="15"/>
          <w:color w:val="auto"/>
        </w:rPr>
        <w:t>11,958</w:t>
      </w:r>
    </w:p>
    <w:p>
      <w:pPr>
        <w:spacing w:after="0" w:line="1" w:lineRule="exact"/>
        <w:rPr>
          <w:sz w:val="20"/>
          <w:szCs w:val="20"/>
          <w:color w:val="auto"/>
        </w:rPr>
      </w:pPr>
    </w:p>
    <w:p>
      <w:pPr>
        <w:jc w:val="right"/>
        <w:ind w:right="8019"/>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121</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(3,829)</w:t>
      </w:r>
    </w:p>
    <w:p>
      <w:pPr>
        <w:spacing w:after="0" w:line="1"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(3,829)</w:t>
      </w:r>
    </w:p>
    <w:p>
      <w:pPr>
        <w:spacing w:after="0" w:line="1"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(3,829)</w:t>
      </w:r>
    </w:p>
    <w:p>
      <w:pPr>
        <w:spacing w:after="0" w:line="1"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(0.12)</w:t>
      </w:r>
    </w:p>
    <w:p>
      <w:pPr>
        <w:spacing w:after="0" w:line="1"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(0.12)</w:t>
      </w:r>
    </w:p>
    <w:sectPr>
      <w:pgSz w:w="11900" w:h="16838" w:orient="portrait"/>
      <w:cols w:equalWidth="0" w:num="1">
        <w:col w:w="10139"/>
      </w:cols>
      <w:pgMar w:left="320" w:top="65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914"/>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4"/>
    </w:lvl>
  </w:abstractNum>
  <w:abstractNum w:abstractNumId="5">
    <w:nsid w:val="7545E146"/>
    <w:multiLevelType w:val="hybridMultilevel"/>
    <w:lvl w:ilvl="0">
      <w:lvlJc w:val="left"/>
      <w:lvlText w:val="%1."/>
      <w:numFmt w:val="decimal"/>
      <w:start w:val="5"/>
    </w:lvl>
  </w:abstractNum>
  <w:abstractNum w:abstractNumId="6">
    <w:nsid w:val="515F007C"/>
    <w:multiLevelType w:val="hybridMultilevel"/>
    <w:lvl w:ilvl="0">
      <w:lvlJc w:val="left"/>
      <w:lvlText w:val="o"/>
      <w:numFmt w:val="bullet"/>
      <w:start w:val="1"/>
    </w:lvl>
  </w:abstractNum>
  <w:abstractNum w:abstractNumId="7">
    <w:nsid w:val="5BD062C2"/>
    <w:multiLevelType w:val="hybridMultilevel"/>
    <w:lvl w:ilvl="0">
      <w:lvlJc w:val="left"/>
      <w:lvlText w:val="o"/>
      <w:numFmt w:val="bullet"/>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2019-12-19T22:58:10Z</dcterms:created>
  <dcterms:modified xsi:type="dcterms:W3CDTF">2019-12-19T22:58:10Z</dcterms:modified>
</cp:coreProperties>
</file>