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29, 2007 (October 24,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w:t>
      </w:r>
      <w:r>
        <w:rPr>
          <w:rFonts w:ascii="Arial" w:cs="Arial" w:eastAsia="Arial" w:hAnsi="Arial"/>
          <w:sz w:val="43"/>
          <w:szCs w:val="43"/>
          <w:b w:val="1"/>
          <w:bCs w:val="1"/>
          <w:u w:val="single" w:color="auto"/>
          <w:color w:val="auto"/>
        </w:rPr>
        <w:t>ON PHARMACEUTIC</w:t>
      </w:r>
      <w:r>
        <w:rPr>
          <w:rFonts w:ascii="Arial" w:cs="Arial" w:eastAsia="Arial" w:hAnsi="Arial"/>
          <w:sz w:val="43"/>
          <w:szCs w:val="43"/>
          <w:b w:val="1"/>
          <w:bCs w:val="1"/>
          <w:color w:val="auto"/>
        </w:rPr>
        <w:t>ALS, INC.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5"/>
          </w:tcPr>
          <w:p>
            <w:pPr>
              <w:jc w:val="center"/>
              <w:ind w:right="420"/>
              <w:spacing w:after="0"/>
              <w:rPr>
                <w:sz w:val="20"/>
                <w:szCs w:val="20"/>
                <w:color w:val="auto"/>
              </w:rPr>
            </w:pPr>
            <w:r>
              <w:rPr>
                <w:rFonts w:ascii="Arial" w:cs="Arial" w:eastAsia="Arial" w:hAnsi="Arial"/>
                <w:sz w:val="18"/>
                <w:szCs w:val="18"/>
                <w:color w:val="auto"/>
                <w:w w:val="91"/>
              </w:rPr>
              <w:t>(Exact Name of Registrant as Specified in Charter)</w:t>
            </w:r>
          </w:p>
        </w:tc>
        <w:tc>
          <w:tcPr>
            <w:tcW w:w="1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2980" w:type="dxa"/>
            <w:vAlign w:val="bottom"/>
          </w:tcPr>
          <w:p>
            <w:pPr>
              <w:jc w:val="center"/>
              <w:ind w:left="510"/>
              <w:spacing w:after="0"/>
              <w:rPr>
                <w:sz w:val="20"/>
                <w:szCs w:val="20"/>
                <w:color w:val="auto"/>
              </w:rPr>
            </w:pPr>
            <w:r>
              <w:rPr>
                <w:rFonts w:ascii="Arial" w:cs="Arial" w:eastAsia="Arial" w:hAnsi="Arial"/>
                <w:sz w:val="18"/>
                <w:szCs w:val="18"/>
                <w:b w:val="1"/>
                <w:bCs w:val="1"/>
                <w:color w:val="auto"/>
                <w:w w:val="95"/>
              </w:rPr>
              <w:t>New York</w:t>
            </w:r>
          </w:p>
        </w:tc>
        <w:tc>
          <w:tcPr>
            <w:tcW w:w="4500" w:type="dxa"/>
            <w:vAlign w:val="bottom"/>
            <w:gridSpan w:val="4"/>
          </w:tcPr>
          <w:p>
            <w:pPr>
              <w:jc w:val="center"/>
              <w:ind w:left="87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29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99"/>
              </w:rPr>
              <w:t>(State or other jurisdiction of</w:t>
            </w: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980" w:type="dxa"/>
            <w:vAlign w:val="bottom"/>
          </w:tcPr>
          <w:p>
            <w:pPr>
              <w:jc w:val="center"/>
              <w:ind w:left="530"/>
              <w:spacing w:after="0"/>
              <w:rPr>
                <w:sz w:val="20"/>
                <w:szCs w:val="20"/>
                <w:color w:val="auto"/>
              </w:rPr>
            </w:pPr>
            <w:r>
              <w:rPr>
                <w:rFonts w:ascii="Arial" w:cs="Arial" w:eastAsia="Arial" w:hAnsi="Arial"/>
                <w:sz w:val="18"/>
                <w:szCs w:val="18"/>
                <w:color w:val="auto"/>
                <w:w w:val="93"/>
              </w:rPr>
              <w:t>Incorporation)</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547"/>
        </w:trPr>
        <w:tc>
          <w:tcPr>
            <w:tcW w:w="2980" w:type="dxa"/>
            <w:vAlign w:val="bottom"/>
          </w:tcPr>
          <w:p>
            <w:pPr>
              <w:spacing w:after="0"/>
              <w:rPr>
                <w:sz w:val="24"/>
                <w:szCs w:val="24"/>
                <w:color w:val="auto"/>
              </w:rPr>
            </w:pPr>
          </w:p>
        </w:tc>
        <w:tc>
          <w:tcPr>
            <w:tcW w:w="5300" w:type="dxa"/>
            <w:vAlign w:val="bottom"/>
            <w:tcBorders>
              <w:bottom w:val="single" w:sz="8" w:color="auto"/>
            </w:tcBorders>
            <w:gridSpan w:val="7"/>
          </w:tcPr>
          <w:p>
            <w:pPr>
              <w:jc w:val="center"/>
              <w:ind w:left="7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60" w:type="dxa"/>
            <w:vAlign w:val="bottom"/>
            <w:tcBorders>
              <w:bottom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284"/>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547"/>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0"/>
              </w:rPr>
              <w:t>(914) 347-7000</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84"/>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(Registrant’s telephone number, including area code)</w:t>
            </w: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On October 24, 2007, Regeneron Pharmaceuticals, Inc. (the “Company”) entered into a First Amendment to Lease (the “Amendment”), amending an operating lease agreement, entered into on December 21, 2006, with BMR-Landmark at Eastview LLC for a new corporate headquarters and research and development complex to be constructed adjacent to the Company’s current facility in the Town of Greenburgh in Westchester County, New York. The Amendment will increase the laboratory and office space at the complex from approximately 221,000 to approximately 257,000 square feet. As amended, the lease includes approximately 27,000 square feet that the Company currently occupies and approximately 230,000 square feet to be located in new facilities.</w:t>
      </w:r>
    </w:p>
    <w:p>
      <w:pPr>
        <w:spacing w:after="0" w:line="50"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Copies of the Amendment referenced in this Item 1.01 will be filed with the Company’s Quarterly Report on Form 10-Q for the period ending September 30, 2007 and this description is subject in all respects to the actual terms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October 29, 2007</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sectPr>
      <w:pgSz w:w="11900" w:h="16838" w:orient="portrait"/>
      <w:cols w:equalWidth="0" w:num="1">
        <w:col w:w="10520"/>
      </w:cols>
      <w:pgMar w:left="240" w:top="96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2019-12-20T03:10:10Z</dcterms:created>
  <dcterms:modified xsi:type="dcterms:W3CDTF">2019-12-20T03:10:10Z</dcterms:modified>
</cp:coreProperties>
</file>