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08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086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BROWN MICHAEL 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16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8"/>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320" w:type="dxa"/>
            <w:vAlign w:val="bottom"/>
            <w:gridSpan w:val="6"/>
          </w:tcPr>
          <w:p>
            <w:pPr>
              <w:ind w:left="240"/>
              <w:spacing w:after="0"/>
              <w:rPr>
                <w:sz w:val="20"/>
                <w:szCs w:val="20"/>
                <w:color w:val="auto"/>
              </w:rPr>
            </w:pPr>
            <w:r>
              <w:rPr>
                <w:rFonts w:ascii="Arial" w:cs="Arial" w:eastAsia="Arial" w:hAnsi="Arial"/>
                <w:sz w:val="18"/>
                <w:szCs w:val="18"/>
                <w:color w:val="0000FF"/>
              </w:rPr>
              <w:t>01/02/2020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4"/>
          </w:tcPr>
          <w:p>
            <w:pPr>
              <w:spacing w:after="0"/>
              <w:rPr>
                <w:sz w:val="9"/>
                <w:szCs w:val="9"/>
                <w:color w:val="auto"/>
              </w:rPr>
            </w:pPr>
          </w:p>
        </w:tc>
        <w:tc>
          <w:tcPr>
            <w:tcW w:w="1940" w:type="dxa"/>
            <w:vAlign w:val="bottom"/>
            <w:tcBorders>
              <w:bottom w:val="single" w:sz="8" w:color="2C2C2C"/>
            </w:tcBorders>
            <w:gridSpan w:val="4"/>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20"/>
          </w:tcPr>
          <w:p>
            <w:pPr>
              <w:ind w:left="2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711"/>
              <w:spacing w:after="0"/>
              <w:rPr>
                <w:sz w:val="20"/>
                <w:szCs w:val="20"/>
                <w:color w:val="auto"/>
              </w:rPr>
            </w:pPr>
            <w:r>
              <w:rPr>
                <w:rFonts w:ascii="Arial" w:cs="Arial" w:eastAsia="Arial" w:hAnsi="Arial"/>
                <w:sz w:val="18"/>
                <w:szCs w:val="18"/>
                <w:color w:val="0000FF"/>
                <w:w w:val="88"/>
              </w:rPr>
              <w:t>01/02/2020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6"/>
              </w:rPr>
              <w:t>320</w:t>
            </w:r>
          </w:p>
        </w:tc>
        <w:tc>
          <w:tcPr>
            <w:tcW w:w="680" w:type="dxa"/>
            <w:vAlign w:val="bottom"/>
            <w:tcBorders>
              <w:bottom w:val="single" w:sz="8" w:color="2C2C2C"/>
            </w:tcBorders>
            <w:gridSpan w:val="2"/>
          </w:tcPr>
          <w:p>
            <w:pPr>
              <w:ind w:left="4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643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5,000</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0000FF"/>
              </w:rPr>
              <w:t>SLAT</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11,349</w:t>
            </w:r>
          </w:p>
        </w:tc>
        <w:tc>
          <w:tcPr>
            <w:tcW w:w="30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20"/>
          </w:tcPr>
          <w:p>
            <w:pPr>
              <w:ind w:left="4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374.12</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01/02/2020</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ind w:left="80"/>
              <w:spacing w:after="0"/>
              <w:rPr>
                <w:sz w:val="20"/>
                <w:szCs w:val="20"/>
                <w:color w:val="auto"/>
              </w:rPr>
            </w:pPr>
            <w:r>
              <w:rPr>
                <w:rFonts w:ascii="Arial" w:cs="Arial" w:eastAsia="Arial" w:hAnsi="Arial"/>
                <w:sz w:val="14"/>
                <w:szCs w:val="14"/>
                <w:color w:val="0000FF"/>
              </w:rPr>
              <w:t>A</w:t>
            </w:r>
          </w:p>
        </w:tc>
        <w:tc>
          <w:tcPr>
            <w:tcW w:w="580" w:type="dxa"/>
            <w:vAlign w:val="bottom"/>
          </w:tcPr>
          <w:p>
            <w:pPr>
              <w:ind w:left="180"/>
              <w:spacing w:after="0"/>
              <w:rPr>
                <w:sz w:val="20"/>
                <w:szCs w:val="20"/>
                <w:color w:val="auto"/>
              </w:rPr>
            </w:pPr>
            <w:r>
              <w:rPr>
                <w:rFonts w:ascii="Arial" w:cs="Arial" w:eastAsia="Arial" w:hAnsi="Arial"/>
                <w:sz w:val="14"/>
                <w:szCs w:val="14"/>
                <w:color w:val="0000FF"/>
              </w:rPr>
              <w:t>4,361</w:t>
            </w:r>
          </w:p>
        </w:tc>
        <w:tc>
          <w:tcPr>
            <w:tcW w:w="34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40"/>
              <w:spacing w:after="0"/>
              <w:rPr>
                <w:sz w:val="20"/>
                <w:szCs w:val="20"/>
                <w:color w:val="auto"/>
              </w:rPr>
            </w:pPr>
            <w:r>
              <w:rPr>
                <w:rFonts w:ascii="Arial" w:cs="Arial" w:eastAsia="Arial" w:hAnsi="Arial"/>
                <w:sz w:val="14"/>
                <w:szCs w:val="14"/>
                <w:color w:val="0000FF"/>
                <w:w w:val="96"/>
              </w:rPr>
              <w:t>01/02/2030</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4,361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4,361</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an acquisition of time-based vesting restricted stock units each representing a contingent right to receive one share of the Issuer's common stock.</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0000FF"/>
                <w:w w:val="93"/>
              </w:rPr>
              <w:t>/s/**Michael S. Brown</w:t>
            </w:r>
          </w:p>
        </w:tc>
        <w:tc>
          <w:tcPr>
            <w:tcW w:w="4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01/03/2020</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2020-01-06T15:05:16Z</dcterms:created>
  <dcterms:modified xsi:type="dcterms:W3CDTF">2020-01-06T15:05:16Z</dcterms:modified>
</cp:coreProperties>
</file>