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880"/>
        <w:spacing w:after="0"/>
        <w:rPr>
          <w:sz w:val="20"/>
          <w:szCs w:val="20"/>
          <w:color w:val="auto"/>
        </w:rPr>
      </w:pPr>
      <w:r>
        <w:rPr>
          <w:rFonts w:ascii="Arial" w:cs="Arial" w:eastAsia="Arial" w:hAnsi="Arial"/>
          <w:sz w:val="18"/>
          <w:szCs w:val="18"/>
          <w:color w:val="auto"/>
        </w:rPr>
        <w:t>SCHEDULE 14A</w:t>
      </w:r>
    </w:p>
    <w:p>
      <w:pPr>
        <w:jc w:val="right"/>
        <w:ind w:right="4940"/>
        <w:spacing w:after="0" w:line="234" w:lineRule="auto"/>
        <w:rPr>
          <w:sz w:val="20"/>
          <w:szCs w:val="20"/>
          <w:color w:val="auto"/>
        </w:rPr>
      </w:pPr>
      <w:r>
        <w:rPr>
          <w:rFonts w:ascii="Arial" w:cs="Arial" w:eastAsia="Arial" w:hAnsi="Arial"/>
          <w:sz w:val="18"/>
          <w:szCs w:val="18"/>
          <w:color w:val="auto"/>
        </w:rPr>
        <w:t>(Rule 14a-101)</w:t>
      </w:r>
    </w:p>
    <w:p>
      <w:pPr>
        <w:jc w:val="center"/>
        <w:ind w:right="-9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w:t>
      </w:r>
    </w:p>
    <w:p>
      <w:pPr>
        <w:jc w:val="center"/>
        <w:ind w:right="-99"/>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40" w:right="8300" w:hanging="332"/>
        <w:spacing w:after="0" w:line="23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680" w:hanging="335"/>
        <w:spacing w:after="0" w:line="246"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-2967990</wp:posOffset>
            </wp:positionV>
            <wp:extent cx="6703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-2676525</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-2221865</wp:posOffset>
            </wp:positionV>
            <wp:extent cx="6703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-1930400</wp:posOffset>
            </wp:positionV>
            <wp:extent cx="6703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-1638935</wp:posOffset>
            </wp:positionV>
            <wp:extent cx="6703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-507365</wp:posOffset>
            </wp:positionV>
            <wp:extent cx="6703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-215900</wp:posOffset>
            </wp:positionV>
            <wp:extent cx="6703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74930</wp:posOffset>
            </wp:positionV>
            <wp:extent cx="6703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-721995</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94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94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20" w:right="2419"/>
        <w:spacing w:after="0" w:line="259" w:lineRule="auto"/>
        <w:rPr>
          <w:sz w:val="20"/>
          <w:szCs w:val="20"/>
          <w:color w:val="auto"/>
        </w:rPr>
      </w:pPr>
      <w:r>
        <w:rPr>
          <w:rFonts w:ascii="Arial" w:cs="Arial" w:eastAsia="Arial" w:hAnsi="Arial"/>
          <w:sz w:val="46"/>
          <w:szCs w:val="46"/>
          <w:b w:val="1"/>
          <w:bCs w:val="1"/>
          <w:color w:val="FFFFFF"/>
        </w:rPr>
        <w:t>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5904865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1074420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268605</wp:posOffset>
            </wp:positionV>
            <wp:extent cx="1619885"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9685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7"/>
          <w:szCs w:val="27"/>
          <w:b w:val="1"/>
          <w:bCs w:val="1"/>
          <w:color w:val="2952A4"/>
        </w:rPr>
        <w:t>PLEASE VIEW OUR 2019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A5EC"/>
        </w:rPr>
        <w:t>investor.regeneron.com/2019AR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2207260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167005</wp:posOffset>
            </wp:positionV>
            <wp:extent cx="3000375" cy="173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037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399"/>
        <w:spacing w:after="0" w:line="277" w:lineRule="auto"/>
        <w:rPr>
          <w:sz w:val="20"/>
          <w:szCs w:val="20"/>
          <w:color w:val="auto"/>
        </w:rPr>
      </w:pPr>
      <w:r>
        <w:rPr>
          <w:rFonts w:ascii="Arial" w:cs="Arial" w:eastAsia="Arial" w:hAnsi="Arial"/>
          <w:sz w:val="27"/>
          <w:szCs w:val="27"/>
          <w:b w:val="1"/>
          <w:bCs w:val="1"/>
          <w:color w:val="2952A4"/>
        </w:rPr>
        <w:t>PLEASE VIEW OUR 2019 RESPONSIBILITY REPORT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A5EC"/>
        </w:rPr>
        <w:t>investor.regeneron.com/2019RR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269875</wp:posOffset>
            </wp:positionV>
            <wp:extent cx="7132320" cy="1946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46275"/>
                    </a:xfrm>
                    <a:prstGeom prst="rect">
                      <a:avLst/>
                    </a:prstGeom>
                    <a:noFill/>
                  </pic:spPr>
                </pic:pic>
              </a:graphicData>
            </a:graphic>
          </wp:anchor>
        </w:drawing>
      </w:r>
    </w:p>
    <w:p>
      <w:pPr>
        <w:sectPr>
          <w:pgSz w:w="11900" w:h="16838" w:orient="portrait"/>
          <w:cols w:equalWidth="0" w:num="1">
            <w:col w:w="9919"/>
          </w:cols>
          <w:pgMar w:left="540" w:top="1440"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900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360"/>
        <w:spacing w:after="0"/>
        <w:rPr>
          <w:sz w:val="20"/>
          <w:szCs w:val="20"/>
          <w:color w:val="auto"/>
        </w:rPr>
      </w:pPr>
      <w:r>
        <w:rPr>
          <w:rFonts w:ascii="Arial" w:cs="Arial" w:eastAsia="Arial" w:hAnsi="Arial"/>
          <w:sz w:val="54"/>
          <w:szCs w:val="54"/>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56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56970"/>
                    </a:xfrm>
                    <a:prstGeom prst="rect">
                      <a:avLst/>
                    </a:prstGeom>
                    <a:noFill/>
                  </pic:spPr>
                </pic:pic>
              </a:graphicData>
            </a:graphic>
          </wp:anchor>
        </w:drawing>
        <w:t>LETTER TO SHAREHOLDERS</w:t>
      </w: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C04C57"/>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5263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183" w:lineRule="exact"/>
        <w:rPr>
          <w:sz w:val="20"/>
          <w:szCs w:val="20"/>
          <w:color w:val="auto"/>
        </w:rPr>
      </w:pPr>
    </w:p>
    <w:p>
      <w:pPr>
        <w:ind w:left="360" w:right="419"/>
        <w:spacing w:after="0" w:line="228" w:lineRule="auto"/>
        <w:rPr>
          <w:sz w:val="20"/>
          <w:szCs w:val="20"/>
          <w:color w:val="auto"/>
        </w:rPr>
      </w:pPr>
      <w:r>
        <w:rPr>
          <w:rFonts w:ascii="Arial" w:cs="Arial" w:eastAsia="Arial" w:hAnsi="Arial"/>
          <w:sz w:val="15"/>
          <w:szCs w:val="15"/>
          <w:color w:val="231F20"/>
        </w:rPr>
        <w:t>As 2020 began, the world was presented with a major crisis as the SARS-CoV-2 (COVID-19) pandemic spread across the globe. Regeneron mobilized quickly, realizing that we were uniquely suited to bring forward potential solutions. We are extremely proud of how our talented team is responding to this public health challenge. Given our more than 30 years of investment in core technologies that improve the drug discovery and development process, and our track record of success with infectious diseases like Ebola, we are optimistic that we can make a meaningful and timely impact. We have</w:t>
      </w:r>
    </w:p>
    <w:p>
      <w:pPr>
        <w:ind w:left="360" w:right="499"/>
        <w:spacing w:after="0" w:line="209" w:lineRule="auto"/>
        <w:rPr>
          <w:sz w:val="20"/>
          <w:szCs w:val="20"/>
          <w:color w:val="auto"/>
        </w:rPr>
      </w:pPr>
      <w:r>
        <w:rPr>
          <w:rFonts w:ascii="Arial" w:cs="Arial" w:eastAsia="Arial" w:hAnsi="Arial"/>
          <w:sz w:val="15"/>
          <w:szCs w:val="15"/>
          <w:color w:val="231F20"/>
        </w:rPr>
        <w:t>two important COVID-19 research and development efforts ongoing: a global clinical trial of our IL-6 inhibitor Kevzara</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(sarilumab) in hospitalized patients with severe or critical COVID-19; and the development of a novel antibody cocktail specifically designed to prevent or treat COVID-19 infection. We will be sharing updates on these programs as quickly as possible over the coming weeks and months.</w:t>
      </w:r>
    </w:p>
    <w:p>
      <w:pPr>
        <w:spacing w:after="0" w:line="140" w:lineRule="exact"/>
        <w:rPr>
          <w:sz w:val="20"/>
          <w:szCs w:val="20"/>
          <w:color w:val="auto"/>
        </w:rPr>
      </w:pPr>
    </w:p>
    <w:p>
      <w:pPr>
        <w:ind w:left="360" w:right="539"/>
        <w:spacing w:after="0" w:line="232" w:lineRule="auto"/>
        <w:rPr>
          <w:sz w:val="20"/>
          <w:szCs w:val="20"/>
          <w:color w:val="auto"/>
        </w:rPr>
      </w:pPr>
      <w:r>
        <w:rPr>
          <w:rFonts w:ascii="Arial" w:cs="Arial" w:eastAsia="Arial" w:hAnsi="Arial"/>
          <w:sz w:val="15"/>
          <w:szCs w:val="15"/>
          <w:color w:val="231F20"/>
        </w:rPr>
        <w:t>Now, more than ever, we must remain focused on our mission to repeatedly bring important new medicines to patients with serious diseases. In 2019 we had a year of strong performance and delivery on this mission. We reached more and</w:t>
      </w:r>
    </w:p>
    <w:p>
      <w:pPr>
        <w:ind w:left="360"/>
        <w:spacing w:after="0" w:line="183" w:lineRule="auto"/>
        <w:rPr>
          <w:sz w:val="20"/>
          <w:szCs w:val="20"/>
          <w:color w:val="auto"/>
        </w:rPr>
      </w:pPr>
      <w:r>
        <w:rPr>
          <w:rFonts w:ascii="Arial" w:cs="Arial" w:eastAsia="Arial" w:hAnsi="Arial"/>
          <w:sz w:val="14"/>
          <w:szCs w:val="14"/>
          <w:color w:val="231F20"/>
        </w:rPr>
        <w:t>more patients through newly-approved indications and record growth for our blockbuster treatments EYLEA</w:t>
      </w:r>
      <w:r>
        <w:rPr>
          <w:rFonts w:ascii="Arial" w:cs="Arial" w:eastAsia="Arial" w:hAnsi="Arial"/>
          <w:sz w:val="23"/>
          <w:szCs w:val="23"/>
          <w:color w:val="231F20"/>
          <w:vertAlign w:val="superscript"/>
        </w:rPr>
        <w:t>®</w:t>
      </w:r>
      <w:r>
        <w:rPr>
          <w:rFonts w:ascii="Arial" w:cs="Arial" w:eastAsia="Arial" w:hAnsi="Arial"/>
          <w:sz w:val="14"/>
          <w:szCs w:val="14"/>
          <w:color w:val="231F20"/>
        </w:rPr>
        <w:t xml:space="preserve"> (aflibercept)</w:t>
      </w:r>
    </w:p>
    <w:p>
      <w:pPr>
        <w:spacing w:after="0" w:line="1" w:lineRule="exact"/>
        <w:rPr>
          <w:sz w:val="20"/>
          <w:szCs w:val="20"/>
          <w:color w:val="auto"/>
        </w:rPr>
      </w:pPr>
    </w:p>
    <w:p>
      <w:pPr>
        <w:ind w:left="360" w:right="439"/>
        <w:spacing w:after="0" w:line="204" w:lineRule="auto"/>
        <w:rPr>
          <w:sz w:val="20"/>
          <w:szCs w:val="20"/>
          <w:color w:val="auto"/>
        </w:rPr>
      </w:pPr>
      <w:r>
        <w:rPr>
          <w:rFonts w:ascii="Arial" w:cs="Arial" w:eastAsia="Arial" w:hAnsi="Arial"/>
          <w:sz w:val="15"/>
          <w:szCs w:val="15"/>
          <w:color w:val="231F20"/>
        </w:rPr>
        <w:t>Injection and Dupixent</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(dupilumab), made significant advancements throughout our preclinical and clinical pipelines, and delivered a public health breakthrough with an effective treatment for Ebola which is currently under review by the U.S. Food and Drug Administration.</w:t>
      </w:r>
    </w:p>
    <w:p>
      <w:pPr>
        <w:spacing w:after="0" w:line="141" w:lineRule="exact"/>
        <w:rPr>
          <w:sz w:val="20"/>
          <w:szCs w:val="20"/>
          <w:color w:val="auto"/>
        </w:rPr>
      </w:pPr>
    </w:p>
    <w:p>
      <w:pPr>
        <w:ind w:left="360" w:right="419"/>
        <w:spacing w:after="0"/>
        <w:rPr>
          <w:sz w:val="20"/>
          <w:szCs w:val="20"/>
          <w:color w:val="auto"/>
        </w:rPr>
      </w:pPr>
      <w:r>
        <w:rPr>
          <w:rFonts w:ascii="Arial" w:cs="Arial" w:eastAsia="Arial" w:hAnsi="Arial"/>
          <w:sz w:val="15"/>
          <w:szCs w:val="15"/>
          <w:color w:val="231F20"/>
        </w:rPr>
        <w:t>Total revenues for 2019 were $ 7.9 billion, a 17 percent increase over 2018, which included U.S. EYLEA net product sales of $4.6 billion. Our collaborator Bayer recorded net product sales for EYLEA outside the U.S. of $2.9 billion, bringing EYLEA’s total global net product sales to $7.5 billion, a 12 percent increase compared to 2018. These figures show the continuing strength of this important treatment that has had double-digit sales growth for seven years without a single price increase. We remain confident in EYLEA’s ability to help even more patients as we expand our leadership position in wet age-related macular degeneration and diabetic eye diseases. Dupixent 2019 global net product sales, which are recorded by Sanofi, were $2.3 billion, an increase of 151 percent over the previous year. We have just begun to tap the potential of this first-in-class treatment option for several Type 2 inflammatory diseases, with many more studies underway.</w:t>
      </w:r>
    </w:p>
    <w:p>
      <w:pPr>
        <w:spacing w:after="0" w:line="240" w:lineRule="exact"/>
        <w:rPr>
          <w:sz w:val="20"/>
          <w:szCs w:val="20"/>
          <w:color w:val="auto"/>
        </w:rPr>
      </w:pPr>
    </w:p>
    <w:p>
      <w:pPr>
        <w:ind w:left="360" w:right="459"/>
        <w:spacing w:after="0" w:line="229" w:lineRule="auto"/>
        <w:rPr>
          <w:sz w:val="20"/>
          <w:szCs w:val="20"/>
          <w:color w:val="auto"/>
        </w:rPr>
      </w:pPr>
      <w:r>
        <w:rPr>
          <w:rFonts w:ascii="Arial" w:cs="Arial" w:eastAsia="Arial" w:hAnsi="Arial"/>
          <w:sz w:val="15"/>
          <w:szCs w:val="15"/>
          <w:color w:val="231F20"/>
        </w:rPr>
        <w:t>In part due to Dupixent’s strong sales, our antibody collaboration with Sanofi became profitable for the first time in 2019, and we took important additional steps to strengthen Regeneron’s financial position. In the second quarter of 2020 we restructured our Antibody Collaboration with Sanofi to enhance profitability further and to simplify the commercial strategy</w:t>
      </w:r>
    </w:p>
    <w:p>
      <w:pPr>
        <w:spacing w:after="0" w:line="2" w:lineRule="exact"/>
        <w:rPr>
          <w:sz w:val="20"/>
          <w:szCs w:val="20"/>
          <w:color w:val="auto"/>
        </w:rPr>
      </w:pPr>
    </w:p>
    <w:p>
      <w:pPr>
        <w:ind w:left="360" w:right="399"/>
        <w:spacing w:after="0" w:line="196" w:lineRule="auto"/>
        <w:rPr>
          <w:sz w:val="20"/>
          <w:szCs w:val="20"/>
          <w:color w:val="auto"/>
        </w:rPr>
      </w:pPr>
      <w:r>
        <w:rPr>
          <w:rFonts w:ascii="Arial" w:cs="Arial" w:eastAsia="Arial" w:hAnsi="Arial"/>
          <w:sz w:val="15"/>
          <w:szCs w:val="15"/>
          <w:color w:val="231F20"/>
        </w:rPr>
        <w:t>for Praluent</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(alirocumab). We will continue to collaborate with Sanofi on studying Kevzara for COVID-19, with Regeneron leading U.S.-based development and Sanofi leading development outside of the United States.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5"/>
          <w:szCs w:val="15"/>
          <w:color w:val="231F20"/>
        </w:rPr>
        <w:t>Meanwhile our research and development productivity continues, with notable progress in our growing immuno-oncology</w:t>
      </w:r>
    </w:p>
    <w:p>
      <w:pPr>
        <w:ind w:left="360" w:right="459"/>
        <w:spacing w:after="0" w:line="214" w:lineRule="auto"/>
        <w:rPr>
          <w:sz w:val="20"/>
          <w:szCs w:val="20"/>
          <w:color w:val="auto"/>
        </w:rPr>
      </w:pPr>
      <w:r>
        <w:rPr>
          <w:rFonts w:ascii="Arial" w:cs="Arial" w:eastAsia="Arial" w:hAnsi="Arial"/>
          <w:sz w:val="15"/>
          <w:szCs w:val="15"/>
          <w:color w:val="231F20"/>
        </w:rPr>
        <w:t>portfolio and diversification across the pipeline as a whole. We expanded our clinical program with Libtayo</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(cemiplimab-rwlc), a PD-1 inhibitor, and moved multiple bispecific antibodies into the clinic, including the first in a whole new class of co-stimulatory bispecifics, which position us to become a leader in this emerging field. We continue to explore Dupixent in a variety of additional Type 2 inflammatory conditions, with late-stage trials underway in eosinophilic esophagitis, chronic obstructive pulmonary disease, prurigo nodularis, and chronic spontaneous urticaria, as well as earlier studies in grass and food allergies.</w:t>
      </w:r>
    </w:p>
    <w:p>
      <w:pPr>
        <w:spacing w:after="0" w:line="140" w:lineRule="exact"/>
        <w:rPr>
          <w:sz w:val="20"/>
          <w:szCs w:val="20"/>
          <w:color w:val="auto"/>
        </w:rPr>
      </w:pPr>
    </w:p>
    <w:p>
      <w:pPr>
        <w:ind w:left="360" w:right="819"/>
        <w:spacing w:after="0" w:line="242" w:lineRule="auto"/>
        <w:rPr>
          <w:sz w:val="20"/>
          <w:szCs w:val="20"/>
          <w:color w:val="auto"/>
        </w:rPr>
      </w:pPr>
      <w:r>
        <w:rPr>
          <w:rFonts w:ascii="Arial" w:cs="Arial" w:eastAsia="Arial" w:hAnsi="Arial"/>
          <w:sz w:val="15"/>
          <w:szCs w:val="15"/>
          <w:color w:val="231F20"/>
        </w:rPr>
        <w:t>From a public health perspective, we made a breakthrough in the fight against the devastating Ebola outbreak in the Democratic Republic of the Congo (DRC) with REGN-EB3’s impressive reduction in mortality compared to the prior</w:t>
      </w:r>
    </w:p>
    <w:p>
      <w:pPr>
        <w:spacing w:after="0" w:line="201" w:lineRule="exact"/>
        <w:rPr>
          <w:sz w:val="20"/>
          <w:szCs w:val="20"/>
          <w:color w:val="auto"/>
        </w:rPr>
      </w:pPr>
    </w:p>
    <w:p>
      <w:pPr>
        <w:jc w:val="right"/>
        <w:ind w:right="379"/>
        <w:spacing w:after="0"/>
        <w:rPr>
          <w:sz w:val="20"/>
          <w:szCs w:val="20"/>
          <w:color w:val="auto"/>
        </w:rPr>
      </w:pPr>
      <w:r>
        <w:rPr>
          <w:rFonts w:ascii="Arial" w:cs="Arial" w:eastAsia="Arial" w:hAnsi="Arial"/>
          <w:sz w:val="13"/>
          <w:szCs w:val="13"/>
          <w:b w:val="1"/>
          <w:bCs w:val="1"/>
          <w:color w:val="2952A4"/>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-80645</wp:posOffset>
            </wp:positionV>
            <wp:extent cx="74549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9019"/>
          </w:cols>
          <w:pgMar w:left="1440" w:top="1284"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08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399"/>
        <w:spacing w:after="0" w:line="242" w:lineRule="auto"/>
        <w:rPr>
          <w:sz w:val="20"/>
          <w:szCs w:val="20"/>
          <w:color w:val="auto"/>
        </w:rPr>
      </w:pPr>
      <w:r>
        <w:rPr>
          <w:rFonts w:ascii="Arial" w:cs="Arial" w:eastAsia="Arial" w:hAnsi="Arial"/>
          <w:sz w:val="15"/>
          <w:szCs w:val="15"/>
          <w:color w:val="231F20"/>
        </w:rPr>
        <w:t>standard-of-care in the PALM clinical trial. We are applying the same technologies against the novel coronavirus and hope for similar success.</w:t>
      </w:r>
    </w:p>
    <w:p>
      <w:pPr>
        <w:spacing w:after="0" w:line="148" w:lineRule="exact"/>
        <w:rPr>
          <w:sz w:val="20"/>
          <w:szCs w:val="20"/>
          <w:color w:val="auto"/>
        </w:rPr>
      </w:pPr>
    </w:p>
    <w:p>
      <w:pPr>
        <w:ind w:left="360" w:right="379"/>
        <w:spacing w:after="0" w:line="211" w:lineRule="auto"/>
        <w:rPr>
          <w:sz w:val="20"/>
          <w:szCs w:val="20"/>
          <w:color w:val="auto"/>
        </w:rPr>
      </w:pPr>
      <w:r>
        <w:rPr>
          <w:rFonts w:ascii="Arial" w:cs="Arial" w:eastAsia="Arial" w:hAnsi="Arial"/>
          <w:sz w:val="15"/>
          <w:szCs w:val="15"/>
          <w:color w:val="231F20"/>
        </w:rPr>
        <w:t xml:space="preserve">All of this important research and groundbreaking medicine is built on three decades of investment in our </w:t>
      </w:r>
      <w:r>
        <w:rPr>
          <w:rFonts w:ascii="Arial" w:cs="Arial" w:eastAsia="Arial" w:hAnsi="Arial"/>
          <w:sz w:val="15"/>
          <w:szCs w:val="15"/>
          <w:i w:val="1"/>
          <w:iCs w:val="1"/>
          <w:color w:val="231F20"/>
        </w:rPr>
        <w:t>VelociSuite</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technologies. These proprietary end-to-end drug discovery and development tools allow us to quickly identify multiple antibody candidates against diseases – from Ebola to cancer to asthma to rare diseases, such as fibrodysplasia ossificans progressiva. Paired with our excellent clinical development and manufacturing capabilities, the possibilities are truly endless, and we feel that we are just at the beginning of what we can do using the power of science and technology.</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color w:val="231F20"/>
        </w:rPr>
        <w:t>Our commitment to continually advancing research through sophisticated and broadly applicable technology propelled our</w:t>
      </w:r>
    </w:p>
    <w:p>
      <w:pPr>
        <w:ind w:left="360" w:right="539"/>
        <w:spacing w:after="0" w:line="211" w:lineRule="auto"/>
        <w:rPr>
          <w:sz w:val="20"/>
          <w:szCs w:val="20"/>
          <w:color w:val="auto"/>
        </w:rPr>
      </w:pPr>
      <w:r>
        <w:rPr>
          <w:rFonts w:ascii="Arial" w:cs="Arial" w:eastAsia="Arial" w:hAnsi="Arial"/>
          <w:sz w:val="15"/>
          <w:szCs w:val="15"/>
          <w:color w:val="231F20"/>
        </w:rPr>
        <w:t>Regeneron Genetics Center</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team to the major milestone of sequencing the exomes of over one million people as of February 2020. We are also applying our genetics and biology expertise to explore new modalities that are complementary to our world-class therapeutic antibodies. Key examples include our preclinical work in viral vector and gene therapy technologies, as well as ongoing collaborations with organizations who bring unique expertise in areas like gene silencing, gene editing, and CAR-Ts.</w:t>
      </w:r>
    </w:p>
    <w:p>
      <w:pPr>
        <w:spacing w:after="0" w:line="144" w:lineRule="exact"/>
        <w:rPr>
          <w:sz w:val="20"/>
          <w:szCs w:val="20"/>
          <w:color w:val="auto"/>
        </w:rPr>
      </w:pPr>
    </w:p>
    <w:p>
      <w:pPr>
        <w:ind w:left="360" w:right="519"/>
        <w:spacing w:after="0" w:line="233" w:lineRule="auto"/>
        <w:rPr>
          <w:sz w:val="20"/>
          <w:szCs w:val="20"/>
          <w:color w:val="auto"/>
        </w:rPr>
      </w:pPr>
      <w:r>
        <w:rPr>
          <w:rFonts w:ascii="Arial" w:cs="Arial" w:eastAsia="Arial" w:hAnsi="Arial"/>
          <w:sz w:val="15"/>
          <w:szCs w:val="15"/>
          <w:color w:val="231F20"/>
        </w:rPr>
        <w:t>In 2020 and beyond, we will continue to reinvest a significant portion of our growing revenue into our R&amp;D efforts as we believe our scientific innovation and talent are our greatest differentiators. As we look toward the future of Regeneron we have begun to evaluate ex-U.S. commercialization opportunities, starting with exercising our co-commercialization rights for Dupixent in certain countries outside the U.S.</w:t>
      </w:r>
    </w:p>
    <w:p>
      <w:pPr>
        <w:spacing w:after="0" w:line="140" w:lineRule="exact"/>
        <w:rPr>
          <w:sz w:val="20"/>
          <w:szCs w:val="20"/>
          <w:color w:val="auto"/>
        </w:rPr>
      </w:pPr>
    </w:p>
    <w:p>
      <w:pPr>
        <w:jc w:val="both"/>
        <w:ind w:left="360" w:right="399"/>
        <w:spacing w:after="0" w:line="233" w:lineRule="auto"/>
        <w:rPr>
          <w:sz w:val="20"/>
          <w:szCs w:val="20"/>
          <w:color w:val="auto"/>
        </w:rPr>
      </w:pPr>
      <w:r>
        <w:rPr>
          <w:rFonts w:ascii="Arial" w:cs="Arial" w:eastAsia="Arial" w:hAnsi="Arial"/>
          <w:sz w:val="15"/>
          <w:szCs w:val="15"/>
          <w:color w:val="231F20"/>
        </w:rPr>
        <w:t>2019 was a busy and successful year for Regeneron, and we believe 2020 will be even more impactful. We will innovate against COVID-19 and the other serious diseases that continue to impact lives, even during a time of pandemic. We have our sights firmly set on the future as we expand the types of ailments we can treat and number of people we can help. The world needs us and the power of science, more than ever.</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5"/>
          <w:szCs w:val="15"/>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158115</wp:posOffset>
            </wp:positionV>
            <wp:extent cx="4123055" cy="316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2305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5"/>
                <w:szCs w:val="15"/>
                <w:b w:val="1"/>
                <w:bCs w:val="1"/>
                <w:color w:val="235BA7"/>
              </w:rPr>
              <w:t>P. Roy Vagelos,</w:t>
            </w:r>
          </w:p>
        </w:tc>
        <w:tc>
          <w:tcPr>
            <w:tcW w:w="2780" w:type="dxa"/>
            <w:vAlign w:val="bottom"/>
          </w:tcPr>
          <w:p>
            <w:pPr>
              <w:ind w:left="480"/>
              <w:spacing w:after="0"/>
              <w:rPr>
                <w:sz w:val="20"/>
                <w:szCs w:val="20"/>
                <w:color w:val="auto"/>
              </w:rPr>
            </w:pPr>
            <w:r>
              <w:rPr>
                <w:rFonts w:ascii="Arial" w:cs="Arial" w:eastAsia="Arial" w:hAnsi="Arial"/>
                <w:sz w:val="15"/>
                <w:szCs w:val="15"/>
                <w:b w:val="1"/>
                <w:bCs w:val="1"/>
                <w:color w:val="235BA7"/>
              </w:rPr>
              <w:t>Leonard S. Schleifer,</w:t>
            </w:r>
          </w:p>
        </w:tc>
        <w:tc>
          <w:tcPr>
            <w:tcW w:w="2300" w:type="dxa"/>
            <w:vAlign w:val="bottom"/>
          </w:tcPr>
          <w:p>
            <w:pPr>
              <w:ind w:left="460"/>
              <w:spacing w:after="0"/>
              <w:rPr>
                <w:sz w:val="20"/>
                <w:szCs w:val="20"/>
                <w:color w:val="auto"/>
              </w:rPr>
            </w:pPr>
            <w:r>
              <w:rPr>
                <w:rFonts w:ascii="Arial" w:cs="Arial" w:eastAsia="Arial" w:hAnsi="Arial"/>
                <w:sz w:val="15"/>
                <w:szCs w:val="15"/>
                <w:b w:val="1"/>
                <w:bCs w:val="1"/>
                <w:color w:val="235BA7"/>
              </w:rPr>
              <w:t>George D. Yancopoulos,</w:t>
            </w:r>
          </w:p>
        </w:tc>
      </w:tr>
      <w:tr>
        <w:trPr>
          <w:trHeight w:val="202"/>
        </w:trPr>
        <w:tc>
          <w:tcPr>
            <w:tcW w:w="2000" w:type="dxa"/>
            <w:vAlign w:val="bottom"/>
          </w:tcPr>
          <w:p>
            <w:pPr>
              <w:spacing w:after="0"/>
              <w:rPr>
                <w:sz w:val="20"/>
                <w:szCs w:val="20"/>
                <w:color w:val="auto"/>
              </w:rPr>
            </w:pPr>
            <w:r>
              <w:rPr>
                <w:rFonts w:ascii="Arial" w:cs="Arial" w:eastAsia="Arial" w:hAnsi="Arial"/>
                <w:sz w:val="15"/>
                <w:szCs w:val="15"/>
                <w:b w:val="1"/>
                <w:bCs w:val="1"/>
                <w:color w:val="235BA7"/>
              </w:rPr>
              <w:t>M.D.</w:t>
            </w:r>
          </w:p>
        </w:tc>
        <w:tc>
          <w:tcPr>
            <w:tcW w:w="2780" w:type="dxa"/>
            <w:vAlign w:val="bottom"/>
          </w:tcPr>
          <w:p>
            <w:pPr>
              <w:ind w:left="480"/>
              <w:spacing w:after="0"/>
              <w:rPr>
                <w:sz w:val="20"/>
                <w:szCs w:val="20"/>
                <w:color w:val="auto"/>
              </w:rPr>
            </w:pPr>
            <w:r>
              <w:rPr>
                <w:rFonts w:ascii="Arial" w:cs="Arial" w:eastAsia="Arial" w:hAnsi="Arial"/>
                <w:sz w:val="15"/>
                <w:szCs w:val="15"/>
                <w:b w:val="1"/>
                <w:bCs w:val="1"/>
                <w:color w:val="235BA7"/>
              </w:rPr>
              <w:t>M.D., Ph.D.</w:t>
            </w:r>
          </w:p>
        </w:tc>
        <w:tc>
          <w:tcPr>
            <w:tcW w:w="2300" w:type="dxa"/>
            <w:vAlign w:val="bottom"/>
          </w:tcPr>
          <w:p>
            <w:pPr>
              <w:ind w:left="460"/>
              <w:spacing w:after="0"/>
              <w:rPr>
                <w:sz w:val="20"/>
                <w:szCs w:val="20"/>
                <w:color w:val="auto"/>
              </w:rPr>
            </w:pPr>
            <w:r>
              <w:rPr>
                <w:rFonts w:ascii="Arial" w:cs="Arial" w:eastAsia="Arial" w:hAnsi="Arial"/>
                <w:sz w:val="15"/>
                <w:szCs w:val="15"/>
                <w:b w:val="1"/>
                <w:bCs w:val="1"/>
                <w:color w:val="235BA7"/>
              </w:rPr>
              <w:t>M.D., Ph.D.</w:t>
            </w:r>
          </w:p>
        </w:tc>
      </w:tr>
      <w:tr>
        <w:trPr>
          <w:trHeight w:val="189"/>
        </w:trPr>
        <w:tc>
          <w:tcPr>
            <w:tcW w:w="2000" w:type="dxa"/>
            <w:vAlign w:val="bottom"/>
          </w:tcPr>
          <w:p>
            <w:pPr>
              <w:spacing w:after="0"/>
              <w:rPr>
                <w:sz w:val="20"/>
                <w:szCs w:val="20"/>
                <w:color w:val="auto"/>
              </w:rPr>
            </w:pPr>
            <w:r>
              <w:rPr>
                <w:rFonts w:ascii="Arial" w:cs="Arial" w:eastAsia="Arial" w:hAnsi="Arial"/>
                <w:sz w:val="15"/>
                <w:szCs w:val="15"/>
                <w:color w:val="231F20"/>
              </w:rPr>
              <w:t>Chairman of the Board</w:t>
            </w:r>
          </w:p>
        </w:tc>
        <w:tc>
          <w:tcPr>
            <w:tcW w:w="2780" w:type="dxa"/>
            <w:vAlign w:val="bottom"/>
          </w:tcPr>
          <w:p>
            <w:pPr>
              <w:ind w:left="480"/>
              <w:spacing w:after="0"/>
              <w:rPr>
                <w:sz w:val="20"/>
                <w:szCs w:val="20"/>
                <w:color w:val="auto"/>
              </w:rPr>
            </w:pPr>
            <w:r>
              <w:rPr>
                <w:rFonts w:ascii="Arial" w:cs="Arial" w:eastAsia="Arial" w:hAnsi="Arial"/>
                <w:sz w:val="15"/>
                <w:szCs w:val="15"/>
                <w:color w:val="231F20"/>
              </w:rPr>
              <w:t>Co-Founder, President and</w:t>
            </w:r>
          </w:p>
        </w:tc>
        <w:tc>
          <w:tcPr>
            <w:tcW w:w="2300" w:type="dxa"/>
            <w:vAlign w:val="bottom"/>
          </w:tcPr>
          <w:p>
            <w:pPr>
              <w:ind w:left="460"/>
              <w:spacing w:after="0"/>
              <w:rPr>
                <w:sz w:val="20"/>
                <w:szCs w:val="20"/>
                <w:color w:val="auto"/>
              </w:rPr>
            </w:pPr>
            <w:r>
              <w:rPr>
                <w:rFonts w:ascii="Arial" w:cs="Arial" w:eastAsia="Arial" w:hAnsi="Arial"/>
                <w:sz w:val="15"/>
                <w:szCs w:val="15"/>
                <w:color w:val="231F20"/>
              </w:rPr>
              <w:t>Co-Founder, President and</w:t>
            </w:r>
          </w:p>
        </w:tc>
      </w:tr>
      <w:tr>
        <w:trPr>
          <w:trHeight w:val="189"/>
        </w:trPr>
        <w:tc>
          <w:tcPr>
            <w:tcW w:w="2000" w:type="dxa"/>
            <w:vAlign w:val="bottom"/>
          </w:tcPr>
          <w:p>
            <w:pPr>
              <w:spacing w:after="0"/>
              <w:rPr>
                <w:sz w:val="16"/>
                <w:szCs w:val="16"/>
                <w:color w:val="auto"/>
              </w:rPr>
            </w:pPr>
          </w:p>
        </w:tc>
        <w:tc>
          <w:tcPr>
            <w:tcW w:w="2780" w:type="dxa"/>
            <w:vAlign w:val="bottom"/>
          </w:tcPr>
          <w:p>
            <w:pPr>
              <w:ind w:left="480"/>
              <w:spacing w:after="0"/>
              <w:rPr>
                <w:sz w:val="20"/>
                <w:szCs w:val="20"/>
                <w:color w:val="auto"/>
              </w:rPr>
            </w:pPr>
            <w:r>
              <w:rPr>
                <w:rFonts w:ascii="Arial" w:cs="Arial" w:eastAsia="Arial" w:hAnsi="Arial"/>
                <w:sz w:val="15"/>
                <w:szCs w:val="15"/>
                <w:color w:val="231F20"/>
              </w:rPr>
              <w:t>Chief Executive Officer</w:t>
            </w:r>
          </w:p>
        </w:tc>
        <w:tc>
          <w:tcPr>
            <w:tcW w:w="2300" w:type="dxa"/>
            <w:vAlign w:val="bottom"/>
          </w:tcPr>
          <w:p>
            <w:pPr>
              <w:ind w:left="460"/>
              <w:spacing w:after="0"/>
              <w:rPr>
                <w:sz w:val="20"/>
                <w:szCs w:val="20"/>
                <w:color w:val="auto"/>
              </w:rPr>
            </w:pPr>
            <w:r>
              <w:rPr>
                <w:rFonts w:ascii="Arial" w:cs="Arial" w:eastAsia="Arial" w:hAnsi="Arial"/>
                <w:sz w:val="15"/>
                <w:szCs w:val="15"/>
                <w:color w:val="231F20"/>
              </w:rPr>
              <w:t>Chief Scientific Officer</w:t>
            </w: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2952A4"/>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-71755</wp:posOffset>
            </wp:positionV>
            <wp:extent cx="74549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903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03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FFFFFF"/>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360"/>
          </w:cols>
          <w:pgMar w:left="1440" w:top="1440" w:right="10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91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91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231F20"/>
        </w:rPr>
        <w:t>REGENERON PHARMACEUTICALS, INC.</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5"/>
          <w:szCs w:val="15"/>
          <w:color w:val="231F20"/>
        </w:rPr>
        <w:t>777 Old Saw Mill River Road</w:t>
      </w:r>
    </w:p>
    <w:p>
      <w:pPr>
        <w:ind w:left="180"/>
        <w:spacing w:after="0"/>
        <w:rPr>
          <w:sz w:val="20"/>
          <w:szCs w:val="20"/>
          <w:color w:val="auto"/>
        </w:rPr>
      </w:pPr>
      <w:r>
        <w:rPr>
          <w:rFonts w:ascii="Arial" w:cs="Arial" w:eastAsia="Arial" w:hAnsi="Arial"/>
          <w:sz w:val="15"/>
          <w:szCs w:val="15"/>
          <w:color w:val="231F20"/>
        </w:rPr>
        <w:t>Tarrytown, New York 10591-6707</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C04C57"/>
        </w:rPr>
        <w:t>NOTICE OF ANNUAL MEETING OF SHAREHOLDERS</w:t>
      </w:r>
    </w:p>
    <w:p>
      <w:pPr>
        <w:spacing w:after="0" w:line="216" w:lineRule="exact"/>
        <w:rPr>
          <w:sz w:val="20"/>
          <w:szCs w:val="20"/>
          <w:color w:val="auto"/>
        </w:rPr>
      </w:pPr>
    </w:p>
    <w:p>
      <w:pPr>
        <w:ind w:left="180" w:right="359"/>
        <w:spacing w:after="0" w:line="235" w:lineRule="auto"/>
        <w:rPr>
          <w:sz w:val="20"/>
          <w:szCs w:val="20"/>
          <w:color w:val="auto"/>
        </w:rPr>
      </w:pPr>
      <w:r>
        <w:rPr>
          <w:rFonts w:ascii="Arial" w:cs="Arial" w:eastAsia="Arial" w:hAnsi="Arial"/>
          <w:sz w:val="15"/>
          <w:szCs w:val="15"/>
          <w:color w:val="231F20"/>
        </w:rPr>
        <w:t>The 2020 Annual Meeting of Shareholders of Regeneron Pharmaceuticals, Inc. (the “Company”) will be held on Friday, June 12, 2020, commencing at 10:30 a.m., Eastern Time, virtually via the Internet and at the Westchester Marriott Hotel, 670 White Plains Road, Tarrytown, New York, for the following purposes:</w:t>
      </w:r>
    </w:p>
    <w:p>
      <w:pPr>
        <w:spacing w:after="0" w:line="141" w:lineRule="exact"/>
        <w:rPr>
          <w:sz w:val="20"/>
          <w:szCs w:val="20"/>
          <w:color w:val="auto"/>
        </w:rPr>
      </w:pPr>
    </w:p>
    <w:p>
      <w:pPr>
        <w:ind w:left="460" w:hanging="276"/>
        <w:spacing w:after="0"/>
        <w:tabs>
          <w:tab w:leader="none" w:pos="460" w:val="left"/>
        </w:tabs>
        <w:numPr>
          <w:ilvl w:val="0"/>
          <w:numId w:val="6"/>
        </w:numPr>
        <w:rPr>
          <w:rFonts w:ascii="Arial" w:cs="Arial" w:eastAsia="Arial" w:hAnsi="Arial"/>
          <w:sz w:val="15"/>
          <w:szCs w:val="15"/>
          <w:b w:val="1"/>
          <w:bCs w:val="1"/>
          <w:color w:val="2952A4"/>
        </w:rPr>
      </w:pPr>
      <w:r>
        <w:rPr>
          <w:rFonts w:ascii="Arial" w:cs="Arial" w:eastAsia="Arial" w:hAnsi="Arial"/>
          <w:sz w:val="15"/>
          <w:szCs w:val="15"/>
          <w:color w:val="231F20"/>
        </w:rPr>
        <w:t>to elect four Class II directors for a three-year term and one Class III director for a one-year term;</w:t>
      </w:r>
    </w:p>
    <w:p>
      <w:pPr>
        <w:spacing w:after="0" w:line="152" w:lineRule="exact"/>
        <w:rPr>
          <w:sz w:val="20"/>
          <w:szCs w:val="20"/>
          <w:color w:val="auto"/>
        </w:rPr>
      </w:pPr>
    </w:p>
    <w:p>
      <w:pPr>
        <w:ind w:left="460" w:right="279" w:hanging="276"/>
        <w:spacing w:after="0" w:line="242" w:lineRule="auto"/>
        <w:tabs>
          <w:tab w:leader="none" w:pos="460" w:val="left"/>
        </w:tabs>
        <w:numPr>
          <w:ilvl w:val="0"/>
          <w:numId w:val="7"/>
        </w:numPr>
        <w:rPr>
          <w:rFonts w:ascii="Arial" w:cs="Arial" w:eastAsia="Arial" w:hAnsi="Arial"/>
          <w:sz w:val="15"/>
          <w:szCs w:val="15"/>
          <w:b w:val="1"/>
          <w:bCs w:val="1"/>
          <w:color w:val="2952A4"/>
        </w:rPr>
      </w:pPr>
      <w:r>
        <w:rPr>
          <w:rFonts w:ascii="Arial" w:cs="Arial" w:eastAsia="Arial" w:hAnsi="Arial"/>
          <w:sz w:val="15"/>
          <w:szCs w:val="15"/>
          <w:color w:val="231F20"/>
        </w:rPr>
        <w:t>to ratify the appointment of PricewaterhouseCoopers LLP as the Company’s independent registered public accounting firm for the fiscal year ending December 31, 2020;</w:t>
      </w:r>
    </w:p>
    <w:p>
      <w:pPr>
        <w:spacing w:after="0" w:line="138" w:lineRule="exact"/>
        <w:rPr>
          <w:sz w:val="20"/>
          <w:szCs w:val="20"/>
          <w:color w:val="auto"/>
        </w:rPr>
      </w:pPr>
    </w:p>
    <w:p>
      <w:pPr>
        <w:ind w:left="460" w:hanging="276"/>
        <w:spacing w:after="0"/>
        <w:tabs>
          <w:tab w:leader="none" w:pos="460" w:val="left"/>
        </w:tabs>
        <w:numPr>
          <w:ilvl w:val="0"/>
          <w:numId w:val="8"/>
        </w:numPr>
        <w:rPr>
          <w:rFonts w:ascii="Arial" w:cs="Arial" w:eastAsia="Arial" w:hAnsi="Arial"/>
          <w:sz w:val="15"/>
          <w:szCs w:val="15"/>
          <w:b w:val="1"/>
          <w:bCs w:val="1"/>
          <w:color w:val="2952A4"/>
        </w:rPr>
      </w:pPr>
      <w:r>
        <w:rPr>
          <w:rFonts w:ascii="Arial" w:cs="Arial" w:eastAsia="Arial" w:hAnsi="Arial"/>
          <w:sz w:val="15"/>
          <w:szCs w:val="15"/>
          <w:color w:val="231F20"/>
        </w:rPr>
        <w:t>to approve the Second Amended and Restated Regeneron Pharmaceuticals, Inc. 2014 Long-Term Incentive Plan;</w:t>
      </w:r>
    </w:p>
    <w:p>
      <w:pPr>
        <w:spacing w:after="0" w:line="152" w:lineRule="exact"/>
        <w:rPr>
          <w:sz w:val="20"/>
          <w:szCs w:val="20"/>
          <w:color w:val="auto"/>
        </w:rPr>
      </w:pPr>
    </w:p>
    <w:p>
      <w:pPr>
        <w:ind w:left="460" w:right="439" w:hanging="276"/>
        <w:spacing w:after="0" w:line="242" w:lineRule="auto"/>
        <w:tabs>
          <w:tab w:leader="none" w:pos="460" w:val="left"/>
        </w:tabs>
        <w:numPr>
          <w:ilvl w:val="0"/>
          <w:numId w:val="9"/>
        </w:numPr>
        <w:rPr>
          <w:rFonts w:ascii="Arial" w:cs="Arial" w:eastAsia="Arial" w:hAnsi="Arial"/>
          <w:sz w:val="15"/>
          <w:szCs w:val="15"/>
          <w:b w:val="1"/>
          <w:bCs w:val="1"/>
          <w:color w:val="2952A4"/>
        </w:rPr>
      </w:pPr>
      <w:r>
        <w:rPr>
          <w:rFonts w:ascii="Arial" w:cs="Arial" w:eastAsia="Arial" w:hAnsi="Arial"/>
          <w:sz w:val="15"/>
          <w:szCs w:val="15"/>
          <w:color w:val="231F20"/>
        </w:rPr>
        <w:t>to cast an advisory vote to approve the compensation of the Company’s Named Executive Officers as disclosed in these proxy materials (say on pay); and</w:t>
      </w:r>
    </w:p>
    <w:p>
      <w:pPr>
        <w:spacing w:after="0" w:line="138" w:lineRule="exact"/>
        <w:rPr>
          <w:sz w:val="20"/>
          <w:szCs w:val="20"/>
          <w:color w:val="auto"/>
        </w:rPr>
      </w:pPr>
    </w:p>
    <w:p>
      <w:pPr>
        <w:ind w:left="460" w:right="599" w:hanging="276"/>
        <w:spacing w:after="0" w:line="242" w:lineRule="auto"/>
        <w:tabs>
          <w:tab w:leader="none" w:pos="460" w:val="left"/>
        </w:tabs>
        <w:numPr>
          <w:ilvl w:val="0"/>
          <w:numId w:val="10"/>
        </w:numPr>
        <w:rPr>
          <w:rFonts w:ascii="Arial" w:cs="Arial" w:eastAsia="Arial" w:hAnsi="Arial"/>
          <w:sz w:val="15"/>
          <w:szCs w:val="15"/>
          <w:b w:val="1"/>
          <w:bCs w:val="1"/>
          <w:color w:val="2952A4"/>
        </w:rPr>
      </w:pPr>
      <w:r>
        <w:rPr>
          <w:rFonts w:ascii="Arial" w:cs="Arial" w:eastAsia="Arial" w:hAnsi="Arial"/>
          <w:sz w:val="15"/>
          <w:szCs w:val="15"/>
          <w:color w:val="231F20"/>
        </w:rPr>
        <w:t>to act upon such other matters as may properly come before the meeting and any adjournment(s) or postponement(s) thereof.</w:t>
      </w:r>
    </w:p>
    <w:p>
      <w:pPr>
        <w:spacing w:after="0" w:line="138" w:lineRule="exact"/>
        <w:rPr>
          <w:sz w:val="20"/>
          <w:szCs w:val="20"/>
          <w:color w:val="auto"/>
        </w:rPr>
      </w:pPr>
    </w:p>
    <w:p>
      <w:pPr>
        <w:ind w:left="180" w:right="219"/>
        <w:spacing w:after="0" w:line="242" w:lineRule="auto"/>
        <w:rPr>
          <w:sz w:val="20"/>
          <w:szCs w:val="20"/>
          <w:color w:val="auto"/>
        </w:rPr>
      </w:pPr>
      <w:r>
        <w:rPr>
          <w:rFonts w:ascii="Arial" w:cs="Arial" w:eastAsia="Arial" w:hAnsi="Arial"/>
          <w:sz w:val="15"/>
          <w:szCs w:val="15"/>
          <w:color w:val="231F20"/>
        </w:rPr>
        <w:t>The board of directors has fixed the close of business on April 14, 2020 as the record date for determining shareholders entitled to notice of, and to vote at, the Annual Meeting and at any adjournment(s) or postponement(s) thereof.</w:t>
      </w:r>
    </w:p>
    <w:p>
      <w:pPr>
        <w:spacing w:after="0" w:line="138" w:lineRule="exact"/>
        <w:rPr>
          <w:sz w:val="20"/>
          <w:szCs w:val="20"/>
          <w:color w:val="auto"/>
        </w:rPr>
      </w:pPr>
    </w:p>
    <w:p>
      <w:pPr>
        <w:ind w:left="180" w:right="219"/>
        <w:spacing w:after="0" w:line="229" w:lineRule="auto"/>
        <w:rPr>
          <w:sz w:val="20"/>
          <w:szCs w:val="20"/>
          <w:color w:val="auto"/>
        </w:rPr>
      </w:pPr>
      <w:r>
        <w:rPr>
          <w:rFonts w:ascii="Arial" w:cs="Arial" w:eastAsia="Arial" w:hAnsi="Arial"/>
          <w:sz w:val="15"/>
          <w:szCs w:val="15"/>
          <w:color w:val="231F20"/>
        </w:rPr>
        <w:t>Pursuant to the rules of the Securities and Exchange Commission (the “SEC”), we have elected to use the “Notice and Access” method of providing our proxy materials over the Internet. Accordingly, we will mail, beginning on or about April 24, 2020,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41" w:lineRule="exact"/>
        <w:rPr>
          <w:sz w:val="20"/>
          <w:szCs w:val="20"/>
          <w:color w:val="auto"/>
        </w:rPr>
      </w:pPr>
    </w:p>
    <w:p>
      <w:pPr>
        <w:ind w:left="180" w:right="239"/>
        <w:spacing w:after="0" w:line="233" w:lineRule="auto"/>
        <w:rPr>
          <w:sz w:val="20"/>
          <w:szCs w:val="20"/>
          <w:color w:val="auto"/>
        </w:rPr>
      </w:pPr>
      <w:r>
        <w:rPr>
          <w:rFonts w:ascii="Arial" w:cs="Arial" w:eastAsia="Arial" w:hAnsi="Arial"/>
          <w:sz w:val="15"/>
          <w:szCs w:val="15"/>
          <w:color w:val="231F20"/>
        </w:rPr>
        <w:t>The Notice of Internet Availability of Proxy Materials also contains a toll-free telephone number, an e-mail address, and a website where shareholders can request a paper or electronic copy of the proxy statement, our 2019 annual report, and/ or a form of proxy relating to the Annual Meeting. These materials are available free of charge. The Notice also contains information on how to access and vote the form of proxy.</w:t>
      </w:r>
    </w:p>
    <w:p>
      <w:pPr>
        <w:spacing w:after="0" w:line="140" w:lineRule="exact"/>
        <w:rPr>
          <w:sz w:val="20"/>
          <w:szCs w:val="20"/>
          <w:color w:val="auto"/>
        </w:rPr>
      </w:pPr>
    </w:p>
    <w:p>
      <w:pPr>
        <w:ind w:left="180" w:right="219"/>
        <w:spacing w:after="0" w:line="227" w:lineRule="auto"/>
        <w:rPr>
          <w:sz w:val="20"/>
          <w:szCs w:val="20"/>
          <w:color w:val="auto"/>
        </w:rPr>
      </w:pPr>
      <w:r>
        <w:rPr>
          <w:rFonts w:ascii="Arial" w:cs="Arial" w:eastAsia="Arial" w:hAnsi="Arial"/>
          <w:sz w:val="15"/>
          <w:szCs w:val="15"/>
          <w:color w:val="231F20"/>
        </w:rPr>
        <w:t xml:space="preserve">Due to concerns regarding the coronavirus outbreak (“COVID-19”) and to assist in protecting the health and well-being of our shareholders, directors, and employees, shareholders will be able to attend the meeting and participate electronically as part of the virtual meeting format of the Annual Meeting. This additional means of attending allows shareholders the opportunity to vote their shares on the date of the Annual Meeting even if they are not able or do not wish to attend the meeting in person. In addition, the meeting’s virtual attendance option provides shareholders the ability to participate and ask questions during the meeting. As required by New York law, shareholders have the option to attend the Annual Meeting in person. If the legal requirement to include an in-person option is waived by relevant governmental action, we may opt to hold the Annual Meeting as a virtual-only meeting. We may also change the venue for the in-person meeting option if required by the circumstances. In any such case, we would notify our shareholders in advance on our website and by issuing a press release and filing it as additional proxy material with the SEC. We strongly encourage shareholders to attend virtually in light of COVID-19 and public health concerns and to visit our website at </w:t>
      </w:r>
      <w:r>
        <w:rPr>
          <w:rFonts w:ascii="Arial" w:cs="Arial" w:eastAsia="Arial" w:hAnsi="Arial"/>
          <w:sz w:val="15"/>
          <w:szCs w:val="15"/>
          <w:b w:val="1"/>
          <w:bCs w:val="1"/>
          <w:color w:val="231F20"/>
        </w:rPr>
        <w:t>http://newsroom.regeneron.com</w:t>
      </w:r>
      <w:r>
        <w:rPr>
          <w:rFonts w:ascii="Arial" w:cs="Arial" w:eastAsia="Arial" w:hAnsi="Arial"/>
          <w:sz w:val="15"/>
          <w:szCs w:val="15"/>
          <w:color w:val="231F20"/>
        </w:rPr>
        <w:t xml:space="preserve"> for the most up-to-date information on the Annual Meeting, any procedures and limitations concerning in-person attendees, and information regarding any government-imposed limits on public gatherings applicable to the Annual Meeting that may be in effect at that time.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5"/>
          <w:szCs w:val="15"/>
          <w:color w:val="231F20"/>
        </w:rPr>
        <w:t>As Authorized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5"/>
          <w:szCs w:val="15"/>
          <w:color w:val="2952A4"/>
        </w:rPr>
        <w:t>Joseph J. LaRosa</w:t>
      </w:r>
    </w:p>
    <w:p>
      <w:pPr>
        <w:ind w:left="180"/>
        <w:spacing w:after="0" w:line="225" w:lineRule="auto"/>
        <w:rPr>
          <w:sz w:val="20"/>
          <w:szCs w:val="20"/>
          <w:color w:val="auto"/>
        </w:rPr>
      </w:pPr>
      <w:r>
        <w:rPr>
          <w:rFonts w:ascii="Arial" w:cs="Arial" w:eastAsia="Arial" w:hAnsi="Arial"/>
          <w:sz w:val="15"/>
          <w:szCs w:val="15"/>
          <w:color w:val="231F20"/>
        </w:rPr>
        <w:t>Executive Vice President, General Counsel and Secretary</w:t>
      </w:r>
    </w:p>
    <w:p>
      <w:pPr>
        <w:ind w:left="180"/>
        <w:spacing w:after="0"/>
        <w:rPr>
          <w:sz w:val="20"/>
          <w:szCs w:val="20"/>
          <w:color w:val="auto"/>
        </w:rPr>
      </w:pPr>
      <w:r>
        <w:rPr>
          <w:rFonts w:ascii="Arial" w:cs="Arial" w:eastAsia="Arial" w:hAnsi="Arial"/>
          <w:sz w:val="15"/>
          <w:szCs w:val="15"/>
          <w:color w:val="231F20"/>
        </w:rPr>
        <w:t>April 24, 2020</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2952A4"/>
        </w:rPr>
        <w:t>2020 PROXY STATEMENT AND NOTICE OF ANNUAL SHAREHOLDER MEETING</w:t>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FFFFFF"/>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483235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ind w:left="180"/>
        <w:spacing w:after="0"/>
        <w:rPr>
          <w:sz w:val="20"/>
          <w:szCs w:val="20"/>
          <w:color w:val="auto"/>
        </w:rPr>
      </w:pPr>
      <w:r>
        <w:rPr>
          <w:rFonts w:ascii="Arial" w:cs="Arial" w:eastAsia="Arial" w:hAnsi="Arial"/>
          <w:sz w:val="59"/>
          <w:szCs w:val="59"/>
          <w:b w:val="1"/>
          <w:bCs w:val="1"/>
          <w:color w:val="2952A4"/>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43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743950"/>
                    </a:xfrm>
                    <a:prstGeom prst="rect">
                      <a:avLst/>
                    </a:prstGeom>
                    <a:noFill/>
                  </pic:spPr>
                </pic:pic>
              </a:graphicData>
            </a:graphic>
          </wp:anchor>
        </w:drawing>
        <w:t>TABLE OF CONTENTS</w:t>
      </w:r>
    </w:p>
    <w:p>
      <w:pPr>
        <w:sectPr>
          <w:pgSz w:w="11900" w:h="16838" w:orient="portrait"/>
          <w:cols w:equalWidth="0" w:num="1">
            <w:col w:w="9140"/>
          </w:cols>
          <w:pgMar w:left="1440" w:top="1186" w:right="1319" w:bottom="1440" w:gutter="0" w:footer="0" w:header="0"/>
        </w:sect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02"/>
        </w:trPr>
        <w:tc>
          <w:tcPr>
            <w:tcW w:w="3740" w:type="dxa"/>
            <w:vAlign w:val="bottom"/>
          </w:tcPr>
          <w:p>
            <w:pPr>
              <w:spacing w:after="0"/>
              <w:rPr>
                <w:rFonts w:ascii="Arial" w:cs="Arial" w:eastAsia="Arial" w:hAnsi="Arial"/>
                <w:sz w:val="15"/>
                <w:szCs w:val="15"/>
                <w:b w:val="1"/>
                <w:bCs w:val="1"/>
                <w:color w:val="2952A4"/>
              </w:rPr>
            </w:pPr>
            <w:hyperlink w:anchor="page12">
              <w:r>
                <w:rPr>
                  <w:rFonts w:ascii="Arial" w:cs="Arial" w:eastAsia="Arial" w:hAnsi="Arial"/>
                  <w:sz w:val="15"/>
                  <w:szCs w:val="15"/>
                  <w:b w:val="1"/>
                  <w:bCs w:val="1"/>
                  <w:color w:val="2952A4"/>
                </w:rPr>
                <w:t>Users’ Guide</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952A4"/>
              </w:rPr>
              <w:t>1</w:t>
            </w:r>
          </w:p>
        </w:tc>
      </w:tr>
      <w:tr>
        <w:trPr>
          <w:trHeight w:val="257"/>
        </w:trPr>
        <w:tc>
          <w:tcPr>
            <w:tcW w:w="3740" w:type="dxa"/>
            <w:vAlign w:val="bottom"/>
          </w:tcPr>
          <w:p>
            <w:pPr>
              <w:spacing w:after="0"/>
              <w:rPr>
                <w:rFonts w:ascii="Arial" w:cs="Arial" w:eastAsia="Arial" w:hAnsi="Arial"/>
                <w:sz w:val="15"/>
                <w:szCs w:val="15"/>
                <w:b w:val="1"/>
                <w:bCs w:val="1"/>
                <w:color w:val="auto"/>
              </w:rPr>
            </w:pPr>
            <w:hyperlink w:anchor="page12">
              <w:r>
                <w:rPr>
                  <w:rFonts w:ascii="Arial" w:cs="Arial" w:eastAsia="Arial" w:hAnsi="Arial"/>
                  <w:sz w:val="15"/>
                  <w:szCs w:val="15"/>
                  <w:b w:val="1"/>
                  <w:bCs w:val="1"/>
                  <w:color w:val="auto"/>
                </w:rPr>
                <w:t>Proxy Dashboard</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1</w:t>
            </w:r>
          </w:p>
        </w:tc>
      </w:tr>
      <w:tr>
        <w:trPr>
          <w:trHeight w:val="257"/>
        </w:trPr>
        <w:tc>
          <w:tcPr>
            <w:tcW w:w="3740" w:type="dxa"/>
            <w:vAlign w:val="bottom"/>
          </w:tcPr>
          <w:p>
            <w:pPr>
              <w:spacing w:after="0"/>
              <w:rPr>
                <w:rFonts w:ascii="Arial" w:cs="Arial" w:eastAsia="Arial" w:hAnsi="Arial"/>
                <w:sz w:val="15"/>
                <w:szCs w:val="15"/>
                <w:b w:val="1"/>
                <w:bCs w:val="1"/>
                <w:color w:val="auto"/>
              </w:rPr>
            </w:pPr>
            <w:hyperlink w:anchor="page13">
              <w:r>
                <w:rPr>
                  <w:rFonts w:ascii="Arial" w:cs="Arial" w:eastAsia="Arial" w:hAnsi="Arial"/>
                  <w:sz w:val="15"/>
                  <w:szCs w:val="15"/>
                  <w:b w:val="1"/>
                  <w:bCs w:val="1"/>
                  <w:color w:val="auto"/>
                </w:rPr>
                <w:t>Proxy Highlights</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2</w:t>
            </w:r>
          </w:p>
        </w:tc>
      </w:tr>
      <w:tr>
        <w:trPr>
          <w:trHeight w:val="257"/>
        </w:trPr>
        <w:tc>
          <w:tcPr>
            <w:tcW w:w="3740" w:type="dxa"/>
            <w:vAlign w:val="bottom"/>
          </w:tcPr>
          <w:p>
            <w:pPr>
              <w:spacing w:after="0"/>
              <w:rPr>
                <w:rFonts w:ascii="Arial" w:cs="Arial" w:eastAsia="Arial" w:hAnsi="Arial"/>
                <w:sz w:val="15"/>
                <w:szCs w:val="15"/>
                <w:b w:val="1"/>
                <w:bCs w:val="1"/>
                <w:color w:val="auto"/>
              </w:rPr>
            </w:pPr>
            <w:hyperlink w:anchor="page14">
              <w:r>
                <w:rPr>
                  <w:rFonts w:ascii="Arial" w:cs="Arial" w:eastAsia="Arial" w:hAnsi="Arial"/>
                  <w:sz w:val="15"/>
                  <w:szCs w:val="15"/>
                  <w:b w:val="1"/>
                  <w:bCs w:val="1"/>
                  <w:color w:val="auto"/>
                </w:rPr>
                <w:t>General Information about the Meeting</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3</w:t>
            </w:r>
          </w:p>
        </w:tc>
      </w:tr>
      <w:tr>
        <w:trPr>
          <w:trHeight w:val="257"/>
        </w:trPr>
        <w:tc>
          <w:tcPr>
            <w:tcW w:w="3740" w:type="dxa"/>
            <w:vAlign w:val="bottom"/>
          </w:tcPr>
          <w:p>
            <w:pPr>
              <w:spacing w:after="0"/>
              <w:rPr>
                <w:rFonts w:ascii="Arial" w:cs="Arial" w:eastAsia="Arial" w:hAnsi="Arial"/>
                <w:sz w:val="15"/>
                <w:szCs w:val="15"/>
                <w:b w:val="1"/>
                <w:bCs w:val="1"/>
                <w:color w:val="2952A4"/>
              </w:rPr>
            </w:pPr>
            <w:hyperlink w:anchor="page20">
              <w:r>
                <w:rPr>
                  <w:rFonts w:ascii="Arial" w:cs="Arial" w:eastAsia="Arial" w:hAnsi="Arial"/>
                  <w:sz w:val="15"/>
                  <w:szCs w:val="15"/>
                  <w:b w:val="1"/>
                  <w:bCs w:val="1"/>
                  <w:color w:val="2952A4"/>
                </w:rPr>
                <w:t>Board of Directors</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952A4"/>
              </w:rPr>
              <w:t>9</w:t>
            </w:r>
          </w:p>
        </w:tc>
      </w:tr>
      <w:tr>
        <w:trPr>
          <w:trHeight w:val="256"/>
        </w:trPr>
        <w:tc>
          <w:tcPr>
            <w:tcW w:w="3740" w:type="dxa"/>
            <w:vAlign w:val="bottom"/>
          </w:tcPr>
          <w:p>
            <w:pPr>
              <w:spacing w:after="0"/>
              <w:rPr>
                <w:rFonts w:ascii="Arial" w:cs="Arial" w:eastAsia="Arial" w:hAnsi="Arial"/>
                <w:sz w:val="15"/>
                <w:szCs w:val="15"/>
                <w:b w:val="1"/>
                <w:bCs w:val="1"/>
                <w:color w:val="auto"/>
              </w:rPr>
            </w:pPr>
            <w:hyperlink w:anchor="page20">
              <w:r>
                <w:rPr>
                  <w:rFonts w:ascii="Arial" w:cs="Arial" w:eastAsia="Arial" w:hAnsi="Arial"/>
                  <w:sz w:val="15"/>
                  <w:szCs w:val="15"/>
                  <w:b w:val="1"/>
                  <w:bCs w:val="1"/>
                  <w:color w:val="auto"/>
                </w:rPr>
                <w:t>Meet the Board</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9</w:t>
            </w:r>
          </w:p>
        </w:tc>
      </w:tr>
      <w:tr>
        <w:trPr>
          <w:trHeight w:val="257"/>
        </w:trPr>
        <w:tc>
          <w:tcPr>
            <w:tcW w:w="3740" w:type="dxa"/>
            <w:vAlign w:val="bottom"/>
          </w:tcPr>
          <w:p>
            <w:pPr>
              <w:spacing w:after="0"/>
              <w:rPr>
                <w:rFonts w:ascii="Arial" w:cs="Arial" w:eastAsia="Arial" w:hAnsi="Arial"/>
                <w:sz w:val="15"/>
                <w:szCs w:val="15"/>
                <w:b w:val="1"/>
                <w:bCs w:val="1"/>
                <w:color w:val="auto"/>
              </w:rPr>
            </w:pPr>
            <w:hyperlink w:anchor="page33">
              <w:r>
                <w:rPr>
                  <w:rFonts w:ascii="Arial" w:cs="Arial" w:eastAsia="Arial" w:hAnsi="Arial"/>
                  <w:sz w:val="15"/>
                  <w:szCs w:val="15"/>
                  <w:b w:val="1"/>
                  <w:bCs w:val="1"/>
                  <w:color w:val="auto"/>
                </w:rPr>
                <w:t>Board Committees</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22</w:t>
            </w:r>
          </w:p>
        </w:tc>
      </w:tr>
      <w:tr>
        <w:trPr>
          <w:trHeight w:val="257"/>
        </w:trPr>
        <w:tc>
          <w:tcPr>
            <w:tcW w:w="3740" w:type="dxa"/>
            <w:vAlign w:val="bottom"/>
          </w:tcPr>
          <w:p>
            <w:pPr>
              <w:spacing w:after="0"/>
              <w:rPr>
                <w:rFonts w:ascii="Arial" w:cs="Arial" w:eastAsia="Arial" w:hAnsi="Arial"/>
                <w:sz w:val="15"/>
                <w:szCs w:val="15"/>
                <w:b w:val="1"/>
                <w:bCs w:val="1"/>
                <w:color w:val="auto"/>
              </w:rPr>
            </w:pPr>
            <w:hyperlink w:anchor="page35">
              <w:r>
                <w:rPr>
                  <w:rFonts w:ascii="Arial" w:cs="Arial" w:eastAsia="Arial" w:hAnsi="Arial"/>
                  <w:sz w:val="15"/>
                  <w:szCs w:val="15"/>
                  <w:b w:val="1"/>
                  <w:bCs w:val="1"/>
                  <w:color w:val="auto"/>
                </w:rPr>
                <w:t>Board Governance</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24</w:t>
            </w:r>
          </w:p>
        </w:tc>
      </w:tr>
      <w:tr>
        <w:trPr>
          <w:trHeight w:val="257"/>
        </w:trPr>
        <w:tc>
          <w:tcPr>
            <w:tcW w:w="3740" w:type="dxa"/>
            <w:vAlign w:val="bottom"/>
          </w:tcPr>
          <w:p>
            <w:pPr>
              <w:ind w:left="320"/>
              <w:spacing w:after="0"/>
              <w:rPr>
                <w:rFonts w:ascii="Arial" w:cs="Arial" w:eastAsia="Arial" w:hAnsi="Arial"/>
                <w:sz w:val="15"/>
                <w:szCs w:val="15"/>
                <w:color w:val="auto"/>
              </w:rPr>
            </w:pPr>
            <w:hyperlink w:anchor="page35">
              <w:r>
                <w:rPr>
                  <w:rFonts w:ascii="Arial" w:cs="Arial" w:eastAsia="Arial" w:hAnsi="Arial"/>
                  <w:sz w:val="15"/>
                  <w:szCs w:val="15"/>
                  <w:color w:val="auto"/>
                </w:rPr>
                <w:t>Board Structure</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24</w:t>
            </w:r>
          </w:p>
        </w:tc>
      </w:tr>
      <w:tr>
        <w:trPr>
          <w:trHeight w:val="256"/>
        </w:trPr>
        <w:tc>
          <w:tcPr>
            <w:tcW w:w="3740" w:type="dxa"/>
            <w:vAlign w:val="bottom"/>
          </w:tcPr>
          <w:p>
            <w:pPr>
              <w:ind w:left="320"/>
              <w:spacing w:after="0"/>
              <w:rPr>
                <w:rFonts w:ascii="Arial" w:cs="Arial" w:eastAsia="Arial" w:hAnsi="Arial"/>
                <w:sz w:val="15"/>
                <w:szCs w:val="15"/>
                <w:color w:val="auto"/>
              </w:rPr>
            </w:pPr>
            <w:hyperlink w:anchor="page35">
              <w:r>
                <w:rPr>
                  <w:rFonts w:ascii="Arial" w:cs="Arial" w:eastAsia="Arial" w:hAnsi="Arial"/>
                  <w:sz w:val="15"/>
                  <w:szCs w:val="15"/>
                  <w:color w:val="auto"/>
                </w:rPr>
                <w:t>Board Meetings and Attendance of Directors</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24</w:t>
            </w:r>
          </w:p>
        </w:tc>
      </w:tr>
      <w:tr>
        <w:trPr>
          <w:trHeight w:val="234"/>
        </w:trPr>
        <w:tc>
          <w:tcPr>
            <w:tcW w:w="3740" w:type="dxa"/>
            <w:vAlign w:val="bottom"/>
          </w:tcPr>
          <w:p>
            <w:pPr>
              <w:ind w:left="320"/>
              <w:spacing w:after="0"/>
              <w:rPr>
                <w:rFonts w:ascii="Arial" w:cs="Arial" w:eastAsia="Arial" w:hAnsi="Arial"/>
                <w:sz w:val="15"/>
                <w:szCs w:val="15"/>
                <w:color w:val="auto"/>
              </w:rPr>
            </w:pPr>
            <w:hyperlink w:anchor="page35">
              <w:r>
                <w:rPr>
                  <w:rFonts w:ascii="Arial" w:cs="Arial" w:eastAsia="Arial" w:hAnsi="Arial"/>
                  <w:sz w:val="15"/>
                  <w:szCs w:val="15"/>
                  <w:color w:val="auto"/>
                </w:rPr>
                <w:t>Procedures Relating to Nominees; Board</w:t>
              </w:r>
            </w:hyperlink>
          </w:p>
        </w:tc>
        <w:tc>
          <w:tcPr>
            <w:tcW w:w="360" w:type="dxa"/>
            <w:vAlign w:val="bottom"/>
          </w:tcPr>
          <w:p>
            <w:pPr>
              <w:spacing w:after="0"/>
              <w:rPr>
                <w:sz w:val="20"/>
                <w:szCs w:val="20"/>
                <w:color w:val="auto"/>
              </w:rPr>
            </w:pPr>
          </w:p>
        </w:tc>
      </w:tr>
      <w:tr>
        <w:trPr>
          <w:trHeight w:val="184"/>
        </w:trPr>
        <w:tc>
          <w:tcPr>
            <w:tcW w:w="3740" w:type="dxa"/>
            <w:vAlign w:val="bottom"/>
          </w:tcPr>
          <w:p>
            <w:pPr>
              <w:ind w:left="320"/>
              <w:spacing w:after="0"/>
              <w:rPr>
                <w:rFonts w:ascii="Arial" w:cs="Arial" w:eastAsia="Arial" w:hAnsi="Arial"/>
                <w:sz w:val="15"/>
                <w:szCs w:val="15"/>
                <w:color w:val="auto"/>
              </w:rPr>
            </w:pPr>
            <w:hyperlink w:anchor="page35">
              <w:r>
                <w:rPr>
                  <w:rFonts w:ascii="Arial" w:cs="Arial" w:eastAsia="Arial" w:hAnsi="Arial"/>
                  <w:sz w:val="15"/>
                  <w:szCs w:val="15"/>
                  <w:color w:val="auto"/>
                </w:rPr>
                <w:t>Succession Planning</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24</w:t>
            </w:r>
          </w:p>
        </w:tc>
      </w:tr>
      <w:tr>
        <w:trPr>
          <w:trHeight w:val="256"/>
        </w:trPr>
        <w:tc>
          <w:tcPr>
            <w:tcW w:w="3740" w:type="dxa"/>
            <w:vAlign w:val="bottom"/>
          </w:tcPr>
          <w:p>
            <w:pPr>
              <w:ind w:left="320"/>
              <w:spacing w:after="0"/>
              <w:rPr>
                <w:rFonts w:ascii="Arial" w:cs="Arial" w:eastAsia="Arial" w:hAnsi="Arial"/>
                <w:sz w:val="15"/>
                <w:szCs w:val="15"/>
                <w:color w:val="auto"/>
              </w:rPr>
            </w:pPr>
            <w:hyperlink w:anchor="page36">
              <w:r>
                <w:rPr>
                  <w:rFonts w:ascii="Arial" w:cs="Arial" w:eastAsia="Arial" w:hAnsi="Arial"/>
                  <w:sz w:val="15"/>
                  <w:szCs w:val="15"/>
                  <w:color w:val="auto"/>
                </w:rPr>
                <w:t>Board and Committee Self-Assessments</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25</w:t>
            </w:r>
          </w:p>
        </w:tc>
      </w:tr>
      <w:tr>
        <w:trPr>
          <w:trHeight w:val="234"/>
        </w:trPr>
        <w:tc>
          <w:tcPr>
            <w:tcW w:w="3740" w:type="dxa"/>
            <w:vAlign w:val="bottom"/>
          </w:tcPr>
          <w:p>
            <w:pPr>
              <w:ind w:left="320"/>
              <w:spacing w:after="0"/>
              <w:rPr>
                <w:rFonts w:ascii="Arial" w:cs="Arial" w:eastAsia="Arial" w:hAnsi="Arial"/>
                <w:sz w:val="15"/>
                <w:szCs w:val="15"/>
                <w:color w:val="auto"/>
              </w:rPr>
            </w:pPr>
            <w:hyperlink w:anchor="page37">
              <w:r>
                <w:rPr>
                  <w:rFonts w:ascii="Arial" w:cs="Arial" w:eastAsia="Arial" w:hAnsi="Arial"/>
                  <w:sz w:val="15"/>
                  <w:szCs w:val="15"/>
                  <w:color w:val="auto"/>
                </w:rPr>
                <w:t>Shareholder Rights to Remove Directors for</w:t>
              </w:r>
            </w:hyperlink>
          </w:p>
        </w:tc>
        <w:tc>
          <w:tcPr>
            <w:tcW w:w="360" w:type="dxa"/>
            <w:vAlign w:val="bottom"/>
          </w:tcPr>
          <w:p>
            <w:pPr>
              <w:spacing w:after="0"/>
              <w:rPr>
                <w:sz w:val="20"/>
                <w:szCs w:val="20"/>
                <w:color w:val="auto"/>
              </w:rPr>
            </w:pPr>
          </w:p>
        </w:tc>
      </w:tr>
      <w:tr>
        <w:trPr>
          <w:trHeight w:val="184"/>
        </w:trPr>
        <w:tc>
          <w:tcPr>
            <w:tcW w:w="3740" w:type="dxa"/>
            <w:vAlign w:val="bottom"/>
          </w:tcPr>
          <w:p>
            <w:pPr>
              <w:ind w:left="320"/>
              <w:spacing w:after="0"/>
              <w:rPr>
                <w:rFonts w:ascii="Arial" w:cs="Arial" w:eastAsia="Arial" w:hAnsi="Arial"/>
                <w:sz w:val="15"/>
                <w:szCs w:val="15"/>
                <w:color w:val="auto"/>
              </w:rPr>
            </w:pPr>
            <w:hyperlink w:anchor="page37">
              <w:r>
                <w:rPr>
                  <w:rFonts w:ascii="Arial" w:cs="Arial" w:eastAsia="Arial" w:hAnsi="Arial"/>
                  <w:sz w:val="15"/>
                  <w:szCs w:val="15"/>
                  <w:color w:val="auto"/>
                </w:rPr>
                <w:t>Cause and to Call Special Shareholder Meeting</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26</w:t>
            </w:r>
          </w:p>
        </w:tc>
      </w:tr>
      <w:tr>
        <w:trPr>
          <w:trHeight w:val="257"/>
        </w:trPr>
        <w:tc>
          <w:tcPr>
            <w:tcW w:w="3740" w:type="dxa"/>
            <w:vAlign w:val="bottom"/>
          </w:tcPr>
          <w:p>
            <w:pPr>
              <w:ind w:left="320"/>
              <w:spacing w:after="0"/>
              <w:rPr>
                <w:rFonts w:ascii="Arial" w:cs="Arial" w:eastAsia="Arial" w:hAnsi="Arial"/>
                <w:sz w:val="15"/>
                <w:szCs w:val="15"/>
                <w:color w:val="auto"/>
              </w:rPr>
            </w:pPr>
            <w:hyperlink w:anchor="page37">
              <w:r>
                <w:rPr>
                  <w:rFonts w:ascii="Arial" w:cs="Arial" w:eastAsia="Arial" w:hAnsi="Arial"/>
                  <w:sz w:val="15"/>
                  <w:szCs w:val="15"/>
                  <w:color w:val="auto"/>
                </w:rPr>
                <w:t>Director Independence</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26</w:t>
            </w:r>
          </w:p>
        </w:tc>
      </w:tr>
      <w:tr>
        <w:trPr>
          <w:trHeight w:val="257"/>
        </w:trPr>
        <w:tc>
          <w:tcPr>
            <w:tcW w:w="3740" w:type="dxa"/>
            <w:vAlign w:val="bottom"/>
          </w:tcPr>
          <w:p>
            <w:pPr>
              <w:ind w:left="320"/>
              <w:spacing w:after="0"/>
              <w:rPr>
                <w:rFonts w:ascii="Arial" w:cs="Arial" w:eastAsia="Arial" w:hAnsi="Arial"/>
                <w:sz w:val="15"/>
                <w:szCs w:val="15"/>
                <w:color w:val="auto"/>
              </w:rPr>
            </w:pPr>
            <w:hyperlink w:anchor="page37">
              <w:r>
                <w:rPr>
                  <w:rFonts w:ascii="Arial" w:cs="Arial" w:eastAsia="Arial" w:hAnsi="Arial"/>
                  <w:sz w:val="15"/>
                  <w:szCs w:val="15"/>
                  <w:color w:val="auto"/>
                </w:rPr>
                <w:t>Board Leadership and Role in Risk Oversight</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26</w:t>
            </w:r>
          </w:p>
        </w:tc>
      </w:tr>
      <w:tr>
        <w:trPr>
          <w:trHeight w:val="234"/>
        </w:trPr>
        <w:tc>
          <w:tcPr>
            <w:tcW w:w="3740" w:type="dxa"/>
            <w:vAlign w:val="bottom"/>
          </w:tcPr>
          <w:p>
            <w:pPr>
              <w:ind w:left="320"/>
              <w:spacing w:after="0"/>
              <w:rPr>
                <w:rFonts w:ascii="Arial" w:cs="Arial" w:eastAsia="Arial" w:hAnsi="Arial"/>
                <w:sz w:val="15"/>
                <w:szCs w:val="15"/>
                <w:color w:val="auto"/>
              </w:rPr>
            </w:pPr>
            <w:hyperlink w:anchor="page38">
              <w:r>
                <w:rPr>
                  <w:rFonts w:ascii="Arial" w:cs="Arial" w:eastAsia="Arial" w:hAnsi="Arial"/>
                  <w:sz w:val="15"/>
                  <w:szCs w:val="15"/>
                  <w:color w:val="auto"/>
                </w:rPr>
                <w:t>Executive Compensation Processes and</w:t>
              </w:r>
            </w:hyperlink>
          </w:p>
        </w:tc>
        <w:tc>
          <w:tcPr>
            <w:tcW w:w="360" w:type="dxa"/>
            <w:vAlign w:val="bottom"/>
          </w:tcPr>
          <w:p>
            <w:pPr>
              <w:spacing w:after="0"/>
              <w:rPr>
                <w:sz w:val="20"/>
                <w:szCs w:val="20"/>
                <w:color w:val="auto"/>
              </w:rPr>
            </w:pPr>
          </w:p>
        </w:tc>
      </w:tr>
      <w:tr>
        <w:trPr>
          <w:trHeight w:val="184"/>
        </w:trPr>
        <w:tc>
          <w:tcPr>
            <w:tcW w:w="3740" w:type="dxa"/>
            <w:vAlign w:val="bottom"/>
          </w:tcPr>
          <w:p>
            <w:pPr>
              <w:ind w:left="320"/>
              <w:spacing w:after="0"/>
              <w:rPr>
                <w:rFonts w:ascii="Arial" w:cs="Arial" w:eastAsia="Arial" w:hAnsi="Arial"/>
                <w:sz w:val="15"/>
                <w:szCs w:val="15"/>
                <w:color w:val="auto"/>
              </w:rPr>
            </w:pPr>
            <w:hyperlink w:anchor="page38">
              <w:r>
                <w:rPr>
                  <w:rFonts w:ascii="Arial" w:cs="Arial" w:eastAsia="Arial" w:hAnsi="Arial"/>
                  <w:sz w:val="15"/>
                  <w:szCs w:val="15"/>
                  <w:color w:val="auto"/>
                </w:rPr>
                <w:t>Procedures; Role of Compensation Consultants</w:t>
              </w:r>
            </w:hyperlink>
          </w:p>
        </w:tc>
        <w:tc>
          <w:tcPr>
            <w:tcW w:w="360" w:type="dxa"/>
            <w:vAlign w:val="bottom"/>
          </w:tcPr>
          <w:p>
            <w:pPr>
              <w:jc w:val="right"/>
              <w:spacing w:after="0"/>
              <w:rPr>
                <w:sz w:val="20"/>
                <w:szCs w:val="20"/>
                <w:color w:val="auto"/>
              </w:rPr>
            </w:pPr>
            <w:r>
              <w:rPr>
                <w:rFonts w:ascii="Arial" w:cs="Arial" w:eastAsia="Arial" w:hAnsi="Arial"/>
                <w:sz w:val="15"/>
                <w:szCs w:val="15"/>
                <w:color w:val="231F20"/>
              </w:rPr>
              <w:t>27</w:t>
            </w:r>
          </w:p>
        </w:tc>
      </w:tr>
      <w:tr>
        <w:trPr>
          <w:trHeight w:val="257"/>
        </w:trPr>
        <w:tc>
          <w:tcPr>
            <w:tcW w:w="3740" w:type="dxa"/>
            <w:vAlign w:val="bottom"/>
          </w:tcPr>
          <w:p>
            <w:pPr>
              <w:spacing w:after="0"/>
              <w:rPr>
                <w:rFonts w:ascii="Arial" w:cs="Arial" w:eastAsia="Arial" w:hAnsi="Arial"/>
                <w:sz w:val="15"/>
                <w:szCs w:val="15"/>
                <w:b w:val="1"/>
                <w:bCs w:val="1"/>
                <w:color w:val="auto"/>
              </w:rPr>
            </w:pPr>
            <w:hyperlink w:anchor="page39">
              <w:r>
                <w:rPr>
                  <w:rFonts w:ascii="Arial" w:cs="Arial" w:eastAsia="Arial" w:hAnsi="Arial"/>
                  <w:sz w:val="15"/>
                  <w:szCs w:val="15"/>
                  <w:b w:val="1"/>
                  <w:bCs w:val="1"/>
                  <w:color w:val="auto"/>
                </w:rPr>
                <w:t>Compensation of Directors</w:t>
              </w:r>
            </w:hyperlink>
          </w:p>
        </w:tc>
        <w:tc>
          <w:tcPr>
            <w:tcW w:w="360" w:type="dxa"/>
            <w:vAlign w:val="bottom"/>
          </w:tcPr>
          <w:p>
            <w:pPr>
              <w:jc w:val="right"/>
              <w:spacing w:after="0"/>
              <w:rPr>
                <w:sz w:val="20"/>
                <w:szCs w:val="20"/>
                <w:color w:val="auto"/>
              </w:rPr>
            </w:pPr>
            <w:r>
              <w:rPr>
                <w:rFonts w:ascii="Arial" w:cs="Arial" w:eastAsia="Arial" w:hAnsi="Arial"/>
                <w:sz w:val="15"/>
                <w:szCs w:val="15"/>
                <w:b w:val="1"/>
                <w:bCs w:val="1"/>
                <w:color w:val="231F20"/>
              </w:rPr>
              <w:t>28</w:t>
            </w:r>
          </w:p>
        </w:tc>
      </w:tr>
    </w:tbl>
    <w:p>
      <w:pPr>
        <w:spacing w:after="0" w:line="111" w:lineRule="exact"/>
        <w:rPr>
          <w:sz w:val="20"/>
          <w:szCs w:val="20"/>
          <w:color w:val="auto"/>
        </w:rPr>
      </w:pPr>
    </w:p>
    <w:p>
      <w:pPr>
        <w:ind w:left="180"/>
        <w:spacing w:after="0"/>
        <w:rPr>
          <w:rFonts w:ascii="Arial" w:cs="Arial" w:eastAsia="Arial" w:hAnsi="Arial"/>
          <w:sz w:val="22"/>
          <w:szCs w:val="22"/>
          <w:b w:val="1"/>
          <w:bCs w:val="1"/>
          <w:color w:val="auto"/>
        </w:rPr>
      </w:pPr>
      <w:hyperlink w:anchor="page43">
        <w:r>
          <w:rPr>
            <w:rFonts w:ascii="Arial" w:cs="Arial" w:eastAsia="Arial" w:hAnsi="Arial"/>
            <w:sz w:val="22"/>
            <w:szCs w:val="22"/>
            <w:b w:val="1"/>
            <w:bCs w:val="1"/>
            <w:color w:val="auto"/>
          </w:rPr>
          <w:t>PROPOSAL NO. 1</w:t>
        </w:r>
      </w:hyperlink>
    </w:p>
    <w:p>
      <w:pPr>
        <w:spacing w:after="0" w:line="18" w:lineRule="exact"/>
        <w:rPr>
          <w:sz w:val="20"/>
          <w:szCs w:val="20"/>
          <w:color w:val="auto"/>
        </w:rPr>
      </w:pPr>
    </w:p>
    <w:p>
      <w:pPr>
        <w:ind w:left="180"/>
        <w:spacing w:after="0"/>
        <w:rPr>
          <w:rFonts w:ascii="Arial" w:cs="Arial" w:eastAsia="Arial" w:hAnsi="Arial"/>
          <w:sz w:val="29"/>
          <w:szCs w:val="29"/>
          <w:b w:val="1"/>
          <w:bCs w:val="1"/>
          <w:color w:val="C04C57"/>
        </w:rPr>
      </w:pPr>
      <w:hyperlink w:anchor="page43">
        <w:r>
          <w:rPr>
            <w:rFonts w:ascii="Arial" w:cs="Arial" w:eastAsia="Arial" w:hAnsi="Arial"/>
            <w:sz w:val="29"/>
            <w:szCs w:val="29"/>
            <w:b w:val="1"/>
            <w:bCs w:val="1"/>
            <w:color w:val="C04C57"/>
          </w:rPr>
          <w:t>ELECTION OF</w:t>
        </w:r>
      </w:hyperlink>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342"/>
        </w:trPr>
        <w:tc>
          <w:tcPr>
            <w:tcW w:w="3620" w:type="dxa"/>
            <w:vAlign w:val="bottom"/>
            <w:tcBorders>
              <w:bottom w:val="single" w:sz="8" w:color="2952A4"/>
            </w:tcBorders>
          </w:tcPr>
          <w:p>
            <w:pPr>
              <w:spacing w:after="0"/>
              <w:rPr>
                <w:rFonts w:ascii="Arial" w:cs="Arial" w:eastAsia="Arial" w:hAnsi="Arial"/>
                <w:sz w:val="29"/>
                <w:szCs w:val="29"/>
                <w:b w:val="1"/>
                <w:bCs w:val="1"/>
                <w:color w:val="C04C57"/>
              </w:rPr>
            </w:pPr>
            <w:hyperlink w:anchor="page43">
              <w:r>
                <w:rPr>
                  <w:rFonts w:ascii="Arial" w:cs="Arial" w:eastAsia="Arial" w:hAnsi="Arial"/>
                  <w:sz w:val="29"/>
                  <w:szCs w:val="29"/>
                  <w:b w:val="1"/>
                  <w:bCs w:val="1"/>
                  <w:color w:val="C04C57"/>
                </w:rPr>
                <w:t>DIRECTORS</w:t>
              </w:r>
            </w:hyperlink>
          </w:p>
        </w:tc>
        <w:tc>
          <w:tcPr>
            <w:tcW w:w="480" w:type="dxa"/>
            <w:vAlign w:val="bottom"/>
            <w:tcBorders>
              <w:bottom w:val="single" w:sz="8" w:color="2952A4"/>
            </w:tcBorders>
          </w:tcPr>
          <w:p>
            <w:pPr>
              <w:jc w:val="right"/>
              <w:spacing w:after="0"/>
              <w:rPr>
                <w:sz w:val="20"/>
                <w:szCs w:val="20"/>
                <w:color w:val="auto"/>
              </w:rPr>
            </w:pPr>
            <w:r>
              <w:rPr>
                <w:rFonts w:ascii="Arial" w:cs="Arial" w:eastAsia="Arial" w:hAnsi="Arial"/>
                <w:sz w:val="29"/>
                <w:szCs w:val="29"/>
                <w:b w:val="1"/>
                <w:bCs w:val="1"/>
                <w:color w:val="C04C57"/>
              </w:rPr>
              <w:t>32</w:t>
            </w:r>
          </w:p>
        </w:tc>
      </w:tr>
      <w:tr>
        <w:trPr>
          <w:trHeight w:val="336"/>
        </w:trPr>
        <w:tc>
          <w:tcPr>
            <w:tcW w:w="3620" w:type="dxa"/>
            <w:vAlign w:val="bottom"/>
          </w:tcPr>
          <w:p>
            <w:pPr>
              <w:spacing w:after="0"/>
              <w:rPr>
                <w:rFonts w:ascii="Arial" w:cs="Arial" w:eastAsia="Arial" w:hAnsi="Arial"/>
                <w:sz w:val="15"/>
                <w:szCs w:val="15"/>
                <w:b w:val="1"/>
                <w:bCs w:val="1"/>
                <w:color w:val="2952A4"/>
              </w:rPr>
            </w:pPr>
            <w:hyperlink w:anchor="page44">
              <w:r>
                <w:rPr>
                  <w:rFonts w:ascii="Arial" w:cs="Arial" w:eastAsia="Arial" w:hAnsi="Arial"/>
                  <w:sz w:val="15"/>
                  <w:szCs w:val="15"/>
                  <w:b w:val="1"/>
                  <w:bCs w:val="1"/>
                  <w:color w:val="2952A4"/>
                </w:rPr>
                <w:t>The Company</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33</w:t>
            </w:r>
          </w:p>
        </w:tc>
      </w:tr>
      <w:tr>
        <w:trPr>
          <w:trHeight w:val="256"/>
        </w:trPr>
        <w:tc>
          <w:tcPr>
            <w:tcW w:w="3620" w:type="dxa"/>
            <w:vAlign w:val="bottom"/>
          </w:tcPr>
          <w:p>
            <w:pPr>
              <w:spacing w:after="0"/>
              <w:rPr>
                <w:rFonts w:ascii="Arial" w:cs="Arial" w:eastAsia="Arial" w:hAnsi="Arial"/>
                <w:sz w:val="15"/>
                <w:szCs w:val="15"/>
                <w:b w:val="1"/>
                <w:bCs w:val="1"/>
                <w:color w:val="auto"/>
              </w:rPr>
            </w:pPr>
            <w:hyperlink w:anchor="page44">
              <w:r>
                <w:rPr>
                  <w:rFonts w:ascii="Arial" w:cs="Arial" w:eastAsia="Arial" w:hAnsi="Arial"/>
                  <w:sz w:val="15"/>
                  <w:szCs w:val="15"/>
                  <w:b w:val="1"/>
                  <w:bCs w:val="1"/>
                  <w:color w:val="auto"/>
                </w:rPr>
                <w:t>Executive Officers of the Company</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231F20"/>
              </w:rPr>
              <w:t>33</w:t>
            </w:r>
          </w:p>
        </w:tc>
      </w:tr>
      <w:tr>
        <w:trPr>
          <w:trHeight w:val="257"/>
        </w:trPr>
        <w:tc>
          <w:tcPr>
            <w:tcW w:w="3620" w:type="dxa"/>
            <w:vAlign w:val="bottom"/>
          </w:tcPr>
          <w:p>
            <w:pPr>
              <w:spacing w:after="0"/>
              <w:rPr>
                <w:rFonts w:ascii="Arial" w:cs="Arial" w:eastAsia="Arial" w:hAnsi="Arial"/>
                <w:sz w:val="15"/>
                <w:szCs w:val="15"/>
                <w:b w:val="1"/>
                <w:bCs w:val="1"/>
                <w:color w:val="auto"/>
              </w:rPr>
            </w:pPr>
            <w:hyperlink w:anchor="page46">
              <w:r>
                <w:rPr>
                  <w:rFonts w:ascii="Arial" w:cs="Arial" w:eastAsia="Arial" w:hAnsi="Arial"/>
                  <w:sz w:val="15"/>
                  <w:szCs w:val="15"/>
                  <w:b w:val="1"/>
                  <w:bCs w:val="1"/>
                  <w:color w:val="auto"/>
                </w:rPr>
                <w:t>Corporate Governance</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231F20"/>
              </w:rPr>
              <w:t>35</w:t>
            </w:r>
          </w:p>
        </w:tc>
      </w:tr>
      <w:tr>
        <w:trPr>
          <w:trHeight w:val="256"/>
        </w:trPr>
        <w:tc>
          <w:tcPr>
            <w:tcW w:w="3620" w:type="dxa"/>
            <w:vAlign w:val="bottom"/>
          </w:tcPr>
          <w:p>
            <w:pPr>
              <w:ind w:left="320"/>
              <w:spacing w:after="0"/>
              <w:rPr>
                <w:rFonts w:ascii="Arial" w:cs="Arial" w:eastAsia="Arial" w:hAnsi="Arial"/>
                <w:sz w:val="15"/>
                <w:szCs w:val="15"/>
                <w:color w:val="auto"/>
              </w:rPr>
            </w:pPr>
            <w:hyperlink w:anchor="page46">
              <w:r>
                <w:rPr>
                  <w:rFonts w:ascii="Arial" w:cs="Arial" w:eastAsia="Arial" w:hAnsi="Arial"/>
                  <w:sz w:val="15"/>
                  <w:szCs w:val="15"/>
                  <w:color w:val="auto"/>
                </w:rPr>
                <w:t>Overview</w:t>
              </w:r>
            </w:hyperlink>
          </w:p>
        </w:tc>
        <w:tc>
          <w:tcPr>
            <w:tcW w:w="480" w:type="dxa"/>
            <w:vAlign w:val="bottom"/>
          </w:tcPr>
          <w:p>
            <w:pPr>
              <w:jc w:val="right"/>
              <w:spacing w:after="0"/>
              <w:rPr>
                <w:sz w:val="20"/>
                <w:szCs w:val="20"/>
                <w:color w:val="auto"/>
              </w:rPr>
            </w:pPr>
            <w:r>
              <w:rPr>
                <w:rFonts w:ascii="Arial" w:cs="Arial" w:eastAsia="Arial" w:hAnsi="Arial"/>
                <w:sz w:val="15"/>
                <w:szCs w:val="15"/>
                <w:color w:val="231F20"/>
              </w:rPr>
              <w:t>35</w:t>
            </w:r>
          </w:p>
        </w:tc>
      </w:tr>
      <w:tr>
        <w:trPr>
          <w:trHeight w:val="257"/>
        </w:trPr>
        <w:tc>
          <w:tcPr>
            <w:tcW w:w="3620" w:type="dxa"/>
            <w:vAlign w:val="bottom"/>
          </w:tcPr>
          <w:p>
            <w:pPr>
              <w:ind w:left="320"/>
              <w:spacing w:after="0"/>
              <w:rPr>
                <w:rFonts w:ascii="Arial" w:cs="Arial" w:eastAsia="Arial" w:hAnsi="Arial"/>
                <w:sz w:val="15"/>
                <w:szCs w:val="15"/>
                <w:color w:val="auto"/>
              </w:rPr>
            </w:pPr>
            <w:hyperlink w:anchor="page46">
              <w:r>
                <w:rPr>
                  <w:rFonts w:ascii="Arial" w:cs="Arial" w:eastAsia="Arial" w:hAnsi="Arial"/>
                  <w:sz w:val="15"/>
                  <w:szCs w:val="15"/>
                  <w:color w:val="auto"/>
                </w:rPr>
                <w:t>Code of Ethics</w:t>
              </w:r>
            </w:hyperlink>
          </w:p>
        </w:tc>
        <w:tc>
          <w:tcPr>
            <w:tcW w:w="480" w:type="dxa"/>
            <w:vAlign w:val="bottom"/>
          </w:tcPr>
          <w:p>
            <w:pPr>
              <w:jc w:val="right"/>
              <w:spacing w:after="0"/>
              <w:rPr>
                <w:sz w:val="20"/>
                <w:szCs w:val="20"/>
                <w:color w:val="auto"/>
              </w:rPr>
            </w:pPr>
            <w:r>
              <w:rPr>
                <w:rFonts w:ascii="Arial" w:cs="Arial" w:eastAsia="Arial" w:hAnsi="Arial"/>
                <w:sz w:val="15"/>
                <w:szCs w:val="15"/>
                <w:color w:val="231F20"/>
              </w:rPr>
              <w:t>35</w:t>
            </w:r>
          </w:p>
        </w:tc>
      </w:tr>
      <w:tr>
        <w:trPr>
          <w:trHeight w:val="234"/>
        </w:trPr>
        <w:tc>
          <w:tcPr>
            <w:tcW w:w="3620" w:type="dxa"/>
            <w:vAlign w:val="bottom"/>
          </w:tcPr>
          <w:p>
            <w:pPr>
              <w:ind w:left="320"/>
              <w:spacing w:after="0"/>
              <w:rPr>
                <w:rFonts w:ascii="Arial" w:cs="Arial" w:eastAsia="Arial" w:hAnsi="Arial"/>
                <w:sz w:val="15"/>
                <w:szCs w:val="15"/>
                <w:color w:val="auto"/>
              </w:rPr>
            </w:pPr>
            <w:hyperlink w:anchor="page46">
              <w:r>
                <w:rPr>
                  <w:rFonts w:ascii="Arial" w:cs="Arial" w:eastAsia="Arial" w:hAnsi="Arial"/>
                  <w:sz w:val="15"/>
                  <w:szCs w:val="15"/>
                  <w:color w:val="auto"/>
                </w:rPr>
                <w:t>Succession Planning and Talent Development</w:t>
              </w:r>
            </w:hyperlink>
          </w:p>
        </w:tc>
        <w:tc>
          <w:tcPr>
            <w:tcW w:w="480" w:type="dxa"/>
            <w:vAlign w:val="bottom"/>
          </w:tcPr>
          <w:p>
            <w:pPr>
              <w:spacing w:after="0"/>
              <w:rPr>
                <w:sz w:val="20"/>
                <w:szCs w:val="20"/>
                <w:color w:val="auto"/>
              </w:rPr>
            </w:pPr>
          </w:p>
        </w:tc>
      </w:tr>
      <w:tr>
        <w:trPr>
          <w:trHeight w:val="184"/>
        </w:trPr>
        <w:tc>
          <w:tcPr>
            <w:tcW w:w="3620" w:type="dxa"/>
            <w:vAlign w:val="bottom"/>
          </w:tcPr>
          <w:p>
            <w:pPr>
              <w:ind w:left="320"/>
              <w:spacing w:after="0"/>
              <w:rPr>
                <w:rFonts w:ascii="Arial" w:cs="Arial" w:eastAsia="Arial" w:hAnsi="Arial"/>
                <w:sz w:val="15"/>
                <w:szCs w:val="15"/>
                <w:color w:val="auto"/>
              </w:rPr>
            </w:pPr>
            <w:hyperlink w:anchor="page46">
              <w:r>
                <w:rPr>
                  <w:rFonts w:ascii="Arial" w:cs="Arial" w:eastAsia="Arial" w:hAnsi="Arial"/>
                  <w:sz w:val="15"/>
                  <w:szCs w:val="15"/>
                  <w:color w:val="auto"/>
                </w:rPr>
                <w:t>Process</w:t>
              </w:r>
            </w:hyperlink>
          </w:p>
        </w:tc>
        <w:tc>
          <w:tcPr>
            <w:tcW w:w="480" w:type="dxa"/>
            <w:vAlign w:val="bottom"/>
          </w:tcPr>
          <w:p>
            <w:pPr>
              <w:jc w:val="right"/>
              <w:spacing w:after="0"/>
              <w:rPr>
                <w:sz w:val="20"/>
                <w:szCs w:val="20"/>
                <w:color w:val="auto"/>
              </w:rPr>
            </w:pPr>
            <w:r>
              <w:rPr>
                <w:rFonts w:ascii="Arial" w:cs="Arial" w:eastAsia="Arial" w:hAnsi="Arial"/>
                <w:sz w:val="15"/>
                <w:szCs w:val="15"/>
                <w:color w:val="231F20"/>
              </w:rPr>
              <w:t>35</w:t>
            </w:r>
          </w:p>
        </w:tc>
      </w:tr>
      <w:tr>
        <w:trPr>
          <w:trHeight w:val="257"/>
        </w:trPr>
        <w:tc>
          <w:tcPr>
            <w:tcW w:w="3620" w:type="dxa"/>
            <w:vAlign w:val="bottom"/>
          </w:tcPr>
          <w:p>
            <w:pPr>
              <w:ind w:left="320"/>
              <w:spacing w:after="0"/>
              <w:rPr>
                <w:rFonts w:ascii="Arial" w:cs="Arial" w:eastAsia="Arial" w:hAnsi="Arial"/>
                <w:sz w:val="15"/>
                <w:szCs w:val="15"/>
                <w:color w:val="auto"/>
              </w:rPr>
            </w:pPr>
            <w:hyperlink w:anchor="page47">
              <w:r>
                <w:rPr>
                  <w:rFonts w:ascii="Arial" w:cs="Arial" w:eastAsia="Arial" w:hAnsi="Arial"/>
                  <w:sz w:val="15"/>
                  <w:szCs w:val="15"/>
                  <w:color w:val="auto"/>
                </w:rPr>
                <w:t>Corporate Responsibility</w:t>
              </w:r>
            </w:hyperlink>
          </w:p>
        </w:tc>
        <w:tc>
          <w:tcPr>
            <w:tcW w:w="480" w:type="dxa"/>
            <w:vAlign w:val="bottom"/>
          </w:tcPr>
          <w:p>
            <w:pPr>
              <w:jc w:val="right"/>
              <w:spacing w:after="0"/>
              <w:rPr>
                <w:sz w:val="20"/>
                <w:szCs w:val="20"/>
                <w:color w:val="auto"/>
              </w:rPr>
            </w:pPr>
            <w:r>
              <w:rPr>
                <w:rFonts w:ascii="Arial" w:cs="Arial" w:eastAsia="Arial" w:hAnsi="Arial"/>
                <w:sz w:val="15"/>
                <w:szCs w:val="15"/>
                <w:color w:val="231F20"/>
              </w:rPr>
              <w:t>36</w:t>
            </w:r>
          </w:p>
        </w:tc>
      </w:tr>
      <w:tr>
        <w:trPr>
          <w:trHeight w:val="256"/>
        </w:trPr>
        <w:tc>
          <w:tcPr>
            <w:tcW w:w="3620" w:type="dxa"/>
            <w:vAlign w:val="bottom"/>
          </w:tcPr>
          <w:p>
            <w:pPr>
              <w:ind w:left="320"/>
              <w:spacing w:after="0"/>
              <w:rPr>
                <w:rFonts w:ascii="Arial" w:cs="Arial" w:eastAsia="Arial" w:hAnsi="Arial"/>
                <w:sz w:val="15"/>
                <w:szCs w:val="15"/>
                <w:color w:val="auto"/>
              </w:rPr>
            </w:pPr>
            <w:hyperlink w:anchor="page50">
              <w:r>
                <w:rPr>
                  <w:rFonts w:ascii="Arial" w:cs="Arial" w:eastAsia="Arial" w:hAnsi="Arial"/>
                  <w:sz w:val="15"/>
                  <w:szCs w:val="15"/>
                  <w:color w:val="auto"/>
                </w:rPr>
                <w:t>Public Policy Engagement</w:t>
              </w:r>
            </w:hyperlink>
          </w:p>
        </w:tc>
        <w:tc>
          <w:tcPr>
            <w:tcW w:w="480" w:type="dxa"/>
            <w:vAlign w:val="bottom"/>
          </w:tcPr>
          <w:p>
            <w:pPr>
              <w:jc w:val="right"/>
              <w:spacing w:after="0"/>
              <w:rPr>
                <w:sz w:val="20"/>
                <w:szCs w:val="20"/>
                <w:color w:val="auto"/>
              </w:rPr>
            </w:pPr>
            <w:r>
              <w:rPr>
                <w:rFonts w:ascii="Arial" w:cs="Arial" w:eastAsia="Arial" w:hAnsi="Arial"/>
                <w:sz w:val="15"/>
                <w:szCs w:val="15"/>
                <w:color w:val="231F20"/>
              </w:rPr>
              <w:t>39</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rFonts w:ascii="Arial" w:cs="Arial" w:eastAsia="Arial" w:hAnsi="Arial"/>
                <w:sz w:val="16"/>
                <w:szCs w:val="16"/>
                <w:b w:val="1"/>
                <w:bCs w:val="1"/>
                <w:color w:val="auto"/>
              </w:rPr>
            </w:pPr>
            <w:hyperlink w:anchor="page51">
              <w:r>
                <w:rPr>
                  <w:rFonts w:ascii="Arial" w:cs="Arial" w:eastAsia="Arial" w:hAnsi="Arial"/>
                  <w:sz w:val="16"/>
                  <w:szCs w:val="16"/>
                  <w:b w:val="1"/>
                  <w:bCs w:val="1"/>
                  <w:color w:val="auto"/>
                </w:rPr>
                <w:t>Certain Relationships and Related Transactions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31F20"/>
              </w:rPr>
              <w:t>40</w:t>
            </w:r>
          </w:p>
        </w:tc>
      </w:tr>
      <w:tr>
        <w:trPr>
          <w:trHeight w:val="278"/>
        </w:trPr>
        <w:tc>
          <w:tcPr>
            <w:tcW w:w="3720" w:type="dxa"/>
            <w:vAlign w:val="bottom"/>
          </w:tcPr>
          <w:p>
            <w:pPr>
              <w:ind w:left="320"/>
              <w:spacing w:after="0"/>
              <w:rPr>
                <w:rFonts w:ascii="Arial" w:cs="Arial" w:eastAsia="Arial" w:hAnsi="Arial"/>
                <w:sz w:val="16"/>
                <w:szCs w:val="16"/>
                <w:color w:val="auto"/>
              </w:rPr>
            </w:pPr>
            <w:hyperlink w:anchor="page51">
              <w:r>
                <w:rPr>
                  <w:rFonts w:ascii="Arial" w:cs="Arial" w:eastAsia="Arial" w:hAnsi="Arial"/>
                  <w:sz w:val="16"/>
                  <w:szCs w:val="16"/>
                  <w:color w:val="auto"/>
                </w:rPr>
                <w:t>Review, Approval, or Ratification of</w:t>
              </w:r>
            </w:hyperlink>
          </w:p>
        </w:tc>
        <w:tc>
          <w:tcPr>
            <w:tcW w:w="380" w:type="dxa"/>
            <w:vAlign w:val="bottom"/>
          </w:tcPr>
          <w:p>
            <w:pPr>
              <w:spacing w:after="0"/>
              <w:rPr>
                <w:sz w:val="24"/>
                <w:szCs w:val="24"/>
                <w:color w:val="auto"/>
              </w:rPr>
            </w:pPr>
          </w:p>
        </w:tc>
      </w:tr>
      <w:tr>
        <w:trPr>
          <w:trHeight w:val="195"/>
        </w:trPr>
        <w:tc>
          <w:tcPr>
            <w:tcW w:w="3720" w:type="dxa"/>
            <w:vAlign w:val="bottom"/>
          </w:tcPr>
          <w:p>
            <w:pPr>
              <w:ind w:left="320"/>
              <w:spacing w:after="0"/>
              <w:rPr>
                <w:rFonts w:ascii="Arial" w:cs="Arial" w:eastAsia="Arial" w:hAnsi="Arial"/>
                <w:sz w:val="16"/>
                <w:szCs w:val="16"/>
                <w:color w:val="auto"/>
              </w:rPr>
            </w:pPr>
            <w:hyperlink w:anchor="page51">
              <w:r>
                <w:rPr>
                  <w:rFonts w:ascii="Arial" w:cs="Arial" w:eastAsia="Arial" w:hAnsi="Arial"/>
                  <w:sz w:val="16"/>
                  <w:szCs w:val="16"/>
                  <w:color w:val="auto"/>
                </w:rPr>
                <w:t>Transactions with Related Persons</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40</w:t>
            </w:r>
          </w:p>
        </w:tc>
      </w:tr>
      <w:tr>
        <w:trPr>
          <w:trHeight w:val="283"/>
        </w:trPr>
        <w:tc>
          <w:tcPr>
            <w:tcW w:w="3720" w:type="dxa"/>
            <w:vAlign w:val="bottom"/>
          </w:tcPr>
          <w:p>
            <w:pPr>
              <w:ind w:left="320"/>
              <w:spacing w:after="0"/>
              <w:rPr>
                <w:rFonts w:ascii="Arial" w:cs="Arial" w:eastAsia="Arial" w:hAnsi="Arial"/>
                <w:sz w:val="16"/>
                <w:szCs w:val="16"/>
                <w:color w:val="auto"/>
              </w:rPr>
            </w:pPr>
            <w:hyperlink w:anchor="page51">
              <w:r>
                <w:rPr>
                  <w:rFonts w:ascii="Arial" w:cs="Arial" w:eastAsia="Arial" w:hAnsi="Arial"/>
                  <w:sz w:val="16"/>
                  <w:szCs w:val="16"/>
                  <w:color w:val="auto"/>
                </w:rPr>
                <w:t>Transactions with Related Persons</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40</w:t>
            </w:r>
          </w:p>
        </w:tc>
      </w:tr>
      <w:tr>
        <w:trPr>
          <w:trHeight w:val="283"/>
        </w:trPr>
        <w:tc>
          <w:tcPr>
            <w:tcW w:w="3720" w:type="dxa"/>
            <w:vAlign w:val="bottom"/>
          </w:tcPr>
          <w:p>
            <w:pPr>
              <w:ind w:left="320"/>
              <w:spacing w:after="0"/>
              <w:rPr>
                <w:rFonts w:ascii="Arial" w:cs="Arial" w:eastAsia="Arial" w:hAnsi="Arial"/>
                <w:sz w:val="16"/>
                <w:szCs w:val="16"/>
                <w:color w:val="auto"/>
              </w:rPr>
            </w:pPr>
            <w:hyperlink w:anchor="page54">
              <w:r>
                <w:rPr>
                  <w:rFonts w:ascii="Arial" w:cs="Arial" w:eastAsia="Arial" w:hAnsi="Arial"/>
                  <w:sz w:val="16"/>
                  <w:szCs w:val="16"/>
                  <w:color w:val="auto"/>
                </w:rPr>
                <w:t>Other</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43</w:t>
            </w:r>
          </w:p>
        </w:tc>
      </w:tr>
      <w:tr>
        <w:trPr>
          <w:trHeight w:val="283"/>
        </w:trPr>
        <w:tc>
          <w:tcPr>
            <w:tcW w:w="3720" w:type="dxa"/>
            <w:vAlign w:val="bottom"/>
          </w:tcPr>
          <w:p>
            <w:pPr>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Audit Matters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31F20"/>
              </w:rPr>
              <w:t>44</w:t>
            </w:r>
          </w:p>
        </w:tc>
      </w:tr>
      <w:tr>
        <w:trPr>
          <w:trHeight w:val="283"/>
        </w:trPr>
        <w:tc>
          <w:tcPr>
            <w:tcW w:w="3720" w:type="dxa"/>
            <w:vAlign w:val="bottom"/>
          </w:tcPr>
          <w:p>
            <w:pPr>
              <w:ind w:left="320"/>
              <w:spacing w:after="0"/>
              <w:rPr>
                <w:rFonts w:ascii="Arial" w:cs="Arial" w:eastAsia="Arial" w:hAnsi="Arial"/>
                <w:sz w:val="16"/>
                <w:szCs w:val="16"/>
                <w:color w:val="auto"/>
              </w:rPr>
            </w:pPr>
            <w:hyperlink w:anchor="page55">
              <w:r>
                <w:rPr>
                  <w:rFonts w:ascii="Arial" w:cs="Arial" w:eastAsia="Arial" w:hAnsi="Arial"/>
                  <w:sz w:val="16"/>
                  <w:szCs w:val="16"/>
                  <w:color w:val="auto"/>
                </w:rPr>
                <w:t>Introduction</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44</w:t>
            </w:r>
          </w:p>
        </w:tc>
      </w:tr>
      <w:tr>
        <w:trPr>
          <w:trHeight w:val="278"/>
        </w:trPr>
        <w:tc>
          <w:tcPr>
            <w:tcW w:w="3720" w:type="dxa"/>
            <w:vAlign w:val="bottom"/>
          </w:tcPr>
          <w:p>
            <w:pPr>
              <w:ind w:left="320"/>
              <w:spacing w:after="0"/>
              <w:rPr>
                <w:rFonts w:ascii="Arial" w:cs="Arial" w:eastAsia="Arial" w:hAnsi="Arial"/>
                <w:sz w:val="16"/>
                <w:szCs w:val="16"/>
                <w:color w:val="auto"/>
              </w:rPr>
            </w:pPr>
            <w:hyperlink w:anchor="page55">
              <w:r>
                <w:rPr>
                  <w:rFonts w:ascii="Arial" w:cs="Arial" w:eastAsia="Arial" w:hAnsi="Arial"/>
                  <w:sz w:val="16"/>
                  <w:szCs w:val="16"/>
                  <w:color w:val="auto"/>
                </w:rPr>
                <w:t>Information about Fees Paid to Independent</w:t>
              </w:r>
            </w:hyperlink>
          </w:p>
        </w:tc>
        <w:tc>
          <w:tcPr>
            <w:tcW w:w="380" w:type="dxa"/>
            <w:vAlign w:val="bottom"/>
          </w:tcPr>
          <w:p>
            <w:pPr>
              <w:spacing w:after="0"/>
              <w:rPr>
                <w:sz w:val="24"/>
                <w:szCs w:val="24"/>
                <w:color w:val="auto"/>
              </w:rPr>
            </w:pPr>
          </w:p>
        </w:tc>
      </w:tr>
      <w:tr>
        <w:trPr>
          <w:trHeight w:val="195"/>
        </w:trPr>
        <w:tc>
          <w:tcPr>
            <w:tcW w:w="3720" w:type="dxa"/>
            <w:vAlign w:val="bottom"/>
          </w:tcPr>
          <w:p>
            <w:pPr>
              <w:ind w:left="320"/>
              <w:spacing w:after="0"/>
              <w:rPr>
                <w:rFonts w:ascii="Arial" w:cs="Arial" w:eastAsia="Arial" w:hAnsi="Arial"/>
                <w:sz w:val="16"/>
                <w:szCs w:val="16"/>
                <w:color w:val="auto"/>
              </w:rPr>
            </w:pPr>
            <w:hyperlink w:anchor="page55">
              <w:r>
                <w:rPr>
                  <w:rFonts w:ascii="Arial" w:cs="Arial" w:eastAsia="Arial" w:hAnsi="Arial"/>
                  <w:sz w:val="16"/>
                  <w:szCs w:val="16"/>
                  <w:color w:val="auto"/>
                </w:rPr>
                <w:t>Registered Public Accounting Firm</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44</w:t>
            </w:r>
          </w:p>
        </w:tc>
      </w:tr>
      <w:tr>
        <w:trPr>
          <w:trHeight w:val="283"/>
        </w:trPr>
        <w:tc>
          <w:tcPr>
            <w:tcW w:w="3720" w:type="dxa"/>
            <w:vAlign w:val="bottom"/>
          </w:tcPr>
          <w:p>
            <w:pPr>
              <w:ind w:left="320"/>
              <w:spacing w:after="0"/>
              <w:rPr>
                <w:rFonts w:ascii="Arial" w:cs="Arial" w:eastAsia="Arial" w:hAnsi="Arial"/>
                <w:sz w:val="16"/>
                <w:szCs w:val="16"/>
                <w:color w:val="auto"/>
              </w:rPr>
            </w:pPr>
            <w:hyperlink w:anchor="page56">
              <w:r>
                <w:rPr>
                  <w:rFonts w:ascii="Arial" w:cs="Arial" w:eastAsia="Arial" w:hAnsi="Arial"/>
                  <w:sz w:val="16"/>
                  <w:szCs w:val="16"/>
                  <w:color w:val="auto"/>
                </w:rPr>
                <w:t>Audit Committee Report</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45</w:t>
            </w:r>
          </w:p>
        </w:tc>
      </w:tr>
      <w:tr>
        <w:trPr>
          <w:trHeight w:val="384"/>
        </w:trPr>
        <w:tc>
          <w:tcPr>
            <w:tcW w:w="3720" w:type="dxa"/>
            <w:vAlign w:val="bottom"/>
          </w:tcPr>
          <w:p>
            <w:pPr>
              <w:spacing w:after="0"/>
              <w:rPr>
                <w:rFonts w:ascii="Arial" w:cs="Arial" w:eastAsia="Arial" w:hAnsi="Arial"/>
                <w:sz w:val="22"/>
                <w:szCs w:val="22"/>
                <w:b w:val="1"/>
                <w:bCs w:val="1"/>
                <w:color w:val="auto"/>
              </w:rPr>
            </w:pPr>
            <w:hyperlink w:anchor="page57">
              <w:r>
                <w:rPr>
                  <w:rFonts w:ascii="Arial" w:cs="Arial" w:eastAsia="Arial" w:hAnsi="Arial"/>
                  <w:sz w:val="22"/>
                  <w:szCs w:val="22"/>
                  <w:b w:val="1"/>
                  <w:bCs w:val="1"/>
                  <w:color w:val="auto"/>
                </w:rPr>
                <w:t>PROPOSAL NO. 2</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04C57"/>
              </w:rPr>
            </w:pPr>
            <w:hyperlink w:anchor="page57">
              <w:r>
                <w:rPr>
                  <w:rFonts w:ascii="Arial" w:cs="Arial" w:eastAsia="Arial" w:hAnsi="Arial"/>
                  <w:sz w:val="29"/>
                  <w:szCs w:val="29"/>
                  <w:b w:val="1"/>
                  <w:bCs w:val="1"/>
                  <w:color w:val="C04C57"/>
                </w:rPr>
                <w:t>RATIFICATION OF</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04C57"/>
              </w:rPr>
            </w:pPr>
            <w:hyperlink w:anchor="page57">
              <w:r>
                <w:rPr>
                  <w:rFonts w:ascii="Arial" w:cs="Arial" w:eastAsia="Arial" w:hAnsi="Arial"/>
                  <w:sz w:val="29"/>
                  <w:szCs w:val="29"/>
                  <w:b w:val="1"/>
                  <w:bCs w:val="1"/>
                  <w:color w:val="C04C57"/>
                </w:rPr>
                <w:t>APPOINTMENT OF</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04C57"/>
              </w:rPr>
            </w:pPr>
            <w:hyperlink w:anchor="page57">
              <w:r>
                <w:rPr>
                  <w:rFonts w:ascii="Arial" w:cs="Arial" w:eastAsia="Arial" w:hAnsi="Arial"/>
                  <w:sz w:val="29"/>
                  <w:szCs w:val="29"/>
                  <w:b w:val="1"/>
                  <w:bCs w:val="1"/>
                  <w:color w:val="C04C57"/>
                </w:rPr>
                <w:t>INDEPENDENT</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04C57"/>
              </w:rPr>
            </w:pPr>
            <w:hyperlink w:anchor="page57">
              <w:r>
                <w:rPr>
                  <w:rFonts w:ascii="Arial" w:cs="Arial" w:eastAsia="Arial" w:hAnsi="Arial"/>
                  <w:sz w:val="29"/>
                  <w:szCs w:val="29"/>
                  <w:b w:val="1"/>
                  <w:bCs w:val="1"/>
                  <w:color w:val="C04C57"/>
                </w:rPr>
                <w:t>REGISTERED PUBLIC</w:t>
              </w:r>
            </w:hyperlink>
          </w:p>
        </w:tc>
        <w:tc>
          <w:tcPr>
            <w:tcW w:w="380" w:type="dxa"/>
            <w:vAlign w:val="bottom"/>
          </w:tcPr>
          <w:p>
            <w:pPr>
              <w:spacing w:after="0"/>
              <w:rPr>
                <w:sz w:val="24"/>
                <w:szCs w:val="24"/>
                <w:color w:val="auto"/>
              </w:rPr>
            </w:pPr>
          </w:p>
        </w:tc>
      </w:tr>
      <w:tr>
        <w:trPr>
          <w:trHeight w:val="378"/>
        </w:trPr>
        <w:tc>
          <w:tcPr>
            <w:tcW w:w="3720" w:type="dxa"/>
            <w:vAlign w:val="bottom"/>
            <w:tcBorders>
              <w:bottom w:val="single" w:sz="8" w:color="2952A4"/>
            </w:tcBorders>
          </w:tcPr>
          <w:p>
            <w:pPr>
              <w:spacing w:after="0"/>
              <w:rPr>
                <w:rFonts w:ascii="Arial" w:cs="Arial" w:eastAsia="Arial" w:hAnsi="Arial"/>
                <w:sz w:val="29"/>
                <w:szCs w:val="29"/>
                <w:b w:val="1"/>
                <w:bCs w:val="1"/>
                <w:color w:val="C04C57"/>
              </w:rPr>
            </w:pPr>
            <w:hyperlink w:anchor="page57">
              <w:r>
                <w:rPr>
                  <w:rFonts w:ascii="Arial" w:cs="Arial" w:eastAsia="Arial" w:hAnsi="Arial"/>
                  <w:sz w:val="29"/>
                  <w:szCs w:val="29"/>
                  <w:b w:val="1"/>
                  <w:bCs w:val="1"/>
                  <w:color w:val="C04C57"/>
                </w:rPr>
                <w:t>ACCOUNTING FIRM</w:t>
              </w:r>
            </w:hyperlink>
          </w:p>
        </w:tc>
        <w:tc>
          <w:tcPr>
            <w:tcW w:w="380" w:type="dxa"/>
            <w:vAlign w:val="bottom"/>
            <w:tcBorders>
              <w:bottom w:val="single" w:sz="8" w:color="2952A4"/>
            </w:tcBorders>
          </w:tcPr>
          <w:p>
            <w:pPr>
              <w:jc w:val="right"/>
              <w:spacing w:after="0"/>
              <w:rPr>
                <w:sz w:val="20"/>
                <w:szCs w:val="20"/>
                <w:color w:val="auto"/>
              </w:rPr>
            </w:pPr>
            <w:r>
              <w:rPr>
                <w:rFonts w:ascii="Arial" w:cs="Arial" w:eastAsia="Arial" w:hAnsi="Arial"/>
                <w:sz w:val="29"/>
                <w:szCs w:val="29"/>
                <w:b w:val="1"/>
                <w:bCs w:val="1"/>
                <w:color w:val="C04C57"/>
              </w:rPr>
              <w:t>46</w:t>
            </w:r>
          </w:p>
        </w:tc>
      </w:tr>
      <w:tr>
        <w:trPr>
          <w:trHeight w:val="379"/>
        </w:trPr>
        <w:tc>
          <w:tcPr>
            <w:tcW w:w="3720" w:type="dxa"/>
            <w:vAlign w:val="bottom"/>
          </w:tcPr>
          <w:p>
            <w:pPr>
              <w:spacing w:after="0"/>
              <w:rPr>
                <w:rFonts w:ascii="Arial" w:cs="Arial" w:eastAsia="Arial" w:hAnsi="Arial"/>
                <w:sz w:val="16"/>
                <w:szCs w:val="16"/>
                <w:b w:val="1"/>
                <w:bCs w:val="1"/>
                <w:color w:val="2952A4"/>
              </w:rPr>
            </w:pPr>
            <w:hyperlink w:anchor="page58">
              <w:r>
                <w:rPr>
                  <w:rFonts w:ascii="Arial" w:cs="Arial" w:eastAsia="Arial" w:hAnsi="Arial"/>
                  <w:sz w:val="16"/>
                  <w:szCs w:val="16"/>
                  <w:b w:val="1"/>
                  <w:bCs w:val="1"/>
                  <w:color w:val="2952A4"/>
                </w:rPr>
                <w:t>Shareholders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952A4"/>
              </w:rPr>
              <w:t>47</w:t>
            </w:r>
          </w:p>
        </w:tc>
      </w:tr>
      <w:tr>
        <w:trPr>
          <w:trHeight w:val="278"/>
        </w:trPr>
        <w:tc>
          <w:tcPr>
            <w:tcW w:w="3720" w:type="dxa"/>
            <w:vAlign w:val="bottom"/>
          </w:tcPr>
          <w:p>
            <w:pPr>
              <w:ind w:left="320"/>
              <w:spacing w:after="0"/>
              <w:rPr>
                <w:rFonts w:ascii="Arial" w:cs="Arial" w:eastAsia="Arial" w:hAnsi="Arial"/>
                <w:sz w:val="16"/>
                <w:szCs w:val="16"/>
                <w:color w:val="auto"/>
              </w:rPr>
            </w:pPr>
            <w:hyperlink w:anchor="page58">
              <w:r>
                <w:rPr>
                  <w:rFonts w:ascii="Arial" w:cs="Arial" w:eastAsia="Arial" w:hAnsi="Arial"/>
                  <w:sz w:val="16"/>
                  <w:szCs w:val="16"/>
                  <w:color w:val="auto"/>
                </w:rPr>
                <w:t>Security Ownership of Certain Beneficial</w:t>
              </w:r>
            </w:hyperlink>
          </w:p>
        </w:tc>
        <w:tc>
          <w:tcPr>
            <w:tcW w:w="380" w:type="dxa"/>
            <w:vAlign w:val="bottom"/>
          </w:tcPr>
          <w:p>
            <w:pPr>
              <w:spacing w:after="0"/>
              <w:rPr>
                <w:sz w:val="24"/>
                <w:szCs w:val="24"/>
                <w:color w:val="auto"/>
              </w:rPr>
            </w:pPr>
          </w:p>
        </w:tc>
      </w:tr>
      <w:tr>
        <w:trPr>
          <w:trHeight w:val="195"/>
        </w:trPr>
        <w:tc>
          <w:tcPr>
            <w:tcW w:w="3720" w:type="dxa"/>
            <w:vAlign w:val="bottom"/>
          </w:tcPr>
          <w:p>
            <w:pPr>
              <w:ind w:left="320"/>
              <w:spacing w:after="0"/>
              <w:rPr>
                <w:rFonts w:ascii="Arial" w:cs="Arial" w:eastAsia="Arial" w:hAnsi="Arial"/>
                <w:sz w:val="16"/>
                <w:szCs w:val="16"/>
                <w:color w:val="auto"/>
              </w:rPr>
            </w:pPr>
            <w:hyperlink w:anchor="page58">
              <w:r>
                <w:rPr>
                  <w:rFonts w:ascii="Arial" w:cs="Arial" w:eastAsia="Arial" w:hAnsi="Arial"/>
                  <w:sz w:val="16"/>
                  <w:szCs w:val="16"/>
                  <w:color w:val="auto"/>
                </w:rPr>
                <w:t>Owners and Management</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47</w:t>
            </w:r>
          </w:p>
        </w:tc>
      </w:tr>
      <w:tr>
        <w:trPr>
          <w:trHeight w:val="283"/>
        </w:trPr>
        <w:tc>
          <w:tcPr>
            <w:tcW w:w="3720" w:type="dxa"/>
            <w:vAlign w:val="bottom"/>
          </w:tcPr>
          <w:p>
            <w:pPr>
              <w:ind w:left="320"/>
              <w:spacing w:after="0"/>
              <w:rPr>
                <w:rFonts w:ascii="Arial" w:cs="Arial" w:eastAsia="Arial" w:hAnsi="Arial"/>
                <w:sz w:val="16"/>
                <w:szCs w:val="16"/>
                <w:color w:val="auto"/>
              </w:rPr>
            </w:pPr>
            <w:hyperlink w:anchor="page62">
              <w:r>
                <w:rPr>
                  <w:rFonts w:ascii="Arial" w:cs="Arial" w:eastAsia="Arial" w:hAnsi="Arial"/>
                  <w:sz w:val="16"/>
                  <w:szCs w:val="16"/>
                  <w:color w:val="auto"/>
                </w:rPr>
                <w:t>Shareholder Communications</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50</w:t>
            </w:r>
          </w:p>
        </w:tc>
      </w:tr>
      <w:tr>
        <w:trPr>
          <w:trHeight w:val="283"/>
        </w:trPr>
        <w:tc>
          <w:tcPr>
            <w:tcW w:w="3720" w:type="dxa"/>
            <w:vAlign w:val="bottom"/>
          </w:tcPr>
          <w:p>
            <w:pPr>
              <w:spacing w:after="0"/>
              <w:rPr>
                <w:rFonts w:ascii="Arial" w:cs="Arial" w:eastAsia="Arial" w:hAnsi="Arial"/>
                <w:sz w:val="16"/>
                <w:szCs w:val="16"/>
                <w:b w:val="1"/>
                <w:bCs w:val="1"/>
                <w:color w:val="2952A4"/>
              </w:rPr>
            </w:pPr>
            <w:hyperlink w:anchor="page63">
              <w:r>
                <w:rPr>
                  <w:rFonts w:ascii="Arial" w:cs="Arial" w:eastAsia="Arial" w:hAnsi="Arial"/>
                  <w:sz w:val="16"/>
                  <w:szCs w:val="16"/>
                  <w:b w:val="1"/>
                  <w:bCs w:val="1"/>
                  <w:color w:val="2952A4"/>
                </w:rPr>
                <w:t>Compensation-Related Matters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952A4"/>
              </w:rPr>
              <w:t>51</w:t>
            </w:r>
          </w:p>
        </w:tc>
      </w:tr>
      <w:tr>
        <w:trPr>
          <w:trHeight w:val="284"/>
        </w:trPr>
        <w:tc>
          <w:tcPr>
            <w:tcW w:w="3720" w:type="dxa"/>
            <w:vAlign w:val="bottom"/>
          </w:tcPr>
          <w:p>
            <w:pPr>
              <w:spacing w:after="0"/>
              <w:rPr>
                <w:rFonts w:ascii="Arial" w:cs="Arial" w:eastAsia="Arial" w:hAnsi="Arial"/>
                <w:sz w:val="16"/>
                <w:szCs w:val="16"/>
                <w:b w:val="1"/>
                <w:bCs w:val="1"/>
                <w:color w:val="auto"/>
              </w:rPr>
            </w:pPr>
            <w:hyperlink w:anchor="page63">
              <w:r>
                <w:rPr>
                  <w:rFonts w:ascii="Arial" w:cs="Arial" w:eastAsia="Arial" w:hAnsi="Arial"/>
                  <w:sz w:val="16"/>
                  <w:szCs w:val="16"/>
                  <w:b w:val="1"/>
                  <w:bCs w:val="1"/>
                  <w:color w:val="auto"/>
                </w:rPr>
                <w:t>Table of Contents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31F20"/>
              </w:rPr>
              <w:t>51</w:t>
            </w:r>
          </w:p>
        </w:tc>
      </w:tr>
      <w:tr>
        <w:trPr>
          <w:trHeight w:val="283"/>
        </w:trPr>
        <w:tc>
          <w:tcPr>
            <w:tcW w:w="3720" w:type="dxa"/>
            <w:vAlign w:val="bottom"/>
          </w:tcPr>
          <w:p>
            <w:pPr>
              <w:spacing w:after="0"/>
              <w:rPr>
                <w:rFonts w:ascii="Arial" w:cs="Arial" w:eastAsia="Arial" w:hAnsi="Arial"/>
                <w:sz w:val="16"/>
                <w:szCs w:val="16"/>
                <w:b w:val="1"/>
                <w:bCs w:val="1"/>
                <w:color w:val="auto"/>
              </w:rPr>
            </w:pPr>
            <w:hyperlink w:anchor="page64">
              <w:r>
                <w:rPr>
                  <w:rFonts w:ascii="Arial" w:cs="Arial" w:eastAsia="Arial" w:hAnsi="Arial"/>
                  <w:sz w:val="16"/>
                  <w:szCs w:val="16"/>
                  <w:b w:val="1"/>
                  <w:bCs w:val="1"/>
                  <w:color w:val="auto"/>
                </w:rPr>
                <w:t>Introduction</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31F20"/>
              </w:rPr>
              <w:t>52</w:t>
            </w:r>
          </w:p>
        </w:tc>
      </w:tr>
      <w:tr>
        <w:trPr>
          <w:trHeight w:val="283"/>
        </w:trPr>
        <w:tc>
          <w:tcPr>
            <w:tcW w:w="3720" w:type="dxa"/>
            <w:vAlign w:val="bottom"/>
          </w:tcPr>
          <w:p>
            <w:pPr>
              <w:spacing w:after="0"/>
              <w:rPr>
                <w:rFonts w:ascii="Arial" w:cs="Arial" w:eastAsia="Arial" w:hAnsi="Arial"/>
                <w:sz w:val="16"/>
                <w:szCs w:val="16"/>
                <w:b w:val="1"/>
                <w:bCs w:val="1"/>
                <w:color w:val="auto"/>
              </w:rPr>
            </w:pPr>
            <w:hyperlink w:anchor="page69">
              <w:r>
                <w:rPr>
                  <w:rFonts w:ascii="Arial" w:cs="Arial" w:eastAsia="Arial" w:hAnsi="Arial"/>
                  <w:sz w:val="16"/>
                  <w:szCs w:val="16"/>
                  <w:b w:val="1"/>
                  <w:bCs w:val="1"/>
                  <w:color w:val="auto"/>
                </w:rPr>
                <w:t>Compensation Discussion and Analysis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31F20"/>
              </w:rPr>
              <w:t>57</w:t>
            </w:r>
          </w:p>
        </w:tc>
      </w:tr>
      <w:tr>
        <w:trPr>
          <w:trHeight w:val="284"/>
        </w:trPr>
        <w:tc>
          <w:tcPr>
            <w:tcW w:w="3720" w:type="dxa"/>
            <w:vAlign w:val="bottom"/>
          </w:tcPr>
          <w:p>
            <w:pPr>
              <w:ind w:left="180"/>
              <w:spacing w:after="0"/>
              <w:rPr>
                <w:rFonts w:ascii="Arial" w:cs="Arial" w:eastAsia="Arial" w:hAnsi="Arial"/>
                <w:sz w:val="16"/>
                <w:szCs w:val="16"/>
                <w:b w:val="1"/>
                <w:bCs w:val="1"/>
                <w:color w:val="2952A4"/>
              </w:rPr>
            </w:pPr>
            <w:hyperlink w:anchor="page69">
              <w:r>
                <w:rPr>
                  <w:rFonts w:ascii="Arial" w:cs="Arial" w:eastAsia="Arial" w:hAnsi="Arial"/>
                  <w:sz w:val="16"/>
                  <w:szCs w:val="16"/>
                  <w:b w:val="1"/>
                  <w:bCs w:val="1"/>
                  <w:color w:val="2952A4"/>
                </w:rPr>
                <w:t>Executive Summary</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952A4"/>
              </w:rPr>
              <w:t>57</w:t>
            </w:r>
          </w:p>
        </w:tc>
      </w:tr>
      <w:tr>
        <w:trPr>
          <w:trHeight w:val="258"/>
        </w:trPr>
        <w:tc>
          <w:tcPr>
            <w:tcW w:w="3720" w:type="dxa"/>
            <w:vAlign w:val="bottom"/>
          </w:tcPr>
          <w:p>
            <w:pPr>
              <w:ind w:left="180"/>
              <w:spacing w:after="0"/>
              <w:rPr>
                <w:rFonts w:ascii="Arial" w:cs="Arial" w:eastAsia="Arial" w:hAnsi="Arial"/>
                <w:sz w:val="16"/>
                <w:szCs w:val="16"/>
                <w:b w:val="1"/>
                <w:bCs w:val="1"/>
                <w:color w:val="2952A4"/>
              </w:rPr>
            </w:pPr>
            <w:hyperlink w:anchor="page74">
              <w:r>
                <w:rPr>
                  <w:rFonts w:ascii="Arial" w:cs="Arial" w:eastAsia="Arial" w:hAnsi="Arial"/>
                  <w:sz w:val="16"/>
                  <w:szCs w:val="16"/>
                  <w:b w:val="1"/>
                  <w:bCs w:val="1"/>
                  <w:color w:val="2952A4"/>
                </w:rPr>
                <w:t>Our Compensation Philosophy and</w:t>
              </w:r>
            </w:hyperlink>
          </w:p>
        </w:tc>
        <w:tc>
          <w:tcPr>
            <w:tcW w:w="380" w:type="dxa"/>
            <w:vAlign w:val="bottom"/>
          </w:tcPr>
          <w:p>
            <w:pPr>
              <w:spacing w:after="0"/>
              <w:rPr>
                <w:sz w:val="22"/>
                <w:szCs w:val="22"/>
                <w:color w:val="auto"/>
              </w:rPr>
            </w:pPr>
          </w:p>
        </w:tc>
      </w:tr>
      <w:tr>
        <w:trPr>
          <w:trHeight w:val="215"/>
        </w:trPr>
        <w:tc>
          <w:tcPr>
            <w:tcW w:w="3720" w:type="dxa"/>
            <w:vAlign w:val="bottom"/>
          </w:tcPr>
          <w:p>
            <w:pPr>
              <w:ind w:left="180"/>
              <w:spacing w:after="0"/>
              <w:rPr>
                <w:rFonts w:ascii="Arial" w:cs="Arial" w:eastAsia="Arial" w:hAnsi="Arial"/>
                <w:sz w:val="16"/>
                <w:szCs w:val="16"/>
                <w:b w:val="1"/>
                <w:bCs w:val="1"/>
                <w:color w:val="2952A4"/>
              </w:rPr>
            </w:pPr>
            <w:hyperlink w:anchor="page74">
              <w:r>
                <w:rPr>
                  <w:rFonts w:ascii="Arial" w:cs="Arial" w:eastAsia="Arial" w:hAnsi="Arial"/>
                  <w:sz w:val="16"/>
                  <w:szCs w:val="16"/>
                  <w:b w:val="1"/>
                  <w:bCs w:val="1"/>
                  <w:color w:val="2952A4"/>
                </w:rPr>
                <w:t>Objectives</w:t>
              </w:r>
            </w:hyperlink>
          </w:p>
        </w:tc>
        <w:tc>
          <w:tcPr>
            <w:tcW w:w="380" w:type="dxa"/>
            <w:vAlign w:val="bottom"/>
          </w:tcPr>
          <w:p>
            <w:pPr>
              <w:jc w:val="right"/>
              <w:spacing w:after="0"/>
              <w:rPr>
                <w:sz w:val="20"/>
                <w:szCs w:val="20"/>
                <w:color w:val="auto"/>
              </w:rPr>
            </w:pPr>
            <w:r>
              <w:rPr>
                <w:rFonts w:ascii="Arial" w:cs="Arial" w:eastAsia="Arial" w:hAnsi="Arial"/>
                <w:sz w:val="16"/>
                <w:szCs w:val="16"/>
                <w:b w:val="1"/>
                <w:bCs w:val="1"/>
                <w:color w:val="2952A4"/>
              </w:rPr>
              <w:t>62</w:t>
            </w:r>
          </w:p>
        </w:tc>
      </w:tr>
      <w:tr>
        <w:trPr>
          <w:trHeight w:val="283"/>
        </w:trPr>
        <w:tc>
          <w:tcPr>
            <w:tcW w:w="3720" w:type="dxa"/>
            <w:vAlign w:val="bottom"/>
          </w:tcPr>
          <w:p>
            <w:pPr>
              <w:ind w:left="320"/>
              <w:spacing w:after="0"/>
              <w:rPr>
                <w:rFonts w:ascii="Arial" w:cs="Arial" w:eastAsia="Arial" w:hAnsi="Arial"/>
                <w:sz w:val="16"/>
                <w:szCs w:val="16"/>
                <w:color w:val="auto"/>
              </w:rPr>
            </w:pPr>
            <w:hyperlink w:anchor="page74">
              <w:r>
                <w:rPr>
                  <w:rFonts w:ascii="Arial" w:cs="Arial" w:eastAsia="Arial" w:hAnsi="Arial"/>
                  <w:sz w:val="16"/>
                  <w:szCs w:val="16"/>
                  <w:color w:val="auto"/>
                </w:rPr>
                <w:t>Driving Innovation and Managing Dilution</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62</w:t>
            </w:r>
          </w:p>
        </w:tc>
      </w:tr>
      <w:tr>
        <w:trPr>
          <w:trHeight w:val="283"/>
        </w:trPr>
        <w:tc>
          <w:tcPr>
            <w:tcW w:w="3720" w:type="dxa"/>
            <w:vAlign w:val="bottom"/>
          </w:tcPr>
          <w:p>
            <w:pPr>
              <w:ind w:left="320"/>
              <w:spacing w:after="0"/>
              <w:rPr>
                <w:rFonts w:ascii="Arial" w:cs="Arial" w:eastAsia="Arial" w:hAnsi="Arial"/>
                <w:sz w:val="16"/>
                <w:szCs w:val="16"/>
                <w:color w:val="auto"/>
              </w:rPr>
            </w:pPr>
            <w:hyperlink w:anchor="page75">
              <w:r>
                <w:rPr>
                  <w:rFonts w:ascii="Arial" w:cs="Arial" w:eastAsia="Arial" w:hAnsi="Arial"/>
                  <w:sz w:val="16"/>
                  <w:szCs w:val="16"/>
                  <w:color w:val="auto"/>
                </w:rPr>
                <w:t>At-Risk, Performance-Based Pay</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63</w:t>
            </w:r>
          </w:p>
        </w:tc>
      </w:tr>
      <w:tr>
        <w:trPr>
          <w:trHeight w:val="284"/>
        </w:trPr>
        <w:tc>
          <w:tcPr>
            <w:tcW w:w="3720" w:type="dxa"/>
            <w:vAlign w:val="bottom"/>
          </w:tcPr>
          <w:p>
            <w:pPr>
              <w:ind w:left="320"/>
              <w:spacing w:after="0"/>
              <w:rPr>
                <w:rFonts w:ascii="Arial" w:cs="Arial" w:eastAsia="Arial" w:hAnsi="Arial"/>
                <w:sz w:val="16"/>
                <w:szCs w:val="16"/>
                <w:color w:val="auto"/>
              </w:rPr>
            </w:pPr>
            <w:hyperlink w:anchor="page76">
              <w:r>
                <w:rPr>
                  <w:rFonts w:ascii="Arial" w:cs="Arial" w:eastAsia="Arial" w:hAnsi="Arial"/>
                  <w:sz w:val="16"/>
                  <w:szCs w:val="16"/>
                  <w:color w:val="auto"/>
                </w:rPr>
                <w:t>Compensation Program Simplicity</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64</w:t>
            </w:r>
          </w:p>
        </w:tc>
      </w:tr>
      <w:tr>
        <w:trPr>
          <w:trHeight w:val="278"/>
        </w:trPr>
        <w:tc>
          <w:tcPr>
            <w:tcW w:w="3720" w:type="dxa"/>
            <w:vAlign w:val="bottom"/>
          </w:tcPr>
          <w:p>
            <w:pPr>
              <w:ind w:left="320"/>
              <w:spacing w:after="0"/>
              <w:rPr>
                <w:rFonts w:ascii="Arial" w:cs="Arial" w:eastAsia="Arial" w:hAnsi="Arial"/>
                <w:sz w:val="16"/>
                <w:szCs w:val="16"/>
                <w:color w:val="auto"/>
              </w:rPr>
            </w:pPr>
            <w:hyperlink w:anchor="page76">
              <w:r>
                <w:rPr>
                  <w:rFonts w:ascii="Arial" w:cs="Arial" w:eastAsia="Arial" w:hAnsi="Arial"/>
                  <w:sz w:val="16"/>
                  <w:szCs w:val="16"/>
                  <w:color w:val="auto"/>
                </w:rPr>
                <w:t>Balancing Year-over-Year Consistency and</w:t>
              </w:r>
            </w:hyperlink>
          </w:p>
        </w:tc>
        <w:tc>
          <w:tcPr>
            <w:tcW w:w="380" w:type="dxa"/>
            <w:vAlign w:val="bottom"/>
          </w:tcPr>
          <w:p>
            <w:pPr>
              <w:spacing w:after="0"/>
              <w:rPr>
                <w:sz w:val="24"/>
                <w:szCs w:val="24"/>
                <w:color w:val="auto"/>
              </w:rPr>
            </w:pPr>
          </w:p>
        </w:tc>
      </w:tr>
      <w:tr>
        <w:trPr>
          <w:trHeight w:val="195"/>
        </w:trPr>
        <w:tc>
          <w:tcPr>
            <w:tcW w:w="3720" w:type="dxa"/>
            <w:vAlign w:val="bottom"/>
          </w:tcPr>
          <w:p>
            <w:pPr>
              <w:ind w:left="320"/>
              <w:spacing w:after="0"/>
              <w:rPr>
                <w:rFonts w:ascii="Arial" w:cs="Arial" w:eastAsia="Arial" w:hAnsi="Arial"/>
                <w:sz w:val="16"/>
                <w:szCs w:val="16"/>
                <w:color w:val="auto"/>
              </w:rPr>
            </w:pPr>
            <w:hyperlink w:anchor="page76">
              <w:r>
                <w:rPr>
                  <w:rFonts w:ascii="Arial" w:cs="Arial" w:eastAsia="Arial" w:hAnsi="Arial"/>
                  <w:sz w:val="16"/>
                  <w:szCs w:val="16"/>
                  <w:color w:val="auto"/>
                </w:rPr>
                <w:t>Flexibility</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64</w:t>
            </w:r>
          </w:p>
        </w:tc>
      </w:tr>
      <w:tr>
        <w:trPr>
          <w:trHeight w:val="278"/>
        </w:trPr>
        <w:tc>
          <w:tcPr>
            <w:tcW w:w="3720" w:type="dxa"/>
            <w:vAlign w:val="bottom"/>
          </w:tcPr>
          <w:p>
            <w:pPr>
              <w:ind w:left="320"/>
              <w:spacing w:after="0"/>
              <w:rPr>
                <w:rFonts w:ascii="Arial" w:cs="Arial" w:eastAsia="Arial" w:hAnsi="Arial"/>
                <w:sz w:val="16"/>
                <w:szCs w:val="16"/>
                <w:color w:val="auto"/>
              </w:rPr>
            </w:pPr>
            <w:hyperlink w:anchor="page76">
              <w:r>
                <w:rPr>
                  <w:rFonts w:ascii="Arial" w:cs="Arial" w:eastAsia="Arial" w:hAnsi="Arial"/>
                  <w:sz w:val="16"/>
                  <w:szCs w:val="16"/>
                  <w:color w:val="auto"/>
                </w:rPr>
                <w:t>Linking Compensation to Long-Term</w:t>
              </w:r>
            </w:hyperlink>
          </w:p>
        </w:tc>
        <w:tc>
          <w:tcPr>
            <w:tcW w:w="380" w:type="dxa"/>
            <w:vAlign w:val="bottom"/>
          </w:tcPr>
          <w:p>
            <w:pPr>
              <w:spacing w:after="0"/>
              <w:rPr>
                <w:sz w:val="24"/>
                <w:szCs w:val="24"/>
                <w:color w:val="auto"/>
              </w:rPr>
            </w:pPr>
          </w:p>
        </w:tc>
      </w:tr>
      <w:tr>
        <w:trPr>
          <w:trHeight w:val="195"/>
        </w:trPr>
        <w:tc>
          <w:tcPr>
            <w:tcW w:w="3720" w:type="dxa"/>
            <w:vAlign w:val="bottom"/>
          </w:tcPr>
          <w:p>
            <w:pPr>
              <w:ind w:left="320"/>
              <w:spacing w:after="0"/>
              <w:rPr>
                <w:rFonts w:ascii="Arial" w:cs="Arial" w:eastAsia="Arial" w:hAnsi="Arial"/>
                <w:sz w:val="16"/>
                <w:szCs w:val="16"/>
                <w:color w:val="auto"/>
              </w:rPr>
            </w:pPr>
            <w:hyperlink w:anchor="page76">
              <w:r>
                <w:rPr>
                  <w:rFonts w:ascii="Arial" w:cs="Arial" w:eastAsia="Arial" w:hAnsi="Arial"/>
                  <w:sz w:val="16"/>
                  <w:szCs w:val="16"/>
                  <w:color w:val="auto"/>
                </w:rPr>
                <w:t>Performance</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64</w:t>
            </w:r>
          </w:p>
        </w:tc>
      </w:tr>
      <w:tr>
        <w:trPr>
          <w:trHeight w:val="278"/>
        </w:trPr>
        <w:tc>
          <w:tcPr>
            <w:tcW w:w="3720" w:type="dxa"/>
            <w:vAlign w:val="bottom"/>
          </w:tcPr>
          <w:p>
            <w:pPr>
              <w:ind w:left="320"/>
              <w:spacing w:after="0"/>
              <w:rPr>
                <w:rFonts w:ascii="Arial" w:cs="Arial" w:eastAsia="Arial" w:hAnsi="Arial"/>
                <w:sz w:val="16"/>
                <w:szCs w:val="16"/>
                <w:color w:val="auto"/>
              </w:rPr>
            </w:pPr>
            <w:hyperlink w:anchor="page77">
              <w:r>
                <w:rPr>
                  <w:rFonts w:ascii="Arial" w:cs="Arial" w:eastAsia="Arial" w:hAnsi="Arial"/>
                  <w:sz w:val="16"/>
                  <w:szCs w:val="16"/>
                  <w:color w:val="auto"/>
                </w:rPr>
                <w:t>Use of Independent Expertise and</w:t>
              </w:r>
            </w:hyperlink>
          </w:p>
        </w:tc>
        <w:tc>
          <w:tcPr>
            <w:tcW w:w="380" w:type="dxa"/>
            <w:vAlign w:val="bottom"/>
          </w:tcPr>
          <w:p>
            <w:pPr>
              <w:spacing w:after="0"/>
              <w:rPr>
                <w:sz w:val="24"/>
                <w:szCs w:val="24"/>
                <w:color w:val="auto"/>
              </w:rPr>
            </w:pPr>
          </w:p>
        </w:tc>
      </w:tr>
      <w:tr>
        <w:trPr>
          <w:trHeight w:val="195"/>
        </w:trPr>
        <w:tc>
          <w:tcPr>
            <w:tcW w:w="3720" w:type="dxa"/>
            <w:vAlign w:val="bottom"/>
          </w:tcPr>
          <w:p>
            <w:pPr>
              <w:ind w:left="320"/>
              <w:spacing w:after="0"/>
              <w:rPr>
                <w:rFonts w:ascii="Arial" w:cs="Arial" w:eastAsia="Arial" w:hAnsi="Arial"/>
                <w:sz w:val="16"/>
                <w:szCs w:val="16"/>
                <w:color w:val="auto"/>
              </w:rPr>
            </w:pPr>
            <w:hyperlink w:anchor="page77">
              <w:r>
                <w:rPr>
                  <w:rFonts w:ascii="Arial" w:cs="Arial" w:eastAsia="Arial" w:hAnsi="Arial"/>
                  <w:sz w:val="16"/>
                  <w:szCs w:val="16"/>
                  <w:color w:val="auto"/>
                </w:rPr>
                <w:t>Comparative Data</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65</w:t>
            </w:r>
          </w:p>
        </w:tc>
      </w:tr>
      <w:tr>
        <w:trPr>
          <w:trHeight w:val="283"/>
        </w:trPr>
        <w:tc>
          <w:tcPr>
            <w:tcW w:w="3720" w:type="dxa"/>
            <w:vAlign w:val="bottom"/>
          </w:tcPr>
          <w:p>
            <w:pPr>
              <w:ind w:left="320"/>
              <w:spacing w:after="0"/>
              <w:rPr>
                <w:rFonts w:ascii="Arial" w:cs="Arial" w:eastAsia="Arial" w:hAnsi="Arial"/>
                <w:sz w:val="16"/>
                <w:szCs w:val="16"/>
                <w:color w:val="auto"/>
              </w:rPr>
            </w:pPr>
            <w:hyperlink w:anchor="page77">
              <w:r>
                <w:rPr>
                  <w:rFonts w:ascii="Arial" w:cs="Arial" w:eastAsia="Arial" w:hAnsi="Arial"/>
                  <w:sz w:val="16"/>
                  <w:szCs w:val="16"/>
                  <w:color w:val="auto"/>
                </w:rPr>
                <w:t>Measurable Results</w:t>
              </w:r>
            </w:hyperlink>
          </w:p>
        </w:tc>
        <w:tc>
          <w:tcPr>
            <w:tcW w:w="380" w:type="dxa"/>
            <w:vAlign w:val="bottom"/>
          </w:tcPr>
          <w:p>
            <w:pPr>
              <w:jc w:val="right"/>
              <w:spacing w:after="0"/>
              <w:rPr>
                <w:sz w:val="20"/>
                <w:szCs w:val="20"/>
                <w:color w:val="auto"/>
              </w:rPr>
            </w:pPr>
            <w:r>
              <w:rPr>
                <w:rFonts w:ascii="Arial" w:cs="Arial" w:eastAsia="Arial" w:hAnsi="Arial"/>
                <w:sz w:val="16"/>
                <w:szCs w:val="16"/>
                <w:color w:val="231F20"/>
              </w:rPr>
              <w:t>65</w:t>
            </w:r>
          </w:p>
        </w:tc>
      </w:tr>
    </w:tbl>
    <w:p>
      <w:pPr>
        <w:spacing w:after="0" w:line="200" w:lineRule="exact"/>
        <w:rPr>
          <w:sz w:val="20"/>
          <w:szCs w:val="20"/>
          <w:color w:val="auto"/>
        </w:rPr>
      </w:pPr>
    </w:p>
    <w:p>
      <w:pPr>
        <w:sectPr>
          <w:pgSz w:w="11900" w:h="16838" w:orient="portrait"/>
          <w:cols w:equalWidth="0" w:num="2">
            <w:col w:w="4280" w:space="440"/>
            <w:col w:w="4420"/>
          </w:cols>
          <w:pgMar w:left="1440" w:top="1186"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9080" w:val="left"/>
        </w:tabs>
        <w:rPr>
          <w:sz w:val="20"/>
          <w:szCs w:val="20"/>
          <w:color w:val="auto"/>
        </w:rPr>
      </w:pPr>
      <w:r>
        <w:rPr>
          <w:rFonts w:ascii="Arial" w:cs="Arial" w:eastAsia="Arial" w:hAnsi="Arial"/>
          <w:sz w:val="13"/>
          <w:szCs w:val="13"/>
          <w:b w:val="1"/>
          <w:bCs w:val="1"/>
          <w:color w:val="2952A4"/>
        </w:rPr>
        <w:t xml:space="preserve">2020 PROXY STATEMENT AND NOTICE OF ANNUAL SHAREHOLDER MEETING                                      </w:t>
      </w:r>
      <w:r>
        <w:rPr>
          <w:sz w:val="1"/>
          <w:szCs w:val="1"/>
          <w:color w:val="auto"/>
        </w:rPr>
        <w:drawing>
          <wp:inline distT="0" distB="0" distL="0" distR="0">
            <wp:extent cx="771525"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4"/>
          <w:szCs w:val="14"/>
          <w:color w:val="00A5EC"/>
        </w:rPr>
        <w:t xml:space="preserve">  /</w:t>
      </w:r>
      <w:r>
        <w:rPr>
          <w:sz w:val="20"/>
          <w:szCs w:val="20"/>
          <w:color w:val="auto"/>
        </w:rPr>
        <w:tab/>
      </w:r>
      <w:r>
        <w:rPr>
          <w:rFonts w:ascii="Arial" w:cs="Arial" w:eastAsia="Arial" w:hAnsi="Arial"/>
          <w:sz w:val="14"/>
          <w:szCs w:val="14"/>
          <w:b w:val="1"/>
          <w:bCs w:val="1"/>
          <w:color w:val="00A5EC"/>
        </w:rPr>
        <w:t>i</w:t>
      </w:r>
    </w:p>
    <w:p>
      <w:pPr>
        <w:sectPr>
          <w:pgSz w:w="11900" w:h="16838" w:orient="portrait"/>
          <w:cols w:equalWidth="0" w:num="1">
            <w:col w:w="9140"/>
          </w:cols>
          <w:pgMar w:left="1440" w:top="1186" w:right="1319" w:bottom="1440" w:gutter="0" w:footer="0" w:header="0"/>
          <w:type w:val="continuous"/>
        </w:sectPr>
      </w:pPr>
    </w:p>
    <w:bookmarkStart w:id="10" w:name="page11"/>
    <w:bookmarkEnd w:id="10"/>
    <w:p>
      <w:pPr>
        <w:ind w:left="1300" w:right="3580"/>
        <w:spacing w:after="0" w:line="276" w:lineRule="auto"/>
        <w:rPr>
          <w:sz w:val="20"/>
          <w:szCs w:val="20"/>
          <w:color w:val="auto"/>
        </w:rPr>
      </w:pPr>
      <w:r>
        <w:rPr>
          <w:rFonts w:ascii="Arial" w:cs="Arial" w:eastAsia="Arial" w:hAnsi="Arial"/>
          <w:sz w:val="59"/>
          <w:szCs w:val="59"/>
          <w:b w:val="1"/>
          <w:bCs w:val="1"/>
          <w:color w:val="2952A4"/>
        </w:rPr>
        <w:drawing>
          <wp:anchor simplePos="0" relativeHeight="251657728" behindDoc="1" locked="0" layoutInCell="0" allowOverlap="1">
            <wp:simplePos x="0" y="0"/>
            <wp:positionH relativeFrom="page">
              <wp:posOffset>345440</wp:posOffset>
            </wp:positionH>
            <wp:positionV relativeFrom="page">
              <wp:posOffset>217805</wp:posOffset>
            </wp:positionV>
            <wp:extent cx="68580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0" cy="17145"/>
                    </a:xfrm>
                    <a:prstGeom prst="rect">
                      <a:avLst/>
                    </a:prstGeom>
                    <a:noFill/>
                  </pic:spPr>
                </pic:pic>
              </a:graphicData>
            </a:graphic>
          </wp:anchor>
        </w:drawing>
        <w:t xml:space="preserve">TABLE OF CONTENTS </w:t>
      </w:r>
      <w:r>
        <w:rPr>
          <w:rFonts w:ascii="Arial" w:cs="Arial" w:eastAsia="Arial" w:hAnsi="Arial"/>
          <w:sz w:val="59"/>
          <w:szCs w:val="59"/>
          <w:color w:val="2952A4"/>
        </w:rPr>
        <w:t>(CONT.)</w:t>
      </w:r>
    </w:p>
    <w:p>
      <w:pPr>
        <w:sectPr>
          <w:pgSz w:w="11900" w:h="16838" w:orient="portrait"/>
          <w:cols w:equalWidth="0" w:num="1">
            <w:col w:w="11240"/>
          </w:cols>
          <w:pgMar w:left="320" w:top="673" w:right="339" w:bottom="1440" w:gutter="0" w:footer="0" w:header="0"/>
        </w:sectPr>
      </w:pPr>
    </w:p>
    <w:p>
      <w:pPr>
        <w:spacing w:after="0" w:line="4" w:lineRule="exact"/>
        <w:rPr>
          <w:sz w:val="20"/>
          <w:szCs w:val="20"/>
          <w:color w:val="auto"/>
        </w:rPr>
      </w:pPr>
    </w:p>
    <w:p>
      <w:pPr>
        <w:ind w:left="1480"/>
        <w:spacing w:after="0" w:line="267" w:lineRule="auto"/>
        <w:rPr>
          <w:rFonts w:ascii="Arial" w:cs="Arial" w:eastAsia="Arial" w:hAnsi="Arial"/>
          <w:sz w:val="15"/>
          <w:szCs w:val="15"/>
          <w:b w:val="1"/>
          <w:bCs w:val="1"/>
          <w:color w:val="2952A4"/>
        </w:rPr>
      </w:pPr>
      <w:hyperlink w:anchor="page78">
        <w:r>
          <w:rPr>
            <w:rFonts w:ascii="Arial" w:cs="Arial" w:eastAsia="Arial" w:hAnsi="Arial"/>
            <w:sz w:val="15"/>
            <w:szCs w:val="15"/>
            <w:b w:val="1"/>
            <w:bCs w:val="1"/>
            <w:color w:val="2952A4"/>
          </w:rPr>
          <w:t>Components of Executive Pay: What We Pay and</w:t>
        </w:r>
      </w:hyperlink>
      <w:r>
        <w:rPr>
          <w:rFonts w:ascii="Arial" w:cs="Arial" w:eastAsia="Arial" w:hAnsi="Arial"/>
          <w:sz w:val="15"/>
          <w:szCs w:val="15"/>
          <w:b w:val="1"/>
          <w:bCs w:val="1"/>
          <w:color w:val="2952A4"/>
        </w:rPr>
        <w:t xml:space="preserve"> </w:t>
      </w:r>
      <w:hyperlink w:anchor="page78">
        <w:r>
          <w:rPr>
            <w:rFonts w:ascii="Arial" w:cs="Arial" w:eastAsia="Arial" w:hAnsi="Arial"/>
            <w:sz w:val="15"/>
            <w:szCs w:val="15"/>
            <w:b w:val="1"/>
            <w:bCs w:val="1"/>
            <w:color w:val="2952A4"/>
          </w:rPr>
          <w:t>Why We Pay It</w:t>
        </w:r>
      </w:hyperlink>
    </w:p>
    <w:p>
      <w:pPr>
        <w:spacing w:after="0" w:line="53" w:lineRule="exact"/>
        <w:rPr>
          <w:sz w:val="20"/>
          <w:szCs w:val="20"/>
          <w:color w:val="auto"/>
        </w:rPr>
      </w:pPr>
    </w:p>
    <w:p>
      <w:pPr>
        <w:ind w:left="1620"/>
        <w:spacing w:after="0"/>
        <w:rPr>
          <w:rFonts w:ascii="Arial" w:cs="Arial" w:eastAsia="Arial" w:hAnsi="Arial"/>
          <w:sz w:val="15"/>
          <w:szCs w:val="15"/>
          <w:color w:val="auto"/>
        </w:rPr>
      </w:pPr>
      <w:hyperlink w:anchor="page79">
        <w:r>
          <w:rPr>
            <w:rFonts w:ascii="Arial" w:cs="Arial" w:eastAsia="Arial" w:hAnsi="Arial"/>
            <w:sz w:val="15"/>
            <w:szCs w:val="15"/>
            <w:color w:val="auto"/>
          </w:rPr>
          <w:t>Base Salaries</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79">
        <w:r>
          <w:rPr>
            <w:rFonts w:ascii="Arial" w:cs="Arial" w:eastAsia="Arial" w:hAnsi="Arial"/>
            <w:sz w:val="15"/>
            <w:szCs w:val="15"/>
            <w:color w:val="auto"/>
          </w:rPr>
          <w:t>Annual Cash Incentives</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85">
        <w:r>
          <w:rPr>
            <w:rFonts w:ascii="Arial" w:cs="Arial" w:eastAsia="Arial" w:hAnsi="Arial"/>
            <w:sz w:val="15"/>
            <w:szCs w:val="15"/>
            <w:color w:val="auto"/>
          </w:rPr>
          <w:t>Annual Equity Awards</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88">
        <w:r>
          <w:rPr>
            <w:rFonts w:ascii="Arial" w:cs="Arial" w:eastAsia="Arial" w:hAnsi="Arial"/>
            <w:sz w:val="15"/>
            <w:szCs w:val="15"/>
            <w:color w:val="auto"/>
          </w:rPr>
          <w:t>Perquisites and Personal Benefits</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88">
        <w:r>
          <w:rPr>
            <w:rFonts w:ascii="Arial" w:cs="Arial" w:eastAsia="Arial" w:hAnsi="Arial"/>
            <w:sz w:val="15"/>
            <w:szCs w:val="15"/>
            <w:color w:val="auto"/>
          </w:rPr>
          <w:t>Potential Severance Payments</w:t>
        </w:r>
      </w:hyperlink>
    </w:p>
    <w:p>
      <w:pPr>
        <w:spacing w:after="0" w:line="66" w:lineRule="exact"/>
        <w:rPr>
          <w:sz w:val="20"/>
          <w:szCs w:val="20"/>
          <w:color w:val="auto"/>
        </w:rPr>
      </w:pPr>
    </w:p>
    <w:p>
      <w:pPr>
        <w:ind w:left="1480"/>
        <w:spacing w:after="0"/>
        <w:rPr>
          <w:rFonts w:ascii="Arial" w:cs="Arial" w:eastAsia="Arial" w:hAnsi="Arial"/>
          <w:sz w:val="15"/>
          <w:szCs w:val="15"/>
          <w:b w:val="1"/>
          <w:bCs w:val="1"/>
          <w:color w:val="2952A4"/>
        </w:rPr>
      </w:pPr>
      <w:hyperlink w:anchor="page89">
        <w:r>
          <w:rPr>
            <w:rFonts w:ascii="Arial" w:cs="Arial" w:eastAsia="Arial" w:hAnsi="Arial"/>
            <w:sz w:val="15"/>
            <w:szCs w:val="15"/>
            <w:b w:val="1"/>
            <w:bCs w:val="1"/>
            <w:color w:val="2952A4"/>
          </w:rPr>
          <w:t>Our Compensation Processes</w:t>
        </w:r>
      </w:hyperlink>
    </w:p>
    <w:p>
      <w:pPr>
        <w:spacing w:after="0" w:line="102" w:lineRule="exact"/>
        <w:rPr>
          <w:sz w:val="20"/>
          <w:szCs w:val="20"/>
          <w:color w:val="auto"/>
        </w:rPr>
      </w:pPr>
    </w:p>
    <w:p>
      <w:pPr>
        <w:ind w:left="1620"/>
        <w:spacing w:after="0"/>
        <w:rPr>
          <w:rFonts w:ascii="Arial" w:cs="Arial" w:eastAsia="Arial" w:hAnsi="Arial"/>
          <w:sz w:val="15"/>
          <w:szCs w:val="15"/>
          <w:color w:val="auto"/>
        </w:rPr>
      </w:pPr>
      <w:hyperlink w:anchor="page89">
        <w:r>
          <w:rPr>
            <w:rFonts w:ascii="Arial" w:cs="Arial" w:eastAsia="Arial" w:hAnsi="Arial"/>
            <w:sz w:val="15"/>
            <w:szCs w:val="15"/>
            <w:color w:val="auto"/>
          </w:rPr>
          <w:t>Our Compensation Committee</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89">
        <w:r>
          <w:rPr>
            <w:rFonts w:ascii="Arial" w:cs="Arial" w:eastAsia="Arial" w:hAnsi="Arial"/>
            <w:sz w:val="15"/>
            <w:szCs w:val="15"/>
            <w:color w:val="auto"/>
          </w:rPr>
          <w:t>Management</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90">
        <w:r>
          <w:rPr>
            <w:rFonts w:ascii="Arial" w:cs="Arial" w:eastAsia="Arial" w:hAnsi="Arial"/>
            <w:sz w:val="15"/>
            <w:szCs w:val="15"/>
            <w:color w:val="auto"/>
          </w:rPr>
          <w:t>Shareholder Input and Outreach</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93">
        <w:r>
          <w:rPr>
            <w:rFonts w:ascii="Arial" w:cs="Arial" w:eastAsia="Arial" w:hAnsi="Arial"/>
            <w:sz w:val="15"/>
            <w:szCs w:val="15"/>
            <w:color w:val="auto"/>
          </w:rPr>
          <w:t>Independent Compensation Consultant</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93">
        <w:r>
          <w:rPr>
            <w:rFonts w:ascii="Arial" w:cs="Arial" w:eastAsia="Arial" w:hAnsi="Arial"/>
            <w:sz w:val="15"/>
            <w:szCs w:val="15"/>
            <w:color w:val="auto"/>
          </w:rPr>
          <w:t>Peer Data</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95">
        <w:r>
          <w:rPr>
            <w:rFonts w:ascii="Arial" w:cs="Arial" w:eastAsia="Arial" w:hAnsi="Arial"/>
            <w:sz w:val="15"/>
            <w:szCs w:val="15"/>
            <w:color w:val="auto"/>
          </w:rPr>
          <w:t>Risk Assessment</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95">
        <w:r>
          <w:rPr>
            <w:rFonts w:ascii="Arial" w:cs="Arial" w:eastAsia="Arial" w:hAnsi="Arial"/>
            <w:sz w:val="15"/>
            <w:szCs w:val="15"/>
            <w:color w:val="auto"/>
          </w:rPr>
          <w:t>Tax Implications</w:t>
        </w:r>
      </w:hyperlink>
    </w:p>
    <w:p>
      <w:pPr>
        <w:spacing w:after="0" w:line="66" w:lineRule="exact"/>
        <w:rPr>
          <w:sz w:val="20"/>
          <w:szCs w:val="20"/>
          <w:color w:val="auto"/>
        </w:rPr>
      </w:pPr>
    </w:p>
    <w:p>
      <w:pPr>
        <w:ind w:left="1300"/>
        <w:spacing w:after="0"/>
        <w:rPr>
          <w:rFonts w:ascii="Arial" w:cs="Arial" w:eastAsia="Arial" w:hAnsi="Arial"/>
          <w:sz w:val="15"/>
          <w:szCs w:val="15"/>
          <w:b w:val="1"/>
          <w:bCs w:val="1"/>
          <w:color w:val="auto"/>
        </w:rPr>
      </w:pPr>
      <w:hyperlink w:anchor="page97">
        <w:r>
          <w:rPr>
            <w:rFonts w:ascii="Arial" w:cs="Arial" w:eastAsia="Arial" w:hAnsi="Arial"/>
            <w:sz w:val="15"/>
            <w:szCs w:val="15"/>
            <w:b w:val="1"/>
            <w:bCs w:val="1"/>
            <w:color w:val="auto"/>
          </w:rPr>
          <w:t>Compensation Committee Report</w:t>
        </w:r>
      </w:hyperlink>
    </w:p>
    <w:p>
      <w:pPr>
        <w:spacing w:after="0" w:line="84" w:lineRule="exact"/>
        <w:rPr>
          <w:sz w:val="20"/>
          <w:szCs w:val="20"/>
          <w:color w:val="auto"/>
        </w:rPr>
      </w:pPr>
    </w:p>
    <w:p>
      <w:pPr>
        <w:ind w:left="1300"/>
        <w:spacing w:after="0"/>
        <w:rPr>
          <w:rFonts w:ascii="Arial" w:cs="Arial" w:eastAsia="Arial" w:hAnsi="Arial"/>
          <w:sz w:val="15"/>
          <w:szCs w:val="15"/>
          <w:b w:val="1"/>
          <w:bCs w:val="1"/>
          <w:color w:val="auto"/>
        </w:rPr>
      </w:pPr>
      <w:hyperlink w:anchor="page97">
        <w:r>
          <w:rPr>
            <w:rFonts w:ascii="Arial" w:cs="Arial" w:eastAsia="Arial" w:hAnsi="Arial"/>
            <w:sz w:val="15"/>
            <w:szCs w:val="15"/>
            <w:b w:val="1"/>
            <w:bCs w:val="1"/>
            <w:color w:val="auto"/>
          </w:rPr>
          <w:t>Compensation Committee Interlocks and Insider</w:t>
        </w:r>
      </w:hyperlink>
    </w:p>
    <w:p>
      <w:pPr>
        <w:spacing w:after="0" w:line="8" w:lineRule="exact"/>
        <w:rPr>
          <w:sz w:val="20"/>
          <w:szCs w:val="20"/>
          <w:color w:val="auto"/>
        </w:rPr>
      </w:pPr>
    </w:p>
    <w:p>
      <w:pPr>
        <w:ind w:left="1300"/>
        <w:spacing w:after="0"/>
        <w:rPr>
          <w:rFonts w:ascii="Arial" w:cs="Arial" w:eastAsia="Arial" w:hAnsi="Arial"/>
          <w:sz w:val="15"/>
          <w:szCs w:val="15"/>
          <w:b w:val="1"/>
          <w:bCs w:val="1"/>
          <w:color w:val="auto"/>
        </w:rPr>
      </w:pPr>
      <w:hyperlink w:anchor="page97">
        <w:r>
          <w:rPr>
            <w:rFonts w:ascii="Arial" w:cs="Arial" w:eastAsia="Arial" w:hAnsi="Arial"/>
            <w:sz w:val="15"/>
            <w:szCs w:val="15"/>
            <w:b w:val="1"/>
            <w:bCs w:val="1"/>
            <w:color w:val="auto"/>
          </w:rPr>
          <w:t>Participation</w:t>
        </w:r>
      </w:hyperlink>
    </w:p>
    <w:p>
      <w:pPr>
        <w:spacing w:after="0" w:line="66" w:lineRule="exact"/>
        <w:rPr>
          <w:sz w:val="20"/>
          <w:szCs w:val="20"/>
          <w:color w:val="auto"/>
        </w:rPr>
      </w:pPr>
    </w:p>
    <w:p>
      <w:pPr>
        <w:ind w:left="1300"/>
        <w:spacing w:after="0"/>
        <w:rPr>
          <w:rFonts w:ascii="Arial" w:cs="Arial" w:eastAsia="Arial" w:hAnsi="Arial"/>
          <w:sz w:val="15"/>
          <w:szCs w:val="15"/>
          <w:b w:val="1"/>
          <w:bCs w:val="1"/>
          <w:color w:val="auto"/>
        </w:rPr>
      </w:pPr>
      <w:hyperlink w:anchor="page98">
        <w:r>
          <w:rPr>
            <w:rFonts w:ascii="Arial" w:cs="Arial" w:eastAsia="Arial" w:hAnsi="Arial"/>
            <w:sz w:val="15"/>
            <w:szCs w:val="15"/>
            <w:b w:val="1"/>
            <w:bCs w:val="1"/>
            <w:color w:val="auto"/>
          </w:rPr>
          <w:t>Compensation Dashboard</w:t>
        </w:r>
      </w:hyperlink>
    </w:p>
    <w:p>
      <w:pPr>
        <w:spacing w:after="0" w:line="84" w:lineRule="exact"/>
        <w:rPr>
          <w:sz w:val="20"/>
          <w:szCs w:val="20"/>
          <w:color w:val="auto"/>
        </w:rPr>
      </w:pPr>
    </w:p>
    <w:p>
      <w:pPr>
        <w:ind w:left="1480"/>
        <w:spacing w:after="0"/>
        <w:rPr>
          <w:rFonts w:ascii="Arial" w:cs="Arial" w:eastAsia="Arial" w:hAnsi="Arial"/>
          <w:sz w:val="15"/>
          <w:szCs w:val="15"/>
          <w:b w:val="1"/>
          <w:bCs w:val="1"/>
          <w:color w:val="2952A4"/>
        </w:rPr>
      </w:pPr>
      <w:hyperlink w:anchor="page98">
        <w:r>
          <w:rPr>
            <w:rFonts w:ascii="Arial" w:cs="Arial" w:eastAsia="Arial" w:hAnsi="Arial"/>
            <w:sz w:val="15"/>
            <w:szCs w:val="15"/>
            <w:b w:val="1"/>
            <w:bCs w:val="1"/>
            <w:color w:val="2952A4"/>
          </w:rPr>
          <w:t>2019 Executive Compensation Tables</w:t>
        </w:r>
      </w:hyperlink>
    </w:p>
    <w:p>
      <w:pPr>
        <w:spacing w:after="0" w:line="102" w:lineRule="exact"/>
        <w:rPr>
          <w:sz w:val="20"/>
          <w:szCs w:val="20"/>
          <w:color w:val="auto"/>
        </w:rPr>
      </w:pPr>
    </w:p>
    <w:p>
      <w:pPr>
        <w:ind w:left="1620"/>
        <w:spacing w:after="0"/>
        <w:rPr>
          <w:rFonts w:ascii="Arial" w:cs="Arial" w:eastAsia="Arial" w:hAnsi="Arial"/>
          <w:sz w:val="15"/>
          <w:szCs w:val="15"/>
          <w:color w:val="auto"/>
        </w:rPr>
      </w:pPr>
      <w:hyperlink w:anchor="page98">
        <w:r>
          <w:rPr>
            <w:rFonts w:ascii="Arial" w:cs="Arial" w:eastAsia="Arial" w:hAnsi="Arial"/>
            <w:sz w:val="15"/>
            <w:szCs w:val="15"/>
            <w:color w:val="auto"/>
          </w:rPr>
          <w:t>2019 Summary Compensation Table</w:t>
        </w:r>
      </w:hyperlink>
    </w:p>
    <w:p>
      <w:pPr>
        <w:spacing w:after="0" w:line="84" w:lineRule="exact"/>
        <w:rPr>
          <w:sz w:val="20"/>
          <w:szCs w:val="20"/>
          <w:color w:val="auto"/>
        </w:rPr>
      </w:pPr>
    </w:p>
    <w:p>
      <w:pPr>
        <w:ind w:left="1620"/>
        <w:spacing w:after="0"/>
        <w:rPr>
          <w:rFonts w:ascii="Arial" w:cs="Arial" w:eastAsia="Arial" w:hAnsi="Arial"/>
          <w:sz w:val="15"/>
          <w:szCs w:val="15"/>
          <w:color w:val="auto"/>
        </w:rPr>
      </w:pPr>
      <w:hyperlink w:anchor="page99">
        <w:r>
          <w:rPr>
            <w:rFonts w:ascii="Arial" w:cs="Arial" w:eastAsia="Arial" w:hAnsi="Arial"/>
            <w:sz w:val="15"/>
            <w:szCs w:val="15"/>
            <w:color w:val="auto"/>
          </w:rPr>
          <w:t>2019 Grants of Plan-Based Awards</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84"/>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2952A4"/>
                <w:w w:val="83"/>
              </w:rPr>
              <w:t>66</w:t>
            </w:r>
          </w:p>
        </w:tc>
        <w:tc>
          <w:tcPr>
            <w:tcW w:w="3640" w:type="dxa"/>
            <w:vAlign w:val="bottom"/>
          </w:tcPr>
          <w:p>
            <w:pPr>
              <w:ind w:left="440"/>
              <w:spacing w:after="0"/>
              <w:rPr>
                <w:rFonts w:ascii="Arial" w:cs="Arial" w:eastAsia="Arial" w:hAnsi="Arial"/>
                <w:sz w:val="15"/>
                <w:szCs w:val="15"/>
                <w:color w:val="auto"/>
              </w:rPr>
            </w:pPr>
            <w:hyperlink w:anchor="page102">
              <w:r>
                <w:rPr>
                  <w:rFonts w:ascii="Arial" w:cs="Arial" w:eastAsia="Arial" w:hAnsi="Arial"/>
                  <w:sz w:val="15"/>
                  <w:szCs w:val="15"/>
                  <w:color w:val="auto"/>
                </w:rPr>
                <w:t>2019 Option Exercises and Stock Vested</w:t>
              </w:r>
            </w:hyperlink>
          </w:p>
        </w:tc>
        <w:tc>
          <w:tcPr>
            <w:tcW w:w="580" w:type="dxa"/>
            <w:vAlign w:val="bottom"/>
          </w:tcPr>
          <w:p>
            <w:pPr>
              <w:jc w:val="right"/>
              <w:spacing w:after="0"/>
              <w:rPr>
                <w:sz w:val="20"/>
                <w:szCs w:val="20"/>
                <w:color w:val="auto"/>
              </w:rPr>
            </w:pPr>
            <w:r>
              <w:rPr>
                <w:rFonts w:ascii="Arial" w:cs="Arial" w:eastAsia="Arial" w:hAnsi="Arial"/>
                <w:sz w:val="15"/>
                <w:szCs w:val="15"/>
                <w:color w:val="231F20"/>
              </w:rPr>
              <w:t>90</w:t>
            </w: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3640" w:type="dxa"/>
            <w:vAlign w:val="bottom"/>
            <w:vMerge w:val="restart"/>
          </w:tcPr>
          <w:p>
            <w:pPr>
              <w:ind w:left="440"/>
              <w:spacing w:after="0"/>
              <w:rPr>
                <w:rFonts w:ascii="Arial" w:cs="Arial" w:eastAsia="Arial" w:hAnsi="Arial"/>
                <w:sz w:val="15"/>
                <w:szCs w:val="15"/>
                <w:color w:val="auto"/>
              </w:rPr>
            </w:pPr>
            <w:hyperlink w:anchor="page102">
              <w:r>
                <w:rPr>
                  <w:rFonts w:ascii="Arial" w:cs="Arial" w:eastAsia="Arial" w:hAnsi="Arial"/>
                  <w:sz w:val="15"/>
                  <w:szCs w:val="15"/>
                  <w:color w:val="auto"/>
                </w:rPr>
                <w:t>Post-Employment Compensation</w:t>
              </w:r>
            </w:hyperlink>
          </w:p>
        </w:tc>
        <w:tc>
          <w:tcPr>
            <w:tcW w:w="580" w:type="dxa"/>
            <w:vAlign w:val="bottom"/>
            <w:vMerge w:val="restart"/>
          </w:tcPr>
          <w:p>
            <w:pPr>
              <w:jc w:val="right"/>
              <w:spacing w:after="0"/>
              <w:rPr>
                <w:sz w:val="20"/>
                <w:szCs w:val="20"/>
                <w:color w:val="auto"/>
              </w:rPr>
            </w:pPr>
            <w:r>
              <w:rPr>
                <w:rFonts w:ascii="Arial" w:cs="Arial" w:eastAsia="Arial" w:hAnsi="Arial"/>
                <w:sz w:val="15"/>
                <w:szCs w:val="15"/>
                <w:color w:val="231F20"/>
              </w:rPr>
              <w:t>90</w:t>
            </w:r>
          </w:p>
        </w:tc>
        <w:tc>
          <w:tcPr>
            <w:tcW w:w="0" w:type="dxa"/>
            <w:vAlign w:val="bottom"/>
          </w:tcPr>
          <w:p>
            <w:pPr>
              <w:spacing w:after="0"/>
              <w:rPr>
                <w:sz w:val="1"/>
                <w:szCs w:val="1"/>
                <w:color w:val="auto"/>
              </w:rPr>
            </w:pPr>
          </w:p>
        </w:tc>
      </w:tr>
      <w:tr>
        <w:trPr>
          <w:trHeight w:val="94"/>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231F20"/>
                <w:w w:val="83"/>
              </w:rPr>
              <w:t>67</w:t>
            </w:r>
          </w:p>
        </w:tc>
        <w:tc>
          <w:tcPr>
            <w:tcW w:w="3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3640" w:type="dxa"/>
            <w:vAlign w:val="bottom"/>
            <w:vMerge w:val="restart"/>
          </w:tcPr>
          <w:p>
            <w:pPr>
              <w:ind w:left="300"/>
              <w:spacing w:after="0"/>
              <w:rPr>
                <w:rFonts w:ascii="Arial" w:cs="Arial" w:eastAsia="Arial" w:hAnsi="Arial"/>
                <w:sz w:val="15"/>
                <w:szCs w:val="15"/>
                <w:b w:val="1"/>
                <w:bCs w:val="1"/>
                <w:color w:val="2952A4"/>
              </w:rPr>
            </w:pPr>
            <w:hyperlink w:anchor="page106">
              <w:r>
                <w:rPr>
                  <w:rFonts w:ascii="Arial" w:cs="Arial" w:eastAsia="Arial" w:hAnsi="Arial"/>
                  <w:sz w:val="15"/>
                  <w:szCs w:val="15"/>
                  <w:b w:val="1"/>
                  <w:bCs w:val="1"/>
                  <w:color w:val="2952A4"/>
                </w:rPr>
                <w:t>Additional Compensation Information</w:t>
              </w:r>
            </w:hyperlink>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2952A4"/>
              </w:rPr>
              <w:t>94</w:t>
            </w:r>
          </w:p>
        </w:tc>
        <w:tc>
          <w:tcPr>
            <w:tcW w:w="0" w:type="dxa"/>
            <w:vAlign w:val="bottom"/>
          </w:tcPr>
          <w:p>
            <w:pPr>
              <w:spacing w:after="0"/>
              <w:rPr>
                <w:sz w:val="1"/>
                <w:szCs w:val="1"/>
                <w:color w:val="auto"/>
              </w:rPr>
            </w:pPr>
          </w:p>
        </w:tc>
      </w:tr>
      <w:tr>
        <w:trPr>
          <w:trHeight w:val="94"/>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231F20"/>
                <w:w w:val="83"/>
              </w:rPr>
              <w:t>67</w:t>
            </w:r>
          </w:p>
        </w:tc>
        <w:tc>
          <w:tcPr>
            <w:tcW w:w="3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3640" w:type="dxa"/>
            <w:vAlign w:val="bottom"/>
            <w:vMerge w:val="restart"/>
          </w:tcPr>
          <w:p>
            <w:pPr>
              <w:ind w:left="440"/>
              <w:spacing w:after="0"/>
              <w:rPr>
                <w:rFonts w:ascii="Arial" w:cs="Arial" w:eastAsia="Arial" w:hAnsi="Arial"/>
                <w:sz w:val="15"/>
                <w:szCs w:val="15"/>
                <w:color w:val="auto"/>
              </w:rPr>
            </w:pPr>
            <w:hyperlink w:anchor="page106">
              <w:r>
                <w:rPr>
                  <w:rFonts w:ascii="Arial" w:cs="Arial" w:eastAsia="Arial" w:hAnsi="Arial"/>
                  <w:sz w:val="15"/>
                  <w:szCs w:val="15"/>
                  <w:color w:val="auto"/>
                </w:rPr>
                <w:t>Annual Cash Incentives</w:t>
              </w:r>
            </w:hyperlink>
          </w:p>
        </w:tc>
        <w:tc>
          <w:tcPr>
            <w:tcW w:w="580" w:type="dxa"/>
            <w:vAlign w:val="bottom"/>
            <w:vMerge w:val="restart"/>
          </w:tcPr>
          <w:p>
            <w:pPr>
              <w:jc w:val="right"/>
              <w:spacing w:after="0"/>
              <w:rPr>
                <w:sz w:val="20"/>
                <w:szCs w:val="20"/>
                <w:color w:val="auto"/>
              </w:rPr>
            </w:pPr>
            <w:r>
              <w:rPr>
                <w:rFonts w:ascii="Arial" w:cs="Arial" w:eastAsia="Arial" w:hAnsi="Arial"/>
                <w:sz w:val="15"/>
                <w:szCs w:val="15"/>
                <w:color w:val="231F20"/>
              </w:rPr>
              <w:t>94</w:t>
            </w:r>
          </w:p>
        </w:tc>
        <w:tc>
          <w:tcPr>
            <w:tcW w:w="0" w:type="dxa"/>
            <w:vAlign w:val="bottom"/>
          </w:tcPr>
          <w:p>
            <w:pPr>
              <w:spacing w:after="0"/>
              <w:rPr>
                <w:sz w:val="1"/>
                <w:szCs w:val="1"/>
                <w:color w:val="auto"/>
              </w:rPr>
            </w:pPr>
          </w:p>
        </w:tc>
      </w:tr>
      <w:tr>
        <w:trPr>
          <w:trHeight w:val="95"/>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231F20"/>
                <w:w w:val="83"/>
              </w:rPr>
              <w:t>73</w:t>
            </w:r>
          </w:p>
        </w:tc>
        <w:tc>
          <w:tcPr>
            <w:tcW w:w="3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3640" w:type="dxa"/>
            <w:vAlign w:val="bottom"/>
            <w:vMerge w:val="restart"/>
          </w:tcPr>
          <w:p>
            <w:pPr>
              <w:ind w:left="440"/>
              <w:spacing w:after="0"/>
              <w:rPr>
                <w:rFonts w:ascii="Arial" w:cs="Arial" w:eastAsia="Arial" w:hAnsi="Arial"/>
                <w:sz w:val="15"/>
                <w:szCs w:val="15"/>
                <w:color w:val="auto"/>
              </w:rPr>
            </w:pPr>
            <w:hyperlink w:anchor="page107">
              <w:r>
                <w:rPr>
                  <w:rFonts w:ascii="Arial" w:cs="Arial" w:eastAsia="Arial" w:hAnsi="Arial"/>
                  <w:sz w:val="15"/>
                  <w:szCs w:val="15"/>
                  <w:color w:val="auto"/>
                </w:rPr>
                <w:t>Perquisites and Personal Benefits</w:t>
              </w:r>
            </w:hyperlink>
          </w:p>
        </w:tc>
        <w:tc>
          <w:tcPr>
            <w:tcW w:w="580" w:type="dxa"/>
            <w:vAlign w:val="bottom"/>
            <w:vMerge w:val="restart"/>
          </w:tcPr>
          <w:p>
            <w:pPr>
              <w:jc w:val="right"/>
              <w:spacing w:after="0"/>
              <w:rPr>
                <w:sz w:val="20"/>
                <w:szCs w:val="20"/>
                <w:color w:val="auto"/>
              </w:rPr>
            </w:pPr>
            <w:r>
              <w:rPr>
                <w:rFonts w:ascii="Arial" w:cs="Arial" w:eastAsia="Arial" w:hAnsi="Arial"/>
                <w:sz w:val="15"/>
                <w:szCs w:val="15"/>
                <w:color w:val="231F20"/>
              </w:rPr>
              <w:t>95</w:t>
            </w:r>
          </w:p>
        </w:tc>
        <w:tc>
          <w:tcPr>
            <w:tcW w:w="0" w:type="dxa"/>
            <w:vAlign w:val="bottom"/>
          </w:tcPr>
          <w:p>
            <w:pPr>
              <w:spacing w:after="0"/>
              <w:rPr>
                <w:sz w:val="1"/>
                <w:szCs w:val="1"/>
                <w:color w:val="auto"/>
              </w:rPr>
            </w:pPr>
          </w:p>
        </w:tc>
      </w:tr>
      <w:tr>
        <w:trPr>
          <w:trHeight w:val="95"/>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231F20"/>
                <w:w w:val="83"/>
              </w:rPr>
              <w:t>76</w:t>
            </w:r>
          </w:p>
        </w:tc>
        <w:tc>
          <w:tcPr>
            <w:tcW w:w="3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3640" w:type="dxa"/>
            <w:vAlign w:val="bottom"/>
            <w:vMerge w:val="restart"/>
          </w:tcPr>
          <w:p>
            <w:pPr>
              <w:ind w:left="440"/>
              <w:spacing w:after="0"/>
              <w:rPr>
                <w:rFonts w:ascii="Arial" w:cs="Arial" w:eastAsia="Arial" w:hAnsi="Arial"/>
                <w:sz w:val="15"/>
                <w:szCs w:val="15"/>
                <w:color w:val="auto"/>
              </w:rPr>
            </w:pPr>
            <w:hyperlink w:anchor="page108">
              <w:r>
                <w:rPr>
                  <w:rFonts w:ascii="Arial" w:cs="Arial" w:eastAsia="Arial" w:hAnsi="Arial"/>
                  <w:sz w:val="15"/>
                  <w:szCs w:val="15"/>
                  <w:color w:val="auto"/>
                </w:rPr>
                <w:t>Potential Severance Payments</w:t>
              </w:r>
            </w:hyperlink>
          </w:p>
        </w:tc>
        <w:tc>
          <w:tcPr>
            <w:tcW w:w="580" w:type="dxa"/>
            <w:vAlign w:val="bottom"/>
            <w:vMerge w:val="restart"/>
          </w:tcPr>
          <w:p>
            <w:pPr>
              <w:jc w:val="right"/>
              <w:spacing w:after="0"/>
              <w:rPr>
                <w:sz w:val="20"/>
                <w:szCs w:val="20"/>
                <w:color w:val="auto"/>
              </w:rPr>
            </w:pPr>
            <w:r>
              <w:rPr>
                <w:rFonts w:ascii="Arial" w:cs="Arial" w:eastAsia="Arial" w:hAnsi="Arial"/>
                <w:sz w:val="15"/>
                <w:szCs w:val="15"/>
                <w:color w:val="231F20"/>
              </w:rPr>
              <w:t>96</w:t>
            </w:r>
          </w:p>
        </w:tc>
        <w:tc>
          <w:tcPr>
            <w:tcW w:w="0" w:type="dxa"/>
            <w:vAlign w:val="bottom"/>
          </w:tcPr>
          <w:p>
            <w:pPr>
              <w:spacing w:after="0"/>
              <w:rPr>
                <w:sz w:val="1"/>
                <w:szCs w:val="1"/>
                <w:color w:val="auto"/>
              </w:rPr>
            </w:pPr>
          </w:p>
        </w:tc>
      </w:tr>
      <w:tr>
        <w:trPr>
          <w:trHeight w:val="94"/>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231F20"/>
                <w:w w:val="83"/>
              </w:rPr>
              <w:t>76</w:t>
            </w:r>
          </w:p>
        </w:tc>
        <w:tc>
          <w:tcPr>
            <w:tcW w:w="3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3640" w:type="dxa"/>
            <w:vAlign w:val="bottom"/>
            <w:vMerge w:val="restart"/>
          </w:tcPr>
          <w:p>
            <w:pPr>
              <w:ind w:left="440"/>
              <w:spacing w:after="0"/>
              <w:rPr>
                <w:rFonts w:ascii="Arial" w:cs="Arial" w:eastAsia="Arial" w:hAnsi="Arial"/>
                <w:sz w:val="15"/>
                <w:szCs w:val="15"/>
                <w:color w:val="auto"/>
              </w:rPr>
            </w:pPr>
            <w:hyperlink w:anchor="page109">
              <w:r>
                <w:rPr>
                  <w:rFonts w:ascii="Arial" w:cs="Arial" w:eastAsia="Arial" w:hAnsi="Arial"/>
                  <w:sz w:val="15"/>
                  <w:szCs w:val="15"/>
                  <w:color w:val="auto"/>
                </w:rPr>
                <w:t>Pay Ratio</w:t>
              </w:r>
            </w:hyperlink>
          </w:p>
        </w:tc>
        <w:tc>
          <w:tcPr>
            <w:tcW w:w="580" w:type="dxa"/>
            <w:vAlign w:val="bottom"/>
            <w:vMerge w:val="restart"/>
          </w:tcPr>
          <w:p>
            <w:pPr>
              <w:jc w:val="right"/>
              <w:spacing w:after="0"/>
              <w:rPr>
                <w:sz w:val="20"/>
                <w:szCs w:val="20"/>
                <w:color w:val="auto"/>
              </w:rPr>
            </w:pPr>
            <w:r>
              <w:rPr>
                <w:rFonts w:ascii="Arial" w:cs="Arial" w:eastAsia="Arial" w:hAnsi="Arial"/>
                <w:sz w:val="15"/>
                <w:szCs w:val="15"/>
                <w:color w:val="231F20"/>
              </w:rPr>
              <w:t>97</w:t>
            </w:r>
          </w:p>
        </w:tc>
        <w:tc>
          <w:tcPr>
            <w:tcW w:w="0" w:type="dxa"/>
            <w:vAlign w:val="bottom"/>
          </w:tcPr>
          <w:p>
            <w:pPr>
              <w:spacing w:after="0"/>
              <w:rPr>
                <w:sz w:val="1"/>
                <w:szCs w:val="1"/>
                <w:color w:val="auto"/>
              </w:rPr>
            </w:pPr>
          </w:p>
        </w:tc>
      </w:tr>
      <w:tr>
        <w:trPr>
          <w:trHeight w:val="94"/>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2952A4"/>
                <w:w w:val="83"/>
              </w:rPr>
              <w:t>77</w:t>
            </w:r>
          </w:p>
        </w:tc>
        <w:tc>
          <w:tcPr>
            <w:tcW w:w="3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8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02" w:hanging="602"/>
        <w:spacing w:after="0" w:line="182" w:lineRule="auto"/>
        <w:tabs>
          <w:tab w:leader="none" w:pos="602" w:val="left"/>
        </w:tabs>
        <w:numPr>
          <w:ilvl w:val="0"/>
          <w:numId w:val="11"/>
        </w:numPr>
        <w:rPr>
          <w:rFonts w:ascii="Arial" w:cs="Arial" w:eastAsia="Arial" w:hAnsi="Arial"/>
          <w:sz w:val="20"/>
          <w:szCs w:val="20"/>
          <w:b w:val="1"/>
          <w:bCs w:val="1"/>
          <w:color w:val="auto"/>
        </w:rPr>
      </w:pPr>
      <w:hyperlink w:anchor="page110">
        <w:r>
          <w:rPr>
            <w:rFonts w:ascii="Arial" w:cs="Arial" w:eastAsia="Arial" w:hAnsi="Arial"/>
            <w:sz w:val="20"/>
            <w:szCs w:val="20"/>
            <w:b w:val="1"/>
            <w:bCs w:val="1"/>
            <w:color w:val="auto"/>
          </w:rPr>
          <w:t>PROPOSAL NO. 3</w:t>
        </w:r>
      </w:hyperlink>
    </w:p>
    <w:p>
      <w:pPr>
        <w:spacing w:after="0" w:line="1" w:lineRule="exact"/>
        <w:rPr>
          <w:sz w:val="20"/>
          <w:szCs w:val="20"/>
          <w:color w:val="auto"/>
        </w:rPr>
      </w:pPr>
    </w:p>
    <w:p>
      <w:pPr>
        <w:ind w:left="602" w:hanging="602"/>
        <w:spacing w:after="0"/>
        <w:tabs>
          <w:tab w:leader="none" w:pos="602" w:val="left"/>
        </w:tabs>
        <w:numPr>
          <w:ilvl w:val="0"/>
          <w:numId w:val="12"/>
        </w:numPr>
        <w:rPr>
          <w:rFonts w:ascii="Arial" w:cs="Arial" w:eastAsia="Arial" w:hAnsi="Arial"/>
          <w:sz w:val="29"/>
          <w:szCs w:val="29"/>
          <w:b w:val="1"/>
          <w:bCs w:val="1"/>
          <w:color w:val="C04C57"/>
        </w:rPr>
      </w:pPr>
      <w:hyperlink w:anchor="page110">
        <w:r>
          <w:rPr>
            <w:rFonts w:ascii="Arial" w:cs="Arial" w:eastAsia="Arial" w:hAnsi="Arial"/>
            <w:sz w:val="29"/>
            <w:szCs w:val="29"/>
            <w:b w:val="1"/>
            <w:bCs w:val="1"/>
            <w:color w:val="C04C57"/>
          </w:rPr>
          <w:t>SECOND AMENDMENT</w:t>
        </w:r>
      </w:hyperlink>
    </w:p>
    <w:p>
      <w:pPr>
        <w:spacing w:after="0" w:line="4" w:lineRule="exact"/>
        <w:rPr>
          <w:rFonts w:ascii="Arial" w:cs="Arial" w:eastAsia="Arial" w:hAnsi="Arial"/>
          <w:sz w:val="29"/>
          <w:szCs w:val="29"/>
          <w:b w:val="1"/>
          <w:bCs w:val="1"/>
          <w:color w:val="C04C57"/>
        </w:rPr>
      </w:pPr>
    </w:p>
    <w:p>
      <w:pPr>
        <w:ind w:left="602" w:hanging="602"/>
        <w:spacing w:after="0" w:line="204" w:lineRule="auto"/>
        <w:tabs>
          <w:tab w:leader="none" w:pos="602" w:val="left"/>
        </w:tabs>
        <w:numPr>
          <w:ilvl w:val="0"/>
          <w:numId w:val="12"/>
        </w:numPr>
        <w:rPr>
          <w:rFonts w:ascii="Arial" w:cs="Arial" w:eastAsia="Arial" w:hAnsi="Arial"/>
          <w:sz w:val="29"/>
          <w:szCs w:val="29"/>
          <w:b w:val="1"/>
          <w:bCs w:val="1"/>
          <w:color w:val="C04C57"/>
        </w:rPr>
      </w:pPr>
      <w:hyperlink w:anchor="page110">
        <w:r>
          <w:rPr>
            <w:rFonts w:ascii="Arial" w:cs="Arial" w:eastAsia="Arial" w:hAnsi="Arial"/>
            <w:sz w:val="29"/>
            <w:szCs w:val="29"/>
            <w:b w:val="1"/>
            <w:bCs w:val="1"/>
            <w:color w:val="C04C57"/>
          </w:rPr>
          <w:t>AND RESTATEMENT OF</w:t>
        </w:r>
      </w:hyperlink>
    </w:p>
    <w:p>
      <w:pPr>
        <w:spacing w:after="0" w:line="1" w:lineRule="exact"/>
        <w:rPr>
          <w:rFonts w:ascii="Arial" w:cs="Arial" w:eastAsia="Arial" w:hAnsi="Arial"/>
          <w:sz w:val="15"/>
          <w:szCs w:val="15"/>
          <w:color w:val="231F20"/>
        </w:rPr>
      </w:pPr>
    </w:p>
    <w:tbl>
      <w:tblPr>
        <w:tblLayout w:type="fixed"/>
        <w:tblInd w:w="2" w:type="dxa"/>
        <w:tblCellMar>
          <w:top w:w="0" w:type="dxa"/>
          <w:left w:w="0" w:type="dxa"/>
          <w:bottom w:w="0" w:type="dxa"/>
          <w:right w:w="0" w:type="dxa"/>
        </w:tblCellMar>
      </w:tblPr>
      <w:tr>
        <w:trPr>
          <w:trHeight w:val="184"/>
        </w:trPr>
        <w:tc>
          <w:tcPr>
            <w:tcW w:w="600" w:type="dxa"/>
            <w:vAlign w:val="bottom"/>
          </w:tcPr>
          <w:p>
            <w:pPr>
              <w:jc w:val="right"/>
              <w:ind w:right="364"/>
              <w:spacing w:after="0"/>
              <w:rPr>
                <w:sz w:val="20"/>
                <w:szCs w:val="20"/>
                <w:color w:val="auto"/>
              </w:rPr>
            </w:pPr>
            <w:r>
              <w:rPr>
                <w:rFonts w:ascii="Arial" w:cs="Arial" w:eastAsia="Arial" w:hAnsi="Arial"/>
                <w:sz w:val="15"/>
                <w:szCs w:val="15"/>
                <w:color w:val="231F20"/>
                <w:w w:val="83"/>
              </w:rPr>
              <w:t>81</w:t>
            </w:r>
          </w:p>
        </w:tc>
        <w:tc>
          <w:tcPr>
            <w:tcW w:w="3580" w:type="dxa"/>
            <w:vAlign w:val="bottom"/>
            <w:vMerge w:val="restart"/>
          </w:tcPr>
          <w:p>
            <w:pPr>
              <w:spacing w:after="0"/>
              <w:rPr>
                <w:rFonts w:ascii="Arial" w:cs="Arial" w:eastAsia="Arial" w:hAnsi="Arial"/>
                <w:sz w:val="29"/>
                <w:szCs w:val="29"/>
                <w:b w:val="1"/>
                <w:bCs w:val="1"/>
                <w:color w:val="C04C57"/>
              </w:rPr>
            </w:pPr>
            <w:hyperlink w:anchor="page110">
              <w:r>
                <w:rPr>
                  <w:rFonts w:ascii="Arial" w:cs="Arial" w:eastAsia="Arial" w:hAnsi="Arial"/>
                  <w:sz w:val="29"/>
                  <w:szCs w:val="29"/>
                  <w:b w:val="1"/>
                  <w:bCs w:val="1"/>
                  <w:color w:val="C04C57"/>
                </w:rPr>
                <w:t>LONG-TERM INCENTIVE</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tcPr>
          <w:p>
            <w:pPr>
              <w:jc w:val="right"/>
              <w:ind w:right="364"/>
              <w:spacing w:after="0"/>
              <w:rPr>
                <w:sz w:val="20"/>
                <w:szCs w:val="20"/>
                <w:color w:val="auto"/>
              </w:rPr>
            </w:pPr>
            <w:r>
              <w:rPr>
                <w:rFonts w:ascii="Arial" w:cs="Arial" w:eastAsia="Arial" w:hAnsi="Arial"/>
                <w:sz w:val="15"/>
                <w:szCs w:val="15"/>
                <w:color w:val="231F20"/>
                <w:w w:val="83"/>
              </w:rPr>
              <w:t>81</w:t>
            </w:r>
          </w:p>
        </w:tc>
        <w:tc>
          <w:tcPr>
            <w:tcW w:w="3580" w:type="dxa"/>
            <w:vAlign w:val="bottom"/>
            <w:vMerge w:val="continue"/>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9"/>
                <w:szCs w:val="29"/>
                <w:b w:val="1"/>
                <w:bCs w:val="1"/>
                <w:color w:val="C04C57"/>
              </w:rPr>
              <w:t>98</w:t>
            </w:r>
          </w:p>
        </w:tc>
        <w:tc>
          <w:tcPr>
            <w:tcW w:w="0" w:type="dxa"/>
            <w:vAlign w:val="bottom"/>
          </w:tcPr>
          <w:p>
            <w:pPr>
              <w:spacing w:after="0"/>
              <w:rPr>
                <w:sz w:val="1"/>
                <w:szCs w:val="1"/>
                <w:color w:val="auto"/>
              </w:rPr>
            </w:pPr>
          </w:p>
        </w:tc>
      </w:tr>
      <w:tr>
        <w:trPr>
          <w:trHeight w:val="342"/>
        </w:trPr>
        <w:tc>
          <w:tcPr>
            <w:tcW w:w="600" w:type="dxa"/>
            <w:vAlign w:val="bottom"/>
          </w:tcPr>
          <w:p>
            <w:pPr>
              <w:jc w:val="right"/>
              <w:ind w:right="364"/>
              <w:spacing w:after="0"/>
              <w:rPr>
                <w:sz w:val="20"/>
                <w:szCs w:val="20"/>
                <w:color w:val="auto"/>
              </w:rPr>
            </w:pPr>
            <w:r>
              <w:rPr>
                <w:rFonts w:ascii="Arial" w:cs="Arial" w:eastAsia="Arial" w:hAnsi="Arial"/>
                <w:sz w:val="15"/>
                <w:szCs w:val="15"/>
                <w:color w:val="231F20"/>
                <w:w w:val="83"/>
              </w:rPr>
              <w:t>83</w:t>
            </w:r>
          </w:p>
        </w:tc>
        <w:tc>
          <w:tcPr>
            <w:tcW w:w="3580" w:type="dxa"/>
            <w:vAlign w:val="bottom"/>
            <w:tcBorders>
              <w:bottom w:val="single" w:sz="8" w:color="2952A4"/>
            </w:tcBorders>
          </w:tcPr>
          <w:p>
            <w:pPr>
              <w:spacing w:after="0"/>
              <w:rPr>
                <w:rFonts w:ascii="Arial" w:cs="Arial" w:eastAsia="Arial" w:hAnsi="Arial"/>
                <w:sz w:val="29"/>
                <w:szCs w:val="29"/>
                <w:b w:val="1"/>
                <w:bCs w:val="1"/>
                <w:color w:val="C04C57"/>
              </w:rPr>
            </w:pPr>
            <w:hyperlink w:anchor="page110">
              <w:r>
                <w:rPr>
                  <w:rFonts w:ascii="Arial" w:cs="Arial" w:eastAsia="Arial" w:hAnsi="Arial"/>
                  <w:sz w:val="29"/>
                  <w:szCs w:val="29"/>
                  <w:b w:val="1"/>
                  <w:bCs w:val="1"/>
                  <w:color w:val="C04C57"/>
                </w:rPr>
                <w:t>PLAN</w:t>
              </w:r>
            </w:hyperlink>
          </w:p>
        </w:tc>
        <w:tc>
          <w:tcPr>
            <w:tcW w:w="520" w:type="dxa"/>
            <w:vAlign w:val="bottom"/>
            <w:tcBorders>
              <w:bottom w:val="single" w:sz="8" w:color="2952A4"/>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0" w:type="dxa"/>
            <w:vAlign w:val="bottom"/>
          </w:tcPr>
          <w:p>
            <w:pPr>
              <w:jc w:val="right"/>
              <w:ind w:right="364"/>
              <w:spacing w:after="0"/>
              <w:rPr>
                <w:sz w:val="20"/>
                <w:szCs w:val="20"/>
                <w:color w:val="auto"/>
              </w:rPr>
            </w:pPr>
            <w:r>
              <w:rPr>
                <w:rFonts w:ascii="Arial" w:cs="Arial" w:eastAsia="Arial" w:hAnsi="Arial"/>
                <w:sz w:val="15"/>
                <w:szCs w:val="15"/>
                <w:color w:val="231F20"/>
                <w:w w:val="83"/>
              </w:rPr>
              <w:t>83</w:t>
            </w:r>
          </w:p>
        </w:tc>
        <w:tc>
          <w:tcPr>
            <w:tcW w:w="3580" w:type="dxa"/>
            <w:vAlign w:val="bottom"/>
            <w:vMerge w:val="restart"/>
          </w:tcPr>
          <w:p>
            <w:pPr>
              <w:spacing w:after="0"/>
              <w:rPr>
                <w:rFonts w:ascii="Arial" w:cs="Arial" w:eastAsia="Arial" w:hAnsi="Arial"/>
                <w:sz w:val="22"/>
                <w:szCs w:val="22"/>
                <w:b w:val="1"/>
                <w:bCs w:val="1"/>
                <w:color w:val="auto"/>
              </w:rPr>
            </w:pPr>
            <w:hyperlink w:anchor="page119">
              <w:r>
                <w:rPr>
                  <w:rFonts w:ascii="Arial" w:cs="Arial" w:eastAsia="Arial" w:hAnsi="Arial"/>
                  <w:sz w:val="22"/>
                  <w:szCs w:val="22"/>
                  <w:b w:val="1"/>
                  <w:bCs w:val="1"/>
                  <w:color w:val="auto"/>
                </w:rPr>
                <w:t>PROPOSAL NO. 4</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 w:type="dxa"/>
            <w:vAlign w:val="bottom"/>
          </w:tcPr>
          <w:p>
            <w:pPr>
              <w:jc w:val="right"/>
              <w:ind w:right="364"/>
              <w:spacing w:after="0"/>
              <w:rPr>
                <w:sz w:val="20"/>
                <w:szCs w:val="20"/>
                <w:color w:val="auto"/>
              </w:rPr>
            </w:pPr>
            <w:r>
              <w:rPr>
                <w:rFonts w:ascii="Arial" w:cs="Arial" w:eastAsia="Arial" w:hAnsi="Arial"/>
                <w:sz w:val="15"/>
                <w:szCs w:val="15"/>
                <w:b w:val="1"/>
                <w:bCs w:val="1"/>
                <w:color w:val="231F20"/>
                <w:w w:val="83"/>
              </w:rPr>
              <w:t>85</w:t>
            </w:r>
          </w:p>
        </w:tc>
        <w:tc>
          <w:tcPr>
            <w:tcW w:w="35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60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231F20"/>
                <w:w w:val="83"/>
              </w:rPr>
              <w:t>85</w:t>
            </w:r>
          </w:p>
        </w:tc>
        <w:tc>
          <w:tcPr>
            <w:tcW w:w="3580" w:type="dxa"/>
            <w:vAlign w:val="bottom"/>
          </w:tcPr>
          <w:p>
            <w:pPr>
              <w:spacing w:after="0" w:line="301" w:lineRule="exact"/>
              <w:rPr>
                <w:rFonts w:ascii="Arial" w:cs="Arial" w:eastAsia="Arial" w:hAnsi="Arial"/>
                <w:sz w:val="29"/>
                <w:szCs w:val="29"/>
                <w:b w:val="1"/>
                <w:bCs w:val="1"/>
                <w:color w:val="C04C57"/>
              </w:rPr>
            </w:pPr>
            <w:hyperlink w:anchor="page119">
              <w:r>
                <w:rPr>
                  <w:rFonts w:ascii="Arial" w:cs="Arial" w:eastAsia="Arial" w:hAnsi="Arial"/>
                  <w:sz w:val="29"/>
                  <w:szCs w:val="29"/>
                  <w:b w:val="1"/>
                  <w:bCs w:val="1"/>
                  <w:color w:val="C04C57"/>
                </w:rPr>
                <w:t>ADVISORY VOTE 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0" w:type="dxa"/>
            <w:vAlign w:val="bottom"/>
            <w:vMerge w:val="continue"/>
          </w:tcPr>
          <w:p>
            <w:pPr>
              <w:spacing w:after="0"/>
              <w:rPr>
                <w:sz w:val="15"/>
                <w:szCs w:val="15"/>
                <w:color w:val="auto"/>
              </w:rPr>
            </w:pPr>
          </w:p>
        </w:tc>
        <w:tc>
          <w:tcPr>
            <w:tcW w:w="3580" w:type="dxa"/>
            <w:vAlign w:val="bottom"/>
            <w:vMerge w:val="restart"/>
          </w:tcPr>
          <w:p>
            <w:pPr>
              <w:spacing w:after="0"/>
              <w:rPr>
                <w:rFonts w:ascii="Arial" w:cs="Arial" w:eastAsia="Arial" w:hAnsi="Arial"/>
                <w:sz w:val="29"/>
                <w:szCs w:val="29"/>
                <w:b w:val="1"/>
                <w:bCs w:val="1"/>
                <w:color w:val="C04C57"/>
              </w:rPr>
            </w:pPr>
            <w:hyperlink w:anchor="page119">
              <w:r>
                <w:rPr>
                  <w:rFonts w:ascii="Arial" w:cs="Arial" w:eastAsia="Arial" w:hAnsi="Arial"/>
                  <w:sz w:val="29"/>
                  <w:szCs w:val="29"/>
                  <w:b w:val="1"/>
                  <w:bCs w:val="1"/>
                  <w:color w:val="C04C57"/>
                </w:rPr>
                <w:t>COMPENSATION OF</w:t>
              </w:r>
            </w:hyperlink>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0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231F20"/>
                <w:w w:val="83"/>
              </w:rPr>
              <w:t>86</w:t>
            </w:r>
          </w:p>
        </w:tc>
        <w:tc>
          <w:tcPr>
            <w:tcW w:w="35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600" w:type="dxa"/>
            <w:vAlign w:val="bottom"/>
            <w:vMerge w:val="continue"/>
          </w:tcPr>
          <w:p>
            <w:pPr>
              <w:spacing w:after="0"/>
              <w:rPr>
                <w:sz w:val="8"/>
                <w:szCs w:val="8"/>
                <w:color w:val="auto"/>
              </w:rPr>
            </w:pPr>
          </w:p>
        </w:tc>
        <w:tc>
          <w:tcPr>
            <w:tcW w:w="3580" w:type="dxa"/>
            <w:vAlign w:val="bottom"/>
            <w:vMerge w:val="restart"/>
          </w:tcPr>
          <w:p>
            <w:pPr>
              <w:spacing w:after="0"/>
              <w:rPr>
                <w:rFonts w:ascii="Arial" w:cs="Arial" w:eastAsia="Arial" w:hAnsi="Arial"/>
                <w:sz w:val="29"/>
                <w:szCs w:val="29"/>
                <w:b w:val="1"/>
                <w:bCs w:val="1"/>
                <w:color w:val="C04C57"/>
              </w:rPr>
            </w:pPr>
            <w:hyperlink w:anchor="page119">
              <w:r>
                <w:rPr>
                  <w:rFonts w:ascii="Arial" w:cs="Arial" w:eastAsia="Arial" w:hAnsi="Arial"/>
                  <w:sz w:val="29"/>
                  <w:szCs w:val="29"/>
                  <w:b w:val="1"/>
                  <w:bCs w:val="1"/>
                  <w:color w:val="C04C57"/>
                </w:rPr>
                <w:t>NAMED EXECUTIVE</w:t>
              </w:r>
            </w:hyperlink>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600" w:type="dxa"/>
            <w:vAlign w:val="bottom"/>
          </w:tcPr>
          <w:p>
            <w:pPr>
              <w:jc w:val="right"/>
              <w:ind w:right="364"/>
              <w:spacing w:after="0"/>
              <w:rPr>
                <w:sz w:val="20"/>
                <w:szCs w:val="20"/>
                <w:color w:val="auto"/>
              </w:rPr>
            </w:pPr>
            <w:r>
              <w:rPr>
                <w:rFonts w:ascii="Arial" w:cs="Arial" w:eastAsia="Arial" w:hAnsi="Arial"/>
                <w:sz w:val="15"/>
                <w:szCs w:val="15"/>
                <w:b w:val="1"/>
                <w:bCs w:val="1"/>
                <w:color w:val="2952A4"/>
                <w:w w:val="83"/>
              </w:rPr>
              <w:t>86</w:t>
            </w:r>
          </w:p>
        </w:tc>
        <w:tc>
          <w:tcPr>
            <w:tcW w:w="358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02" w:hanging="602"/>
        <w:spacing w:after="0" w:line="223" w:lineRule="auto"/>
        <w:tabs>
          <w:tab w:leader="none" w:pos="602" w:val="left"/>
        </w:tabs>
        <w:numPr>
          <w:ilvl w:val="0"/>
          <w:numId w:val="13"/>
        </w:numPr>
        <w:rPr>
          <w:rFonts w:ascii="Arial" w:cs="Arial" w:eastAsia="Arial" w:hAnsi="Arial"/>
          <w:sz w:val="29"/>
          <w:szCs w:val="29"/>
          <w:b w:val="1"/>
          <w:bCs w:val="1"/>
          <w:color w:val="C04C57"/>
        </w:rPr>
      </w:pPr>
      <w:hyperlink w:anchor="page119">
        <w:r>
          <w:rPr>
            <w:rFonts w:ascii="Arial" w:cs="Arial" w:eastAsia="Arial" w:hAnsi="Arial"/>
            <w:sz w:val="29"/>
            <w:szCs w:val="29"/>
            <w:b w:val="1"/>
            <w:bCs w:val="1"/>
            <w:color w:val="C04C57"/>
          </w:rPr>
          <w:t xml:space="preserve">OFFICERS (SAY ON PAY) </w:t>
        </w:r>
      </w:hyperlink>
      <w:r>
        <w:rPr>
          <w:rFonts w:ascii="Arial" w:cs="Arial" w:eastAsia="Arial" w:hAnsi="Arial"/>
          <w:sz w:val="29"/>
          <w:szCs w:val="29"/>
          <w:b w:val="1"/>
          <w:bCs w:val="1"/>
          <w:color w:val="C04C57"/>
        </w:rPr>
        <w:t>107</w:t>
      </w:r>
    </w:p>
    <w:p>
      <w:pPr>
        <w:spacing w:after="0" w:line="1" w:lineRule="exact"/>
        <w:rPr>
          <w:sz w:val="20"/>
          <w:szCs w:val="20"/>
          <w:color w:val="auto"/>
        </w:rPr>
      </w:pPr>
    </w:p>
    <w:p>
      <w:pPr>
        <w:ind w:left="2"/>
        <w:spacing w:after="0"/>
        <w:rPr>
          <w:sz w:val="20"/>
          <w:szCs w:val="20"/>
          <w:color w:val="auto"/>
        </w:rPr>
      </w:pPr>
      <w:r>
        <w:rPr>
          <w:rFonts w:ascii="Arial" w:cs="Arial" w:eastAsia="Arial" w:hAnsi="Arial"/>
          <w:sz w:val="15"/>
          <w:szCs w:val="15"/>
          <w:color w:val="231F2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-89535</wp:posOffset>
            </wp:positionV>
            <wp:extent cx="2606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40" w:space="198"/>
            <w:col w:w="6002"/>
          </w:cols>
          <w:pgMar w:left="320" w:top="673" w:right="339" w:bottom="1440" w:gutter="0" w:footer="0" w:header="0"/>
          <w:type w:val="continuous"/>
        </w:sectPr>
      </w:pPr>
    </w:p>
    <w:tbl>
      <w:tblPr>
        <w:tblLayout w:type="fixed"/>
        <w:tblInd w:w="1620" w:type="dxa"/>
        <w:tblCellMar>
          <w:top w:w="0" w:type="dxa"/>
          <w:left w:w="0" w:type="dxa"/>
          <w:bottom w:w="0" w:type="dxa"/>
          <w:right w:w="0" w:type="dxa"/>
        </w:tblCellMar>
      </w:tblPr>
      <w:tr>
        <w:trPr>
          <w:trHeight w:val="222"/>
        </w:trPr>
        <w:tc>
          <w:tcPr>
            <w:tcW w:w="4220" w:type="dxa"/>
            <w:vAlign w:val="bottom"/>
            <w:vMerge w:val="restart"/>
          </w:tcPr>
          <w:p>
            <w:pPr>
              <w:spacing w:after="0"/>
              <w:rPr>
                <w:rFonts w:ascii="Arial" w:cs="Arial" w:eastAsia="Arial" w:hAnsi="Arial"/>
                <w:sz w:val="15"/>
                <w:szCs w:val="15"/>
                <w:color w:val="auto"/>
              </w:rPr>
            </w:pPr>
            <w:hyperlink w:anchor="page100">
              <w:r>
                <w:rPr>
                  <w:rFonts w:ascii="Arial" w:cs="Arial" w:eastAsia="Arial" w:hAnsi="Arial"/>
                  <w:sz w:val="15"/>
                  <w:szCs w:val="15"/>
                  <w:color w:val="auto"/>
                </w:rPr>
                <w:t xml:space="preserve">Outstanding Equity Awards at 2019 Fiscal Year-End </w:t>
              </w:r>
            </w:hyperlink>
            <w:r>
              <w:rPr>
                <w:rFonts w:ascii="Arial" w:cs="Arial" w:eastAsia="Arial" w:hAnsi="Arial"/>
                <w:sz w:val="15"/>
                <w:szCs w:val="15"/>
                <w:color w:val="231F20"/>
              </w:rPr>
              <w:t>88</w:t>
            </w:r>
          </w:p>
        </w:tc>
        <w:tc>
          <w:tcPr>
            <w:tcW w:w="3540" w:type="dxa"/>
            <w:vAlign w:val="bottom"/>
          </w:tcPr>
          <w:p>
            <w:pPr>
              <w:spacing w:after="0" w:line="222" w:lineRule="exact"/>
              <w:rPr>
                <w:rFonts w:ascii="Arial" w:cs="Arial" w:eastAsia="Arial" w:hAnsi="Arial"/>
                <w:sz w:val="25"/>
                <w:szCs w:val="25"/>
                <w:b w:val="1"/>
                <w:bCs w:val="1"/>
                <w:color w:val="C04C57"/>
              </w:rPr>
            </w:pPr>
            <w:hyperlink w:anchor="page121">
              <w:r>
                <w:rPr>
                  <w:rFonts w:ascii="Arial" w:cs="Arial" w:eastAsia="Arial" w:hAnsi="Arial"/>
                  <w:sz w:val="25"/>
                  <w:szCs w:val="25"/>
                  <w:b w:val="1"/>
                  <w:bCs w:val="1"/>
                  <w:color w:val="C04C57"/>
                </w:rPr>
                <w:t>OTHER MATTERS</w:t>
              </w:r>
            </w:hyperlink>
          </w:p>
        </w:tc>
        <w:tc>
          <w:tcPr>
            <w:tcW w:w="560" w:type="dxa"/>
            <w:vAlign w:val="bottom"/>
          </w:tcPr>
          <w:p>
            <w:pPr>
              <w:jc w:val="right"/>
              <w:spacing w:after="0" w:line="222" w:lineRule="exact"/>
              <w:rPr>
                <w:sz w:val="20"/>
                <w:szCs w:val="20"/>
                <w:color w:val="auto"/>
              </w:rPr>
            </w:pPr>
            <w:r>
              <w:rPr>
                <w:rFonts w:ascii="Arial" w:cs="Arial" w:eastAsia="Arial" w:hAnsi="Arial"/>
                <w:sz w:val="25"/>
                <w:szCs w:val="25"/>
                <w:b w:val="1"/>
                <w:bCs w:val="1"/>
                <w:color w:val="C04C57"/>
              </w:rPr>
              <w:t>109</w:t>
            </w:r>
          </w:p>
        </w:tc>
        <w:tc>
          <w:tcPr>
            <w:tcW w:w="0" w:type="dxa"/>
            <w:vAlign w:val="bottom"/>
          </w:tcPr>
          <w:p>
            <w:pPr>
              <w:spacing w:after="0"/>
              <w:rPr>
                <w:sz w:val="1"/>
                <w:szCs w:val="1"/>
                <w:color w:val="auto"/>
              </w:rPr>
            </w:pPr>
          </w:p>
        </w:tc>
      </w:tr>
      <w:tr>
        <w:trPr>
          <w:trHeight w:val="46"/>
        </w:trPr>
        <w:tc>
          <w:tcPr>
            <w:tcW w:w="422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3540" w:type="dxa"/>
            <w:vAlign w:val="bottom"/>
            <w:tcBorders>
              <w:bottom w:val="single" w:sz="8" w:color="2952A4"/>
            </w:tcBorders>
          </w:tcPr>
          <w:p>
            <w:pPr>
              <w:spacing w:after="0"/>
              <w:rPr>
                <w:sz w:val="8"/>
                <w:szCs w:val="8"/>
                <w:color w:val="auto"/>
              </w:rPr>
            </w:pPr>
          </w:p>
        </w:tc>
        <w:tc>
          <w:tcPr>
            <w:tcW w:w="560" w:type="dxa"/>
            <w:vAlign w:val="bottom"/>
            <w:tcBorders>
              <w:bottom w:val="single" w:sz="8" w:color="2952A4"/>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3540" w:type="dxa"/>
            <w:vAlign w:val="bottom"/>
          </w:tcPr>
          <w:p>
            <w:pPr>
              <w:spacing w:after="0"/>
              <w:rPr>
                <w:rFonts w:ascii="Arial" w:cs="Arial" w:eastAsia="Arial" w:hAnsi="Arial"/>
                <w:sz w:val="15"/>
                <w:szCs w:val="15"/>
                <w:b w:val="1"/>
                <w:bCs w:val="1"/>
                <w:color w:val="auto"/>
              </w:rPr>
            </w:pPr>
            <w:hyperlink w:anchor="page123">
              <w:r>
                <w:rPr>
                  <w:rFonts w:ascii="Arial" w:cs="Arial" w:eastAsia="Arial" w:hAnsi="Arial"/>
                  <w:sz w:val="15"/>
                  <w:szCs w:val="15"/>
                  <w:b w:val="1"/>
                  <w:bCs w:val="1"/>
                  <w:color w:val="auto"/>
                </w:rPr>
                <w:t>Appendix A – Note Regarding Forward-Looking</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rPr>
                <w:sz w:val="17"/>
                <w:szCs w:val="17"/>
                <w:color w:val="auto"/>
              </w:rPr>
            </w:pPr>
          </w:p>
        </w:tc>
        <w:tc>
          <w:tcPr>
            <w:tcW w:w="3540" w:type="dxa"/>
            <w:vAlign w:val="bottom"/>
          </w:tcPr>
          <w:p>
            <w:pPr>
              <w:spacing w:after="0"/>
              <w:rPr>
                <w:rFonts w:ascii="Arial" w:cs="Arial" w:eastAsia="Arial" w:hAnsi="Arial"/>
                <w:sz w:val="15"/>
                <w:szCs w:val="15"/>
                <w:b w:val="1"/>
                <w:bCs w:val="1"/>
                <w:color w:val="auto"/>
              </w:rPr>
            </w:pPr>
            <w:hyperlink w:anchor="page123">
              <w:r>
                <w:rPr>
                  <w:rFonts w:ascii="Arial" w:cs="Arial" w:eastAsia="Arial" w:hAnsi="Arial"/>
                  <w:sz w:val="15"/>
                  <w:szCs w:val="15"/>
                  <w:b w:val="1"/>
                  <w:bCs w:val="1"/>
                  <w:color w:val="auto"/>
                </w:rPr>
                <w:t>Statements and Non-GAAP Financial Measures</w:t>
              </w:r>
            </w:hyperlink>
          </w:p>
        </w:tc>
        <w:tc>
          <w:tcPr>
            <w:tcW w:w="560" w:type="dxa"/>
            <w:vAlign w:val="bottom"/>
          </w:tcPr>
          <w:p>
            <w:pPr>
              <w:jc w:val="right"/>
              <w:spacing w:after="0"/>
              <w:rPr>
                <w:sz w:val="20"/>
                <w:szCs w:val="20"/>
                <w:color w:val="auto"/>
              </w:rPr>
            </w:pPr>
            <w:r>
              <w:rPr>
                <w:rFonts w:ascii="Arial" w:cs="Arial" w:eastAsia="Arial" w:hAnsi="Arial"/>
                <w:sz w:val="15"/>
                <w:szCs w:val="15"/>
                <w:b w:val="1"/>
                <w:bCs w:val="1"/>
                <w:color w:val="231F20"/>
              </w:rPr>
              <w:t>111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3540" w:type="dxa"/>
            <w:vAlign w:val="bottom"/>
          </w:tcPr>
          <w:p>
            <w:pPr>
              <w:spacing w:after="0"/>
              <w:rPr>
                <w:rFonts w:ascii="Arial" w:cs="Arial" w:eastAsia="Arial" w:hAnsi="Arial"/>
                <w:sz w:val="15"/>
                <w:szCs w:val="15"/>
                <w:b w:val="1"/>
                <w:bCs w:val="1"/>
                <w:color w:val="auto"/>
              </w:rPr>
            </w:pPr>
            <w:hyperlink w:anchor="page125">
              <w:r>
                <w:rPr>
                  <w:rFonts w:ascii="Arial" w:cs="Arial" w:eastAsia="Arial" w:hAnsi="Arial"/>
                  <w:sz w:val="15"/>
                  <w:szCs w:val="15"/>
                  <w:b w:val="1"/>
                  <w:bCs w:val="1"/>
                  <w:color w:val="auto"/>
                </w:rPr>
                <w:t>Appendix B – Second Amended and Restated</w:t>
              </w:r>
            </w:hyperlink>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540" w:type="dxa"/>
            <w:vAlign w:val="bottom"/>
          </w:tcPr>
          <w:p>
            <w:pPr>
              <w:spacing w:after="0" w:line="162" w:lineRule="exact"/>
              <w:rPr>
                <w:rFonts w:ascii="Arial" w:cs="Arial" w:eastAsia="Arial" w:hAnsi="Arial"/>
                <w:sz w:val="15"/>
                <w:szCs w:val="15"/>
                <w:b w:val="1"/>
                <w:bCs w:val="1"/>
                <w:color w:val="auto"/>
              </w:rPr>
            </w:pPr>
            <w:hyperlink w:anchor="page125">
              <w:r>
                <w:rPr>
                  <w:rFonts w:ascii="Arial" w:cs="Arial" w:eastAsia="Arial" w:hAnsi="Arial"/>
                  <w:sz w:val="15"/>
                  <w:szCs w:val="15"/>
                  <w:b w:val="1"/>
                  <w:bCs w:val="1"/>
                  <w:color w:val="auto"/>
                </w:rPr>
                <w:t>Regeneron Pharmaceuticals, Inc. 2014 Long-</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rPr>
                <w:sz w:val="17"/>
                <w:szCs w:val="17"/>
                <w:color w:val="auto"/>
              </w:rPr>
            </w:pPr>
          </w:p>
        </w:tc>
        <w:tc>
          <w:tcPr>
            <w:tcW w:w="3540" w:type="dxa"/>
            <w:vAlign w:val="bottom"/>
          </w:tcPr>
          <w:p>
            <w:pPr>
              <w:spacing w:after="0"/>
              <w:rPr>
                <w:rFonts w:ascii="Arial" w:cs="Arial" w:eastAsia="Arial" w:hAnsi="Arial"/>
                <w:sz w:val="15"/>
                <w:szCs w:val="15"/>
                <w:b w:val="1"/>
                <w:bCs w:val="1"/>
                <w:color w:val="auto"/>
              </w:rPr>
            </w:pPr>
            <w:hyperlink w:anchor="page125">
              <w:r>
                <w:rPr>
                  <w:rFonts w:ascii="Arial" w:cs="Arial" w:eastAsia="Arial" w:hAnsi="Arial"/>
                  <w:sz w:val="15"/>
                  <w:szCs w:val="15"/>
                  <w:b w:val="1"/>
                  <w:bCs w:val="1"/>
                  <w:color w:val="auto"/>
                </w:rPr>
                <w:t>Term Incentive Plan</w:t>
              </w:r>
            </w:hyperlink>
          </w:p>
        </w:tc>
        <w:tc>
          <w:tcPr>
            <w:tcW w:w="560" w:type="dxa"/>
            <w:vAlign w:val="bottom"/>
          </w:tcPr>
          <w:p>
            <w:pPr>
              <w:jc w:val="right"/>
              <w:spacing w:after="0"/>
              <w:rPr>
                <w:sz w:val="20"/>
                <w:szCs w:val="20"/>
                <w:color w:val="auto"/>
              </w:rPr>
            </w:pPr>
            <w:r>
              <w:rPr>
                <w:rFonts w:ascii="Arial" w:cs="Arial" w:eastAsia="Arial" w:hAnsi="Arial"/>
                <w:sz w:val="15"/>
                <w:szCs w:val="15"/>
                <w:b w:val="1"/>
                <w:bCs w:val="1"/>
                <w:color w:val="231F20"/>
              </w:rPr>
              <w:t>113</w:t>
            </w:r>
          </w:p>
        </w:tc>
        <w:tc>
          <w:tcPr>
            <w:tcW w:w="0" w:type="dxa"/>
            <w:vAlign w:val="bottom"/>
          </w:tcPr>
          <w:p>
            <w:pPr>
              <w:spacing w:after="0"/>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5"/>
                <w:szCs w:val="15"/>
                <w:color w:val="auto"/>
              </w:rPr>
            </w:pPr>
          </w:p>
        </w:tc>
        <w:tc>
          <w:tcPr>
            <w:tcW w:w="9980" w:type="dxa"/>
            <w:vAlign w:val="bottom"/>
          </w:tcPr>
          <w:p>
            <w:pPr>
              <w:jc w:val="center"/>
              <w:ind w:right="1167"/>
              <w:spacing w:after="0"/>
              <w:rPr>
                <w:sz w:val="20"/>
                <w:szCs w:val="20"/>
                <w:color w:val="auto"/>
              </w:rPr>
            </w:pPr>
            <w:r>
              <w:rPr>
                <w:rFonts w:ascii="Arial" w:cs="Arial" w:eastAsia="Arial" w:hAnsi="Arial"/>
                <w:sz w:val="15"/>
                <w:szCs w:val="15"/>
                <w:b w:val="1"/>
                <w:bCs w:val="1"/>
                <w:color w:val="231F20"/>
              </w:rPr>
              <w:t>NOTE REGARDING FORWARD-LOOKING STATEMENTS AND NON-GAAP FINANCIAL MEASURES: See Appendix A for</w:t>
            </w:r>
          </w:p>
        </w:tc>
      </w:tr>
      <w:tr>
        <w:trPr>
          <w:trHeight w:val="162"/>
        </w:trPr>
        <w:tc>
          <w:tcPr>
            <w:tcW w:w="1260" w:type="dxa"/>
            <w:vAlign w:val="bottom"/>
          </w:tcPr>
          <w:p>
            <w:pPr>
              <w:spacing w:after="0"/>
              <w:rPr>
                <w:sz w:val="14"/>
                <w:szCs w:val="14"/>
                <w:color w:val="auto"/>
              </w:rPr>
            </w:pPr>
          </w:p>
        </w:tc>
        <w:tc>
          <w:tcPr>
            <w:tcW w:w="9980" w:type="dxa"/>
            <w:vAlign w:val="bottom"/>
          </w:tcPr>
          <w:p>
            <w:pPr>
              <w:jc w:val="center"/>
              <w:ind w:right="1187"/>
              <w:spacing w:after="0" w:line="162" w:lineRule="exact"/>
              <w:rPr>
                <w:sz w:val="20"/>
                <w:szCs w:val="20"/>
                <w:color w:val="auto"/>
              </w:rPr>
            </w:pPr>
            <w:r>
              <w:rPr>
                <w:rFonts w:ascii="Arial" w:cs="Arial" w:eastAsia="Arial" w:hAnsi="Arial"/>
                <w:sz w:val="15"/>
                <w:szCs w:val="15"/>
                <w:b w:val="1"/>
                <w:bCs w:val="1"/>
                <w:color w:val="231F20"/>
              </w:rPr>
              <w:t>important information regarding forward-looking statements and financial measures not calculated in accordance with</w:t>
            </w:r>
          </w:p>
        </w:tc>
      </w:tr>
      <w:tr>
        <w:trPr>
          <w:trHeight w:val="202"/>
        </w:trPr>
        <w:tc>
          <w:tcPr>
            <w:tcW w:w="1260" w:type="dxa"/>
            <w:vAlign w:val="bottom"/>
          </w:tcPr>
          <w:p>
            <w:pPr>
              <w:spacing w:after="0"/>
              <w:rPr>
                <w:sz w:val="17"/>
                <w:szCs w:val="17"/>
                <w:color w:val="auto"/>
              </w:rPr>
            </w:pPr>
          </w:p>
        </w:tc>
        <w:tc>
          <w:tcPr>
            <w:tcW w:w="9980" w:type="dxa"/>
            <w:vAlign w:val="bottom"/>
          </w:tcPr>
          <w:p>
            <w:pPr>
              <w:jc w:val="center"/>
              <w:ind w:right="1187"/>
              <w:spacing w:after="0"/>
              <w:rPr>
                <w:sz w:val="20"/>
                <w:szCs w:val="20"/>
                <w:color w:val="auto"/>
              </w:rPr>
            </w:pPr>
            <w:r>
              <w:rPr>
                <w:rFonts w:ascii="Arial" w:cs="Arial" w:eastAsia="Arial" w:hAnsi="Arial"/>
                <w:sz w:val="15"/>
                <w:szCs w:val="15"/>
                <w:b w:val="1"/>
                <w:bCs w:val="1"/>
                <w:color w:val="231F20"/>
              </w:rPr>
              <w:t>U.S. Generally Accepted Accounting Principles contained in this proxy statement.</w:t>
            </w:r>
          </w:p>
        </w:tc>
      </w:tr>
      <w:tr>
        <w:trPr>
          <w:trHeight w:val="347"/>
        </w:trPr>
        <w:tc>
          <w:tcPr>
            <w:tcW w:w="1260" w:type="dxa"/>
            <w:vAlign w:val="bottom"/>
          </w:tcPr>
          <w:p>
            <w:pPr>
              <w:ind w:left="980"/>
              <w:spacing w:after="0"/>
              <w:rPr>
                <w:sz w:val="20"/>
                <w:szCs w:val="20"/>
                <w:color w:val="auto"/>
              </w:rPr>
            </w:pPr>
            <w:r>
              <w:rPr>
                <w:rFonts w:ascii="Arial" w:cs="Arial" w:eastAsia="Arial" w:hAnsi="Arial"/>
                <w:sz w:val="14"/>
                <w:szCs w:val="14"/>
                <w:b w:val="1"/>
                <w:bCs w:val="1"/>
                <w:color w:val="00A5EC"/>
              </w:rPr>
              <w:t xml:space="preserve">ii  </w:t>
            </w:r>
            <w:r>
              <w:rPr>
                <w:rFonts w:ascii="Arial" w:cs="Arial" w:eastAsia="Arial" w:hAnsi="Arial"/>
                <w:sz w:val="14"/>
                <w:szCs w:val="14"/>
                <w:color w:val="00A5EC"/>
              </w:rPr>
              <w:t>/</w:t>
            </w:r>
          </w:p>
        </w:tc>
        <w:tc>
          <w:tcPr>
            <w:tcW w:w="9980" w:type="dxa"/>
            <w:vAlign w:val="bottom"/>
          </w:tcPr>
          <w:p>
            <w:pPr>
              <w:ind w:left="39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r>
      <w:tr>
        <w:trPr>
          <w:trHeight w:val="262"/>
        </w:trPr>
        <w:tc>
          <w:tcPr>
            <w:tcW w:w="1260" w:type="dxa"/>
            <w:vAlign w:val="bottom"/>
            <w:tcBorders>
              <w:bottom w:val="single" w:sz="8" w:color="C0C0C0"/>
            </w:tcBorders>
          </w:tcPr>
          <w:p>
            <w:pPr>
              <w:spacing w:after="0"/>
              <w:rPr>
                <w:sz w:val="22"/>
                <w:szCs w:val="22"/>
                <w:color w:val="auto"/>
              </w:rPr>
            </w:pPr>
          </w:p>
        </w:tc>
        <w:tc>
          <w:tcPr>
            <w:tcW w:w="998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-307975</wp:posOffset>
            </wp:positionV>
            <wp:extent cx="77152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1" w:name="page12"/>
    <w:bookmarkEnd w:id="11"/>
    <w:p>
      <w:pPr>
        <w:ind w:left="1300"/>
        <w:spacing w:after="0"/>
        <w:rPr>
          <w:sz w:val="20"/>
          <w:szCs w:val="20"/>
          <w:color w:val="auto"/>
        </w:rPr>
      </w:pPr>
      <w:r>
        <w:rPr>
          <w:rFonts w:ascii="Arial" w:cs="Arial" w:eastAsia="Arial" w:hAnsi="Arial"/>
          <w:sz w:val="58"/>
          <w:szCs w:val="58"/>
          <w:b w:val="1"/>
          <w:bCs w:val="1"/>
          <w:color w:val="FFFFFF"/>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1200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t>USERS’ GUIDE</w:t>
      </w:r>
    </w:p>
    <w:p>
      <w:pPr>
        <w:spacing w:after="0" w:line="200" w:lineRule="exact"/>
        <w:rPr>
          <w:sz w:val="20"/>
          <w:szCs w:val="20"/>
          <w:color w:val="auto"/>
        </w:rPr>
      </w:pPr>
    </w:p>
    <w:p>
      <w:pPr>
        <w:spacing w:after="0" w:line="355" w:lineRule="exact"/>
        <w:rPr>
          <w:sz w:val="20"/>
          <w:szCs w:val="20"/>
          <w:color w:val="auto"/>
        </w:rPr>
      </w:pPr>
    </w:p>
    <w:p>
      <w:pPr>
        <w:ind w:left="1300"/>
        <w:spacing w:after="0"/>
        <w:rPr>
          <w:sz w:val="20"/>
          <w:szCs w:val="20"/>
          <w:color w:val="auto"/>
        </w:rPr>
      </w:pPr>
      <w:r>
        <w:rPr>
          <w:rFonts w:ascii="Arial" w:cs="Arial" w:eastAsia="Arial" w:hAnsi="Arial"/>
          <w:sz w:val="59"/>
          <w:szCs w:val="59"/>
          <w:b w:val="1"/>
          <w:bCs w:val="1"/>
          <w:color w:val="2952A4"/>
        </w:rPr>
        <w:t>PROXY DASHBOARD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04C57"/>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8" w:lineRule="exact"/>
        <w:rPr>
          <w:sz w:val="20"/>
          <w:szCs w:val="20"/>
          <w:color w:val="auto"/>
        </w:rPr>
      </w:pPr>
    </w:p>
    <w:p>
      <w:pPr>
        <w:ind w:left="1300"/>
        <w:spacing w:after="0"/>
        <w:tabs>
          <w:tab w:leader="none" w:pos="2940" w:val="left"/>
          <w:tab w:leader="none" w:pos="4580" w:val="left"/>
          <w:tab w:leader="none" w:pos="8380" w:val="left"/>
        </w:tabs>
        <w:rPr>
          <w:sz w:val="20"/>
          <w:szCs w:val="20"/>
          <w:color w:val="auto"/>
        </w:rPr>
      </w:pPr>
      <w:r>
        <w:rPr>
          <w:rFonts w:ascii="Arial" w:cs="Arial" w:eastAsia="Arial" w:hAnsi="Arial"/>
          <w:sz w:val="15"/>
          <w:szCs w:val="15"/>
          <w:b w:val="1"/>
          <w:bCs w:val="1"/>
          <w:color w:val="231F20"/>
        </w:rPr>
        <w:t>Meeting Date:</w:t>
      </w:r>
      <w:r>
        <w:rPr>
          <w:sz w:val="20"/>
          <w:szCs w:val="20"/>
          <w:color w:val="auto"/>
        </w:rPr>
        <w:tab/>
      </w:r>
      <w:r>
        <w:rPr>
          <w:rFonts w:ascii="Arial" w:cs="Arial" w:eastAsia="Arial" w:hAnsi="Arial"/>
          <w:sz w:val="15"/>
          <w:szCs w:val="15"/>
          <w:b w:val="1"/>
          <w:bCs w:val="1"/>
          <w:color w:val="231F20"/>
        </w:rPr>
        <w:t>Time:</w:t>
      </w:r>
      <w:r>
        <w:rPr>
          <w:sz w:val="20"/>
          <w:szCs w:val="20"/>
          <w:color w:val="auto"/>
        </w:rPr>
        <w:tab/>
      </w:r>
      <w:r>
        <w:rPr>
          <w:rFonts w:ascii="Arial" w:cs="Arial" w:eastAsia="Arial" w:hAnsi="Arial"/>
          <w:sz w:val="15"/>
          <w:szCs w:val="15"/>
          <w:b w:val="1"/>
          <w:bCs w:val="1"/>
          <w:color w:val="231F20"/>
        </w:rPr>
        <w:t>Location:</w:t>
      </w:r>
      <w:r>
        <w:rPr>
          <w:sz w:val="20"/>
          <w:szCs w:val="20"/>
          <w:color w:val="auto"/>
        </w:rPr>
        <w:tab/>
      </w:r>
      <w:r>
        <w:rPr>
          <w:rFonts w:ascii="Arial" w:cs="Arial" w:eastAsia="Arial" w:hAnsi="Arial"/>
          <w:sz w:val="15"/>
          <w:szCs w:val="15"/>
          <w:b w:val="1"/>
          <w:bCs w:val="1"/>
          <w:color w:val="231F20"/>
        </w:rPr>
        <w:t>Record Date:</w:t>
      </w:r>
    </w:p>
    <w:p>
      <w:pPr>
        <w:spacing w:after="0" w:line="138" w:lineRule="exact"/>
        <w:rPr>
          <w:sz w:val="20"/>
          <w:szCs w:val="20"/>
          <w:color w:val="auto"/>
        </w:rPr>
      </w:pPr>
    </w:p>
    <w:tbl>
      <w:tblPr>
        <w:tblLayout w:type="fixed"/>
        <w:tblInd w:w="1300" w:type="dxa"/>
        <w:tblCellMar>
          <w:top w:w="0" w:type="dxa"/>
          <w:left w:w="0" w:type="dxa"/>
          <w:bottom w:w="0" w:type="dxa"/>
          <w:right w:w="0" w:type="dxa"/>
        </w:tblCellMar>
      </w:tblPr>
      <w:tr>
        <w:trPr>
          <w:trHeight w:val="311"/>
        </w:trPr>
        <w:tc>
          <w:tcPr>
            <w:tcW w:w="1420" w:type="dxa"/>
            <w:vAlign w:val="bottom"/>
          </w:tcPr>
          <w:p>
            <w:pPr>
              <w:spacing w:after="0"/>
              <w:rPr>
                <w:sz w:val="20"/>
                <w:szCs w:val="20"/>
                <w:color w:val="auto"/>
              </w:rPr>
            </w:pPr>
            <w:r>
              <w:rPr>
                <w:rFonts w:ascii="Arial" w:cs="Arial" w:eastAsia="Arial" w:hAnsi="Arial"/>
                <w:sz w:val="27"/>
                <w:szCs w:val="27"/>
                <w:b w:val="1"/>
                <w:bCs w:val="1"/>
                <w:color w:val="235BA7"/>
              </w:rPr>
              <w:t>JUNE 12,</w:t>
            </w:r>
          </w:p>
        </w:tc>
        <w:tc>
          <w:tcPr>
            <w:tcW w:w="1760" w:type="dxa"/>
            <w:vAlign w:val="bottom"/>
          </w:tcPr>
          <w:p>
            <w:pPr>
              <w:ind w:left="240"/>
              <w:spacing w:after="0"/>
              <w:rPr>
                <w:sz w:val="20"/>
                <w:szCs w:val="20"/>
                <w:color w:val="auto"/>
              </w:rPr>
            </w:pPr>
            <w:r>
              <w:rPr>
                <w:rFonts w:ascii="Arial" w:cs="Arial" w:eastAsia="Arial" w:hAnsi="Arial"/>
                <w:sz w:val="27"/>
                <w:szCs w:val="27"/>
                <w:b w:val="1"/>
                <w:bCs w:val="1"/>
                <w:color w:val="235BA7"/>
              </w:rPr>
              <w:t>10:30 A.M.,</w:t>
            </w:r>
          </w:p>
        </w:tc>
        <w:tc>
          <w:tcPr>
            <w:tcW w:w="3760" w:type="dxa"/>
            <w:vAlign w:val="bottom"/>
          </w:tcPr>
          <w:p>
            <w:pPr>
              <w:ind w:left="120"/>
              <w:spacing w:after="0"/>
              <w:rPr>
                <w:sz w:val="20"/>
                <w:szCs w:val="20"/>
                <w:color w:val="auto"/>
              </w:rPr>
            </w:pPr>
            <w:r>
              <w:rPr>
                <w:rFonts w:ascii="Arial" w:cs="Arial" w:eastAsia="Arial" w:hAnsi="Arial"/>
                <w:sz w:val="27"/>
                <w:szCs w:val="27"/>
                <w:b w:val="1"/>
                <w:bCs w:val="1"/>
                <w:color w:val="235BA7"/>
              </w:rPr>
              <w:t>ONLINE</w:t>
            </w:r>
          </w:p>
        </w:tc>
        <w:tc>
          <w:tcPr>
            <w:tcW w:w="1420" w:type="dxa"/>
            <w:vAlign w:val="bottom"/>
          </w:tcPr>
          <w:p>
            <w:pPr>
              <w:ind w:left="160"/>
              <w:spacing w:after="0"/>
              <w:rPr>
                <w:sz w:val="20"/>
                <w:szCs w:val="20"/>
                <w:color w:val="auto"/>
              </w:rPr>
            </w:pPr>
            <w:r>
              <w:rPr>
                <w:rFonts w:ascii="Arial" w:cs="Arial" w:eastAsia="Arial" w:hAnsi="Arial"/>
                <w:sz w:val="27"/>
                <w:szCs w:val="27"/>
                <w:b w:val="1"/>
                <w:bCs w:val="1"/>
                <w:color w:val="235BA7"/>
                <w:w w:val="98"/>
              </w:rPr>
              <w:t>APRIL 14,</w:t>
            </w:r>
          </w:p>
        </w:tc>
      </w:tr>
      <w:tr>
        <w:trPr>
          <w:trHeight w:val="358"/>
        </w:trPr>
        <w:tc>
          <w:tcPr>
            <w:tcW w:w="1420" w:type="dxa"/>
            <w:vAlign w:val="bottom"/>
          </w:tcPr>
          <w:p>
            <w:pPr>
              <w:spacing w:after="0"/>
              <w:rPr>
                <w:sz w:val="20"/>
                <w:szCs w:val="20"/>
                <w:color w:val="auto"/>
              </w:rPr>
            </w:pPr>
            <w:r>
              <w:rPr>
                <w:rFonts w:ascii="Arial" w:cs="Arial" w:eastAsia="Arial" w:hAnsi="Arial"/>
                <w:sz w:val="27"/>
                <w:szCs w:val="27"/>
                <w:b w:val="1"/>
                <w:bCs w:val="1"/>
                <w:color w:val="235BA7"/>
              </w:rPr>
              <w:t>2020</w:t>
            </w:r>
          </w:p>
        </w:tc>
        <w:tc>
          <w:tcPr>
            <w:tcW w:w="1760" w:type="dxa"/>
            <w:vAlign w:val="bottom"/>
          </w:tcPr>
          <w:p>
            <w:pPr>
              <w:ind w:left="240"/>
              <w:spacing w:after="0"/>
              <w:rPr>
                <w:sz w:val="20"/>
                <w:szCs w:val="20"/>
                <w:color w:val="auto"/>
              </w:rPr>
            </w:pPr>
            <w:r>
              <w:rPr>
                <w:rFonts w:ascii="Arial" w:cs="Arial" w:eastAsia="Arial" w:hAnsi="Arial"/>
                <w:sz w:val="27"/>
                <w:szCs w:val="27"/>
                <w:b w:val="1"/>
                <w:bCs w:val="1"/>
                <w:color w:val="235BA7"/>
              </w:rPr>
              <w:t>ET</w:t>
            </w:r>
          </w:p>
        </w:tc>
        <w:tc>
          <w:tcPr>
            <w:tcW w:w="3760" w:type="dxa"/>
            <w:vAlign w:val="bottom"/>
          </w:tcPr>
          <w:p>
            <w:pPr>
              <w:ind w:left="120"/>
              <w:spacing w:after="0"/>
              <w:rPr>
                <w:sz w:val="20"/>
                <w:szCs w:val="20"/>
                <w:color w:val="auto"/>
              </w:rPr>
            </w:pPr>
            <w:r>
              <w:rPr>
                <w:rFonts w:ascii="Arial" w:cs="Arial" w:eastAsia="Arial" w:hAnsi="Arial"/>
                <w:sz w:val="15"/>
                <w:szCs w:val="15"/>
                <w:b w:val="1"/>
                <w:bCs w:val="1"/>
                <w:color w:val="2952A4"/>
              </w:rPr>
              <w:t>www.virtualshareholdermeeting.com/REGN2020</w:t>
            </w:r>
          </w:p>
        </w:tc>
        <w:tc>
          <w:tcPr>
            <w:tcW w:w="1420" w:type="dxa"/>
            <w:vAlign w:val="bottom"/>
          </w:tcPr>
          <w:p>
            <w:pPr>
              <w:ind w:left="160"/>
              <w:spacing w:after="0"/>
              <w:rPr>
                <w:sz w:val="20"/>
                <w:szCs w:val="20"/>
                <w:color w:val="auto"/>
              </w:rPr>
            </w:pPr>
            <w:r>
              <w:rPr>
                <w:rFonts w:ascii="Arial" w:cs="Arial" w:eastAsia="Arial" w:hAnsi="Arial"/>
                <w:sz w:val="27"/>
                <w:szCs w:val="27"/>
                <w:b w:val="1"/>
                <w:bCs w:val="1"/>
                <w:color w:val="235BA7"/>
              </w:rPr>
              <w:t>2020</w:t>
            </w:r>
          </w:p>
        </w:tc>
      </w:tr>
      <w:tr>
        <w:trPr>
          <w:trHeight w:val="457"/>
        </w:trPr>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60" w:type="dxa"/>
            <w:vAlign w:val="bottom"/>
          </w:tcPr>
          <w:p>
            <w:pPr>
              <w:ind w:left="120"/>
              <w:spacing w:after="0"/>
              <w:rPr>
                <w:sz w:val="20"/>
                <w:szCs w:val="20"/>
                <w:color w:val="auto"/>
              </w:rPr>
            </w:pPr>
            <w:r>
              <w:rPr>
                <w:rFonts w:ascii="Arial" w:cs="Arial" w:eastAsia="Arial" w:hAnsi="Arial"/>
                <w:sz w:val="27"/>
                <w:szCs w:val="27"/>
                <w:b w:val="1"/>
                <w:bCs w:val="1"/>
                <w:color w:val="235BA7"/>
              </w:rPr>
              <w:t>OR IN PERSON</w:t>
            </w:r>
          </w:p>
        </w:tc>
        <w:tc>
          <w:tcPr>
            <w:tcW w:w="1420" w:type="dxa"/>
            <w:vAlign w:val="bottom"/>
          </w:tcPr>
          <w:p>
            <w:pPr>
              <w:spacing w:after="0"/>
              <w:rPr>
                <w:sz w:val="24"/>
                <w:szCs w:val="24"/>
                <w:color w:val="auto"/>
              </w:rPr>
            </w:pPr>
          </w:p>
        </w:tc>
      </w:tr>
      <w:tr>
        <w:trPr>
          <w:trHeight w:val="162"/>
        </w:trPr>
        <w:tc>
          <w:tcPr>
            <w:tcW w:w="1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760" w:type="dxa"/>
            <w:vAlign w:val="bottom"/>
          </w:tcPr>
          <w:p>
            <w:pPr>
              <w:ind w:left="120"/>
              <w:spacing w:after="0" w:line="162" w:lineRule="exact"/>
              <w:rPr>
                <w:sz w:val="20"/>
                <w:szCs w:val="20"/>
                <w:color w:val="auto"/>
              </w:rPr>
            </w:pPr>
            <w:r>
              <w:rPr>
                <w:rFonts w:ascii="Arial" w:cs="Arial" w:eastAsia="Arial" w:hAnsi="Arial"/>
                <w:sz w:val="15"/>
                <w:szCs w:val="15"/>
                <w:color w:val="2952A4"/>
              </w:rPr>
              <w:t>Westchester Marriott Hotel</w:t>
            </w:r>
          </w:p>
        </w:tc>
        <w:tc>
          <w:tcPr>
            <w:tcW w:w="14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760" w:type="dxa"/>
            <w:vAlign w:val="bottom"/>
          </w:tcPr>
          <w:p>
            <w:pPr>
              <w:ind w:left="120"/>
              <w:spacing w:after="0" w:line="162" w:lineRule="exact"/>
              <w:rPr>
                <w:sz w:val="20"/>
                <w:szCs w:val="20"/>
                <w:color w:val="auto"/>
              </w:rPr>
            </w:pPr>
            <w:r>
              <w:rPr>
                <w:rFonts w:ascii="Arial" w:cs="Arial" w:eastAsia="Arial" w:hAnsi="Arial"/>
                <w:sz w:val="15"/>
                <w:szCs w:val="15"/>
                <w:color w:val="2952A4"/>
              </w:rPr>
              <w:t>670 White Plains Road</w:t>
            </w:r>
          </w:p>
        </w:tc>
        <w:tc>
          <w:tcPr>
            <w:tcW w:w="1420" w:type="dxa"/>
            <w:vAlign w:val="bottom"/>
          </w:tcPr>
          <w:p>
            <w:pPr>
              <w:spacing w:after="0"/>
              <w:rPr>
                <w:sz w:val="14"/>
                <w:szCs w:val="14"/>
                <w:color w:val="auto"/>
              </w:rPr>
            </w:pPr>
          </w:p>
        </w:tc>
      </w:tr>
      <w:tr>
        <w:trPr>
          <w:trHeight w:val="184"/>
        </w:trPr>
        <w:tc>
          <w:tcPr>
            <w:tcW w:w="1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760" w:type="dxa"/>
            <w:vAlign w:val="bottom"/>
          </w:tcPr>
          <w:p>
            <w:pPr>
              <w:ind w:left="120"/>
              <w:spacing w:after="0"/>
              <w:rPr>
                <w:sz w:val="20"/>
                <w:szCs w:val="20"/>
                <w:color w:val="auto"/>
              </w:rPr>
            </w:pPr>
            <w:r>
              <w:rPr>
                <w:rFonts w:ascii="Arial" w:cs="Arial" w:eastAsia="Arial" w:hAnsi="Arial"/>
                <w:sz w:val="15"/>
                <w:szCs w:val="15"/>
                <w:color w:val="2952A4"/>
              </w:rPr>
              <w:t>Tarrytown, New York 10591</w:t>
            </w:r>
          </w:p>
        </w:tc>
        <w:tc>
          <w:tcPr>
            <w:tcW w:w="1420" w:type="dxa"/>
            <w:vAlign w:val="bottom"/>
          </w:tcPr>
          <w:p>
            <w:pPr>
              <w:spacing w:after="0"/>
              <w:rPr>
                <w:sz w:val="16"/>
                <w:szCs w:val="16"/>
                <w:color w:val="auto"/>
              </w:rPr>
            </w:pPr>
          </w:p>
        </w:tc>
      </w:tr>
    </w:tbl>
    <w:p>
      <w:pPr>
        <w:spacing w:after="0" w:line="103"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04C57"/>
        </w:rPr>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060" w:type="dxa"/>
            <w:vAlign w:val="bottom"/>
            <w:tcBorders>
              <w:bottom w:val="single" w:sz="8" w:color="2952A4"/>
            </w:tcBorders>
          </w:tcPr>
          <w:p>
            <w:pPr>
              <w:spacing w:after="0"/>
              <w:rPr>
                <w:sz w:val="16"/>
                <w:szCs w:val="16"/>
                <w:color w:val="auto"/>
              </w:rPr>
            </w:pPr>
          </w:p>
        </w:tc>
        <w:tc>
          <w:tcPr>
            <w:tcW w:w="5240" w:type="dxa"/>
            <w:vAlign w:val="bottom"/>
            <w:tcBorders>
              <w:bottom w:val="single" w:sz="8" w:color="2952A4"/>
            </w:tcBorders>
          </w:tcPr>
          <w:p>
            <w:pPr>
              <w:ind w:left="240"/>
              <w:spacing w:after="0"/>
              <w:rPr>
                <w:sz w:val="20"/>
                <w:szCs w:val="20"/>
                <w:color w:val="auto"/>
              </w:rPr>
            </w:pPr>
            <w:r>
              <w:rPr>
                <w:rFonts w:ascii="Arial" w:cs="Arial" w:eastAsia="Arial" w:hAnsi="Arial"/>
                <w:sz w:val="15"/>
                <w:szCs w:val="15"/>
                <w:b w:val="1"/>
                <w:bCs w:val="1"/>
                <w:color w:val="2952A4"/>
              </w:rPr>
              <w:t>Matter</w:t>
            </w:r>
          </w:p>
        </w:tc>
        <w:tc>
          <w:tcPr>
            <w:tcW w:w="2340" w:type="dxa"/>
            <w:vAlign w:val="bottom"/>
            <w:tcBorders>
              <w:bottom w:val="single" w:sz="8" w:color="2952A4"/>
            </w:tcBorders>
          </w:tcPr>
          <w:p>
            <w:pPr>
              <w:ind w:left="180"/>
              <w:spacing w:after="0"/>
              <w:rPr>
                <w:sz w:val="20"/>
                <w:szCs w:val="20"/>
                <w:color w:val="auto"/>
              </w:rPr>
            </w:pPr>
            <w:r>
              <w:rPr>
                <w:rFonts w:ascii="Arial" w:cs="Arial" w:eastAsia="Arial" w:hAnsi="Arial"/>
                <w:sz w:val="15"/>
                <w:szCs w:val="15"/>
                <w:b w:val="1"/>
                <w:bCs w:val="1"/>
                <w:color w:val="2952A4"/>
              </w:rPr>
              <w:t>Board Vote Recommendation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61"/>
                <w:szCs w:val="61"/>
                <w:b w:val="1"/>
                <w:bCs w:val="1"/>
                <w:color w:val="C24D5C"/>
              </w:rPr>
              <w:t>1</w:t>
            </w:r>
          </w:p>
        </w:tc>
        <w:tc>
          <w:tcPr>
            <w:tcW w:w="5240" w:type="dxa"/>
            <w:vAlign w:val="bottom"/>
          </w:tcPr>
          <w:p>
            <w:pPr>
              <w:ind w:left="240"/>
              <w:spacing w:after="0"/>
              <w:rPr>
                <w:sz w:val="20"/>
                <w:szCs w:val="20"/>
                <w:color w:val="auto"/>
              </w:rPr>
            </w:pPr>
            <w:r>
              <w:rPr>
                <w:rFonts w:ascii="Arial" w:cs="Arial" w:eastAsia="Arial" w:hAnsi="Arial"/>
                <w:sz w:val="15"/>
                <w:szCs w:val="15"/>
                <w:color w:val="auto"/>
              </w:rPr>
              <w:t>Election of four Class II directors for a three-year term and one Class III</w:t>
            </w:r>
          </w:p>
        </w:tc>
        <w:tc>
          <w:tcPr>
            <w:tcW w:w="3640" w:type="dxa"/>
            <w:vAlign w:val="bottom"/>
            <w:gridSpan w:val="2"/>
          </w:tcPr>
          <w:p>
            <w:pPr>
              <w:ind w:left="180"/>
              <w:spacing w:after="0"/>
              <w:rPr>
                <w:sz w:val="20"/>
                <w:szCs w:val="20"/>
                <w:color w:val="auto"/>
              </w:rPr>
            </w:pPr>
            <w:r>
              <w:rPr>
                <w:rFonts w:ascii="Arial" w:cs="Arial" w:eastAsia="Arial" w:hAnsi="Arial"/>
                <w:sz w:val="15"/>
                <w:szCs w:val="15"/>
                <w:b w:val="1"/>
                <w:bCs w:val="1"/>
                <w:color w:val="2952A4"/>
              </w:rPr>
              <w:t xml:space="preserve">FOR </w:t>
            </w:r>
            <w:r>
              <w:rPr>
                <w:rFonts w:ascii="Arial" w:cs="Arial" w:eastAsia="Arial" w:hAnsi="Arial"/>
                <w:sz w:val="15"/>
                <w:szCs w:val="15"/>
                <w:color w:val="231F20"/>
              </w:rPr>
              <w:t>each director nominee</w:t>
            </w:r>
          </w:p>
        </w:tc>
        <w:tc>
          <w:tcPr>
            <w:tcW w:w="0" w:type="dxa"/>
            <w:vAlign w:val="bottom"/>
          </w:tcPr>
          <w:p>
            <w:pPr>
              <w:spacing w:after="0"/>
              <w:rPr>
                <w:sz w:val="1"/>
                <w:szCs w:val="1"/>
                <w:color w:val="auto"/>
              </w:rPr>
            </w:pPr>
          </w:p>
        </w:tc>
      </w:tr>
      <w:tr>
        <w:trPr>
          <w:trHeight w:val="579"/>
        </w:trPr>
        <w:tc>
          <w:tcPr>
            <w:tcW w:w="1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240" w:type="dxa"/>
            <w:vAlign w:val="bottom"/>
          </w:tcPr>
          <w:p>
            <w:pPr>
              <w:ind w:left="240"/>
              <w:spacing w:after="0"/>
              <w:rPr>
                <w:sz w:val="20"/>
                <w:szCs w:val="20"/>
                <w:color w:val="auto"/>
              </w:rPr>
            </w:pPr>
            <w:r>
              <w:rPr>
                <w:rFonts w:ascii="Arial" w:cs="Arial" w:eastAsia="Arial" w:hAnsi="Arial"/>
                <w:sz w:val="15"/>
                <w:szCs w:val="15"/>
                <w:color w:val="auto"/>
              </w:rPr>
              <w:t>director for a one-year term</w:t>
            </w:r>
          </w:p>
        </w:tc>
        <w:tc>
          <w:tcPr>
            <w:tcW w:w="2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40" w:type="dxa"/>
            <w:vAlign w:val="bottom"/>
          </w:tcPr>
          <w:p>
            <w:pPr>
              <w:spacing w:after="0"/>
              <w:rPr>
                <w:sz w:val="3"/>
                <w:szCs w:val="3"/>
                <w:color w:val="auto"/>
              </w:rPr>
            </w:pPr>
          </w:p>
        </w:tc>
        <w:tc>
          <w:tcPr>
            <w:tcW w:w="36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060" w:type="dxa"/>
            <w:vAlign w:val="bottom"/>
            <w:tcBorders>
              <w:top w:val="single" w:sz="8" w:color="auto"/>
            </w:tcBorders>
            <w:vMerge w:val="restart"/>
            <w:shd w:val="clear" w:color="auto" w:fill="EBECEC"/>
          </w:tcPr>
          <w:p>
            <w:pPr>
              <w:jc w:val="right"/>
              <w:spacing w:after="0"/>
              <w:rPr>
                <w:sz w:val="20"/>
                <w:szCs w:val="20"/>
                <w:color w:val="auto"/>
              </w:rPr>
            </w:pPr>
            <w:r>
              <w:rPr>
                <w:rFonts w:ascii="Arial" w:cs="Arial" w:eastAsia="Arial" w:hAnsi="Arial"/>
                <w:sz w:val="61"/>
                <w:szCs w:val="61"/>
                <w:b w:val="1"/>
                <w:bCs w:val="1"/>
                <w:color w:val="C24D5C"/>
              </w:rPr>
              <w:t>2</w:t>
            </w:r>
          </w:p>
        </w:tc>
        <w:tc>
          <w:tcPr>
            <w:tcW w:w="5240" w:type="dxa"/>
            <w:vAlign w:val="bottom"/>
            <w:tcBorders>
              <w:top w:val="single" w:sz="8" w:color="auto"/>
            </w:tcBorders>
            <w:shd w:val="clear" w:color="auto" w:fill="EBECEC"/>
          </w:tcPr>
          <w:p>
            <w:pPr>
              <w:ind w:left="240"/>
              <w:spacing w:after="0"/>
              <w:rPr>
                <w:sz w:val="20"/>
                <w:szCs w:val="20"/>
                <w:color w:val="auto"/>
              </w:rPr>
            </w:pPr>
            <w:r>
              <w:rPr>
                <w:rFonts w:ascii="Arial" w:cs="Arial" w:eastAsia="Arial" w:hAnsi="Arial"/>
                <w:sz w:val="15"/>
                <w:szCs w:val="15"/>
                <w:color w:val="auto"/>
              </w:rPr>
              <w:t>Ratification of the appointment of PricewaterhouseCoopers LLP as the</w:t>
            </w:r>
          </w:p>
        </w:tc>
        <w:tc>
          <w:tcPr>
            <w:tcW w:w="2340" w:type="dxa"/>
            <w:vAlign w:val="bottom"/>
            <w:tcBorders>
              <w:top w:val="single" w:sz="8" w:color="auto"/>
            </w:tcBorders>
            <w:shd w:val="clear" w:color="auto" w:fill="EBECEC"/>
          </w:tcPr>
          <w:p>
            <w:pPr>
              <w:ind w:left="180"/>
              <w:spacing w:after="0"/>
              <w:rPr>
                <w:sz w:val="20"/>
                <w:szCs w:val="20"/>
                <w:color w:val="auto"/>
              </w:rPr>
            </w:pPr>
            <w:r>
              <w:rPr>
                <w:rFonts w:ascii="Arial" w:cs="Arial" w:eastAsia="Arial" w:hAnsi="Arial"/>
                <w:sz w:val="15"/>
                <w:szCs w:val="15"/>
                <w:b w:val="1"/>
                <w:bCs w:val="1"/>
                <w:color w:val="2952A4"/>
              </w:rPr>
              <w:t>FOR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060" w:type="dxa"/>
            <w:vAlign w:val="bottom"/>
            <w:vMerge w:val="continue"/>
            <w:shd w:val="clear" w:color="auto" w:fill="EBECEC"/>
          </w:tcPr>
          <w:p>
            <w:pPr>
              <w:spacing w:after="0"/>
              <w:rPr>
                <w:sz w:val="14"/>
                <w:szCs w:val="14"/>
                <w:color w:val="auto"/>
              </w:rPr>
            </w:pPr>
          </w:p>
        </w:tc>
        <w:tc>
          <w:tcPr>
            <w:tcW w:w="5240" w:type="dxa"/>
            <w:vAlign w:val="bottom"/>
            <w:shd w:val="clear" w:color="auto" w:fill="EBECEC"/>
          </w:tcPr>
          <w:p>
            <w:pPr>
              <w:ind w:left="240"/>
              <w:spacing w:after="0" w:line="162" w:lineRule="exact"/>
              <w:rPr>
                <w:sz w:val="20"/>
                <w:szCs w:val="20"/>
                <w:color w:val="auto"/>
              </w:rPr>
            </w:pPr>
            <w:r>
              <w:rPr>
                <w:rFonts w:ascii="Arial" w:cs="Arial" w:eastAsia="Arial" w:hAnsi="Arial"/>
                <w:sz w:val="15"/>
                <w:szCs w:val="15"/>
                <w:color w:val="auto"/>
              </w:rPr>
              <w:t>Company’s independent registered public accounting firm for the fiscal</w:t>
            </w:r>
          </w:p>
        </w:tc>
        <w:tc>
          <w:tcPr>
            <w:tcW w:w="2340" w:type="dxa"/>
            <w:vAlign w:val="bottom"/>
            <w:shd w:val="clear" w:color="auto" w:fill="EBECEC"/>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2"/>
        </w:trPr>
        <w:tc>
          <w:tcPr>
            <w:tcW w:w="1300" w:type="dxa"/>
            <w:vAlign w:val="bottom"/>
          </w:tcPr>
          <w:p>
            <w:pPr>
              <w:spacing w:after="0"/>
              <w:rPr>
                <w:sz w:val="24"/>
                <w:szCs w:val="24"/>
                <w:color w:val="auto"/>
              </w:rPr>
            </w:pPr>
          </w:p>
        </w:tc>
        <w:tc>
          <w:tcPr>
            <w:tcW w:w="1060" w:type="dxa"/>
            <w:vAlign w:val="bottom"/>
            <w:tcBorders>
              <w:bottom w:val="single" w:sz="8" w:color="EBECEC"/>
            </w:tcBorders>
            <w:vMerge w:val="continue"/>
            <w:shd w:val="clear" w:color="auto" w:fill="EBECEC"/>
          </w:tcPr>
          <w:p>
            <w:pPr>
              <w:spacing w:after="0"/>
              <w:rPr>
                <w:sz w:val="24"/>
                <w:szCs w:val="24"/>
                <w:color w:val="auto"/>
              </w:rPr>
            </w:pPr>
          </w:p>
        </w:tc>
        <w:tc>
          <w:tcPr>
            <w:tcW w:w="5240" w:type="dxa"/>
            <w:vAlign w:val="bottom"/>
            <w:tcBorders>
              <w:bottom w:val="single" w:sz="8" w:color="EBECEC"/>
            </w:tcBorders>
            <w:shd w:val="clear" w:color="auto" w:fill="EBECEC"/>
          </w:tcPr>
          <w:p>
            <w:pPr>
              <w:ind w:left="240"/>
              <w:spacing w:after="0"/>
              <w:rPr>
                <w:sz w:val="20"/>
                <w:szCs w:val="20"/>
                <w:color w:val="auto"/>
              </w:rPr>
            </w:pPr>
            <w:r>
              <w:rPr>
                <w:rFonts w:ascii="Arial" w:cs="Arial" w:eastAsia="Arial" w:hAnsi="Arial"/>
                <w:sz w:val="15"/>
                <w:szCs w:val="15"/>
                <w:color w:val="auto"/>
              </w:rPr>
              <w:t>year ending December 31, 2020</w:t>
            </w:r>
          </w:p>
        </w:tc>
        <w:tc>
          <w:tcPr>
            <w:tcW w:w="2340" w:type="dxa"/>
            <w:vAlign w:val="bottom"/>
            <w:tcBorders>
              <w:bottom w:val="single" w:sz="8" w:color="EBECEC"/>
            </w:tcBorders>
            <w:shd w:val="clear" w:color="auto" w:fill="EBECEC"/>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61"/>
                <w:szCs w:val="61"/>
                <w:b w:val="1"/>
                <w:bCs w:val="1"/>
                <w:color w:val="C24D5C"/>
              </w:rPr>
              <w:t>3</w:t>
            </w:r>
          </w:p>
        </w:tc>
        <w:tc>
          <w:tcPr>
            <w:tcW w:w="5240" w:type="dxa"/>
            <w:vAlign w:val="bottom"/>
            <w:tcBorders>
              <w:top w:val="single" w:sz="8" w:color="auto"/>
            </w:tcBorders>
          </w:tcPr>
          <w:p>
            <w:pPr>
              <w:ind w:left="240"/>
              <w:spacing w:after="0"/>
              <w:rPr>
                <w:sz w:val="20"/>
                <w:szCs w:val="20"/>
                <w:color w:val="auto"/>
              </w:rPr>
            </w:pPr>
            <w:r>
              <w:rPr>
                <w:rFonts w:ascii="Arial" w:cs="Arial" w:eastAsia="Arial" w:hAnsi="Arial"/>
                <w:sz w:val="15"/>
                <w:szCs w:val="15"/>
                <w:color w:val="auto"/>
              </w:rPr>
              <w:t>Approval of the Second Amended and Restated Regeneron</w:t>
            </w:r>
          </w:p>
        </w:tc>
        <w:tc>
          <w:tcPr>
            <w:tcW w:w="2340" w:type="dxa"/>
            <w:vAlign w:val="bottom"/>
            <w:tcBorders>
              <w:top w:val="single" w:sz="8" w:color="auto"/>
            </w:tcBorders>
          </w:tcPr>
          <w:p>
            <w:pPr>
              <w:ind w:left="180"/>
              <w:spacing w:after="0"/>
              <w:rPr>
                <w:sz w:val="20"/>
                <w:szCs w:val="20"/>
                <w:color w:val="auto"/>
              </w:rPr>
            </w:pPr>
            <w:r>
              <w:rPr>
                <w:rFonts w:ascii="Arial" w:cs="Arial" w:eastAsia="Arial" w:hAnsi="Arial"/>
                <w:sz w:val="15"/>
                <w:szCs w:val="15"/>
                <w:b w:val="1"/>
                <w:bCs w:val="1"/>
                <w:color w:val="2952A4"/>
              </w:rPr>
              <w:t>FOR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1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240" w:type="dxa"/>
            <w:vAlign w:val="bottom"/>
          </w:tcPr>
          <w:p>
            <w:pPr>
              <w:ind w:left="240"/>
              <w:spacing w:after="0"/>
              <w:rPr>
                <w:sz w:val="20"/>
                <w:szCs w:val="20"/>
                <w:color w:val="auto"/>
              </w:rPr>
            </w:pPr>
            <w:r>
              <w:rPr>
                <w:rFonts w:ascii="Arial" w:cs="Arial" w:eastAsia="Arial" w:hAnsi="Arial"/>
                <w:sz w:val="15"/>
                <w:szCs w:val="15"/>
                <w:color w:val="auto"/>
              </w:rPr>
              <w:t>Pharmaceuticals, Inc. 2014 Long-Term Incentive Plan</w:t>
            </w:r>
          </w:p>
        </w:tc>
        <w:tc>
          <w:tcPr>
            <w:tcW w:w="2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40" w:type="dxa"/>
            <w:vAlign w:val="bottom"/>
          </w:tcPr>
          <w:p>
            <w:pPr>
              <w:spacing w:after="0"/>
              <w:rPr>
                <w:sz w:val="3"/>
                <w:szCs w:val="3"/>
                <w:color w:val="auto"/>
              </w:rPr>
            </w:pPr>
          </w:p>
        </w:tc>
        <w:tc>
          <w:tcPr>
            <w:tcW w:w="36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060" w:type="dxa"/>
            <w:vAlign w:val="bottom"/>
            <w:tcBorders>
              <w:top w:val="single" w:sz="8" w:color="auto"/>
            </w:tcBorders>
            <w:vMerge w:val="restart"/>
            <w:shd w:val="clear" w:color="auto" w:fill="EBECEC"/>
          </w:tcPr>
          <w:p>
            <w:pPr>
              <w:jc w:val="right"/>
              <w:spacing w:after="0"/>
              <w:rPr>
                <w:sz w:val="20"/>
                <w:szCs w:val="20"/>
                <w:color w:val="auto"/>
              </w:rPr>
            </w:pPr>
            <w:r>
              <w:rPr>
                <w:rFonts w:ascii="Arial" w:cs="Arial" w:eastAsia="Arial" w:hAnsi="Arial"/>
                <w:sz w:val="61"/>
                <w:szCs w:val="61"/>
                <w:b w:val="1"/>
                <w:bCs w:val="1"/>
                <w:color w:val="C24D5C"/>
              </w:rPr>
              <w:t>4</w:t>
            </w:r>
          </w:p>
        </w:tc>
        <w:tc>
          <w:tcPr>
            <w:tcW w:w="5240" w:type="dxa"/>
            <w:vAlign w:val="bottom"/>
            <w:tcBorders>
              <w:top w:val="single" w:sz="8" w:color="auto"/>
            </w:tcBorders>
            <w:shd w:val="clear" w:color="auto" w:fill="EBECEC"/>
          </w:tcPr>
          <w:p>
            <w:pPr>
              <w:ind w:left="240"/>
              <w:spacing w:after="0"/>
              <w:rPr>
                <w:sz w:val="20"/>
                <w:szCs w:val="20"/>
                <w:color w:val="auto"/>
              </w:rPr>
            </w:pPr>
            <w:r>
              <w:rPr>
                <w:rFonts w:ascii="Arial" w:cs="Arial" w:eastAsia="Arial" w:hAnsi="Arial"/>
                <w:sz w:val="15"/>
                <w:szCs w:val="15"/>
                <w:color w:val="auto"/>
              </w:rPr>
              <w:t>Advisory vote to approve the compensation of the Company’s Named</w:t>
            </w:r>
          </w:p>
        </w:tc>
        <w:tc>
          <w:tcPr>
            <w:tcW w:w="2340" w:type="dxa"/>
            <w:vAlign w:val="bottom"/>
            <w:tcBorders>
              <w:top w:val="single" w:sz="8" w:color="auto"/>
            </w:tcBorders>
            <w:shd w:val="clear" w:color="auto" w:fill="EBECEC"/>
          </w:tcPr>
          <w:p>
            <w:pPr>
              <w:ind w:left="180"/>
              <w:spacing w:after="0"/>
              <w:rPr>
                <w:sz w:val="20"/>
                <w:szCs w:val="20"/>
                <w:color w:val="auto"/>
              </w:rPr>
            </w:pPr>
            <w:r>
              <w:rPr>
                <w:rFonts w:ascii="Arial" w:cs="Arial" w:eastAsia="Arial" w:hAnsi="Arial"/>
                <w:sz w:val="15"/>
                <w:szCs w:val="15"/>
                <w:b w:val="1"/>
                <w:bCs w:val="1"/>
                <w:color w:val="2952A4"/>
              </w:rPr>
              <w:t>FOR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4"/>
        </w:trPr>
        <w:tc>
          <w:tcPr>
            <w:tcW w:w="1300" w:type="dxa"/>
            <w:vAlign w:val="bottom"/>
          </w:tcPr>
          <w:p>
            <w:pPr>
              <w:spacing w:after="0"/>
              <w:rPr>
                <w:sz w:val="24"/>
                <w:szCs w:val="24"/>
                <w:color w:val="auto"/>
              </w:rPr>
            </w:pPr>
          </w:p>
        </w:tc>
        <w:tc>
          <w:tcPr>
            <w:tcW w:w="1060" w:type="dxa"/>
            <w:vAlign w:val="bottom"/>
            <w:tcBorders>
              <w:bottom w:val="single" w:sz="8" w:color="EBECEC"/>
            </w:tcBorders>
            <w:vMerge w:val="continue"/>
            <w:shd w:val="clear" w:color="auto" w:fill="EBECEC"/>
          </w:tcPr>
          <w:p>
            <w:pPr>
              <w:spacing w:after="0"/>
              <w:rPr>
                <w:sz w:val="24"/>
                <w:szCs w:val="24"/>
                <w:color w:val="auto"/>
              </w:rPr>
            </w:pPr>
          </w:p>
        </w:tc>
        <w:tc>
          <w:tcPr>
            <w:tcW w:w="5240" w:type="dxa"/>
            <w:vAlign w:val="bottom"/>
            <w:tcBorders>
              <w:bottom w:val="single" w:sz="8" w:color="EBECEC"/>
            </w:tcBorders>
            <w:shd w:val="clear" w:color="auto" w:fill="EBECEC"/>
          </w:tcPr>
          <w:p>
            <w:pPr>
              <w:ind w:left="240"/>
              <w:spacing w:after="0"/>
              <w:rPr>
                <w:sz w:val="20"/>
                <w:szCs w:val="20"/>
                <w:color w:val="auto"/>
              </w:rPr>
            </w:pPr>
            <w:r>
              <w:rPr>
                <w:rFonts w:ascii="Arial" w:cs="Arial" w:eastAsia="Arial" w:hAnsi="Arial"/>
                <w:sz w:val="15"/>
                <w:szCs w:val="15"/>
                <w:color w:val="auto"/>
              </w:rPr>
              <w:t>Executive Officers as disclosed in these proxy materials (say on pay)</w:t>
            </w:r>
          </w:p>
        </w:tc>
        <w:tc>
          <w:tcPr>
            <w:tcW w:w="2340" w:type="dxa"/>
            <w:vAlign w:val="bottom"/>
            <w:tcBorders>
              <w:bottom w:val="single" w:sz="8" w:color="EBECEC"/>
            </w:tcBorders>
            <w:shd w:val="clear" w:color="auto" w:fill="EBECEC"/>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300" w:type="dxa"/>
            <w:vAlign w:val="bottom"/>
          </w:tcPr>
          <w:p>
            <w:pPr>
              <w:spacing w:after="0"/>
              <w:rPr>
                <w:sz w:val="24"/>
                <w:szCs w:val="24"/>
                <w:color w:val="auto"/>
              </w:rPr>
            </w:pPr>
          </w:p>
        </w:tc>
        <w:tc>
          <w:tcPr>
            <w:tcW w:w="63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2340" w:type="dxa"/>
            <w:vAlign w:val="bottom"/>
            <w:tcBorders>
              <w:top w:val="single" w:sz="8" w:color="auto"/>
            </w:tcBorders>
          </w:tcPr>
          <w:p>
            <w:pPr>
              <w:spacing w:after="0"/>
              <w:rPr>
                <w:sz w:val="24"/>
                <w:szCs w:val="24"/>
                <w:color w:val="auto"/>
              </w:rPr>
            </w:pPr>
          </w:p>
        </w:tc>
        <w:tc>
          <w:tcPr>
            <w:tcW w:w="130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w:t>
            </w:r>
          </w:p>
        </w:tc>
        <w:tc>
          <w:tcPr>
            <w:tcW w:w="0" w:type="dxa"/>
            <w:vAlign w:val="bottom"/>
          </w:tcPr>
          <w:p>
            <w:pPr>
              <w:spacing w:after="0"/>
              <w:rPr>
                <w:sz w:val="1"/>
                <w:szCs w:val="1"/>
                <w:color w:val="auto"/>
              </w:rPr>
            </w:pPr>
          </w:p>
        </w:tc>
      </w:tr>
      <w:tr>
        <w:trPr>
          <w:trHeight w:val="262"/>
        </w:trPr>
        <w:tc>
          <w:tcPr>
            <w:tcW w:w="1300" w:type="dxa"/>
            <w:vAlign w:val="bottom"/>
            <w:tcBorders>
              <w:bottom w:val="single" w:sz="8" w:color="C0C0C0"/>
            </w:tcBorders>
          </w:tcPr>
          <w:p>
            <w:pPr>
              <w:spacing w:after="0"/>
              <w:rPr>
                <w:sz w:val="22"/>
                <w:szCs w:val="22"/>
                <w:color w:val="auto"/>
              </w:rPr>
            </w:pPr>
          </w:p>
        </w:tc>
        <w:tc>
          <w:tcPr>
            <w:tcW w:w="1060" w:type="dxa"/>
            <w:vAlign w:val="bottom"/>
            <w:tcBorders>
              <w:bottom w:val="single" w:sz="8" w:color="C0C0C0"/>
            </w:tcBorders>
          </w:tcPr>
          <w:p>
            <w:pPr>
              <w:spacing w:after="0"/>
              <w:rPr>
                <w:sz w:val="22"/>
                <w:szCs w:val="22"/>
                <w:color w:val="auto"/>
              </w:rPr>
            </w:pPr>
          </w:p>
        </w:tc>
        <w:tc>
          <w:tcPr>
            <w:tcW w:w="5240" w:type="dxa"/>
            <w:vAlign w:val="bottom"/>
            <w:tcBorders>
              <w:bottom w:val="single" w:sz="8" w:color="C0C0C0"/>
            </w:tcBorders>
          </w:tcPr>
          <w:p>
            <w:pPr>
              <w:spacing w:after="0"/>
              <w:rPr>
                <w:sz w:val="22"/>
                <w:szCs w:val="22"/>
                <w:color w:val="auto"/>
              </w:rPr>
            </w:pPr>
          </w:p>
        </w:tc>
        <w:tc>
          <w:tcPr>
            <w:tcW w:w="2340" w:type="dxa"/>
            <w:vAlign w:val="bottom"/>
            <w:tcBorders>
              <w:bottom w:val="single" w:sz="8" w:color="C0C0C0"/>
            </w:tcBorders>
          </w:tcPr>
          <w:p>
            <w:pPr>
              <w:spacing w:after="0"/>
              <w:rPr>
                <w:sz w:val="22"/>
                <w:szCs w:val="22"/>
                <w:color w:val="auto"/>
              </w:rPr>
            </w:pPr>
          </w:p>
        </w:tc>
        <w:tc>
          <w:tcPr>
            <w:tcW w:w="130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-2511425</wp:posOffset>
            </wp:positionV>
            <wp:extent cx="257175" cy="248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 cy="24828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-1953895</wp:posOffset>
            </wp:positionV>
            <wp:extent cx="257175"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-1397000</wp:posOffset>
            </wp:positionV>
            <wp:extent cx="257175" cy="248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 cy="24828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-839470</wp:posOffset>
            </wp:positionV>
            <wp:extent cx="257175" cy="248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 cy="24828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-307975</wp:posOffset>
            </wp:positionV>
            <wp:extent cx="771525"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 w:name="page13"/>
    <w:bookmarkEnd w:id="12"/>
    <w:p>
      <w:pPr>
        <w:ind w:left="320"/>
        <w:spacing w:after="0"/>
        <w:rPr>
          <w:sz w:val="20"/>
          <w:szCs w:val="20"/>
          <w:color w:val="auto"/>
        </w:rPr>
      </w:pPr>
      <w:r>
        <w:rPr>
          <w:rFonts w:ascii="Arial" w:cs="Arial" w:eastAsia="Arial" w:hAnsi="Arial"/>
          <w:sz w:val="16"/>
          <w:szCs w:val="16"/>
          <w:b w:val="1"/>
          <w:bCs w:val="1"/>
          <w:color w:val="2952A4"/>
        </w:rPr>
        <w:t xml:space="preserve">USERS’ GUIDE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PROXY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sectPr>
      </w:pPr>
    </w:p>
    <w:p>
      <w:pPr>
        <w:spacing w:after="0" w:line="165" w:lineRule="exact"/>
        <w:rPr>
          <w:sz w:val="20"/>
          <w:szCs w:val="20"/>
          <w:color w:val="auto"/>
        </w:rPr>
      </w:pPr>
    </w:p>
    <w:p>
      <w:pPr>
        <w:ind w:left="320"/>
        <w:spacing w:after="0"/>
        <w:rPr>
          <w:sz w:val="20"/>
          <w:szCs w:val="20"/>
          <w:color w:val="auto"/>
        </w:rPr>
      </w:pPr>
      <w:r>
        <w:rPr>
          <w:rFonts w:ascii="Arial" w:cs="Arial" w:eastAsia="Arial" w:hAnsi="Arial"/>
          <w:sz w:val="65"/>
          <w:szCs w:val="65"/>
          <w:b w:val="1"/>
          <w:bCs w:val="1"/>
          <w:color w:val="2952A4"/>
        </w:rPr>
        <w:t>PROXY HIGHLIGHTS</w:t>
      </w:r>
    </w:p>
    <w:p>
      <w:pPr>
        <w:spacing w:after="0" w:line="65" w:lineRule="exact"/>
        <w:rPr>
          <w:sz w:val="20"/>
          <w:szCs w:val="20"/>
          <w:color w:val="auto"/>
        </w:rPr>
      </w:pPr>
    </w:p>
    <w:p>
      <w:pPr>
        <w:ind w:left="320" w:right="539"/>
        <w:spacing w:after="0" w:line="252" w:lineRule="auto"/>
        <w:rPr>
          <w:sz w:val="20"/>
          <w:szCs w:val="20"/>
          <w:color w:val="auto"/>
        </w:rPr>
      </w:pPr>
      <w:r>
        <w:rPr>
          <w:rFonts w:ascii="Arial" w:cs="Arial" w:eastAsia="Arial" w:hAnsi="Arial"/>
          <w:sz w:val="29"/>
          <w:szCs w:val="29"/>
          <w:b w:val="1"/>
          <w:bCs w:val="1"/>
          <w:color w:val="C04C57"/>
        </w:rPr>
        <w:t>WE SEEK YOUR INPUT ON TWO 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-12700</wp:posOffset>
            </wp:positionV>
            <wp:extent cx="5486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type w:val="continuous"/>
        </w:sectPr>
      </w:pPr>
    </w:p>
    <w:p>
      <w:pPr>
        <w:spacing w:after="0" w:line="151" w:lineRule="exact"/>
        <w:rPr>
          <w:sz w:val="20"/>
          <w:szCs w:val="20"/>
          <w:color w:val="auto"/>
        </w:rPr>
      </w:pPr>
    </w:p>
    <w:p>
      <w:pPr>
        <w:ind w:left="320" w:right="60"/>
        <w:spacing w:after="0" w:line="231" w:lineRule="auto"/>
        <w:rPr>
          <w:sz w:val="20"/>
          <w:szCs w:val="20"/>
          <w:color w:val="auto"/>
        </w:rPr>
      </w:pPr>
      <w:r>
        <w:rPr>
          <w:rFonts w:ascii="Arial" w:cs="Arial" w:eastAsia="Arial" w:hAnsi="Arial"/>
          <w:sz w:val="15"/>
          <w:szCs w:val="15"/>
          <w:color w:val="231F20"/>
        </w:rPr>
        <w:t>Our mission of long-term commitment to science and innovation has shaped our compensation program, which is designed to sustain our business model and drive our product pipeline. We seek your vote on two compensation-related proposals:</w:t>
      </w:r>
    </w:p>
    <w:p>
      <w:pPr>
        <w:spacing w:after="0" w:line="142" w:lineRule="exact"/>
        <w:rPr>
          <w:sz w:val="20"/>
          <w:szCs w:val="20"/>
          <w:color w:val="auto"/>
        </w:rPr>
      </w:pPr>
    </w:p>
    <w:p>
      <w:pPr>
        <w:ind w:left="640" w:right="40" w:hanging="316"/>
        <w:spacing w:after="0" w:line="233" w:lineRule="auto"/>
        <w:tabs>
          <w:tab w:leader="none" w:pos="640" w:val="left"/>
        </w:tabs>
        <w:numPr>
          <w:ilvl w:val="0"/>
          <w:numId w:val="14"/>
        </w:numPr>
        <w:rPr>
          <w:rFonts w:ascii="Arial" w:cs="Arial" w:eastAsia="Arial" w:hAnsi="Arial"/>
          <w:sz w:val="15"/>
          <w:szCs w:val="15"/>
          <w:b w:val="1"/>
          <w:bCs w:val="1"/>
          <w:color w:val="2952A4"/>
        </w:rPr>
      </w:pPr>
      <w:r>
        <w:rPr>
          <w:rFonts w:ascii="Arial" w:cs="Arial" w:eastAsia="Arial" w:hAnsi="Arial"/>
          <w:sz w:val="15"/>
          <w:szCs w:val="15"/>
          <w:color w:val="231F20"/>
        </w:rPr>
        <w:t>Approval of the second amendment and restatement of our long-term incentive plan—see “Proposal No. 3: Second Amendment and Restatement of Long-Term Incentive Plan”; and</w:t>
      </w:r>
    </w:p>
    <w:p>
      <w:pPr>
        <w:spacing w:after="0" w:line="140" w:lineRule="exact"/>
        <w:rPr>
          <w:sz w:val="20"/>
          <w:szCs w:val="20"/>
          <w:color w:val="auto"/>
        </w:rPr>
      </w:pPr>
    </w:p>
    <w:p>
      <w:pPr>
        <w:ind w:left="640" w:right="20" w:hanging="316"/>
        <w:spacing w:after="0" w:line="233" w:lineRule="auto"/>
        <w:tabs>
          <w:tab w:leader="none" w:pos="640" w:val="left"/>
        </w:tabs>
        <w:numPr>
          <w:ilvl w:val="0"/>
          <w:numId w:val="15"/>
        </w:numPr>
        <w:rPr>
          <w:rFonts w:ascii="Arial" w:cs="Arial" w:eastAsia="Arial" w:hAnsi="Arial"/>
          <w:sz w:val="15"/>
          <w:szCs w:val="15"/>
          <w:b w:val="1"/>
          <w:bCs w:val="1"/>
          <w:color w:val="2952A4"/>
        </w:rPr>
      </w:pPr>
      <w:r>
        <w:rPr>
          <w:rFonts w:ascii="Arial" w:cs="Arial" w:eastAsia="Arial" w:hAnsi="Arial"/>
          <w:sz w:val="15"/>
          <w:szCs w:val="15"/>
          <w:color w:val="231F20"/>
        </w:rPr>
        <w:t>A non-binding proposal to approve the compensation of our Named Executive Officers—see “Proposal No. 4: Advisory Vote on Compensation of Named Executive Officers (Say on Pay).”</w:t>
      </w:r>
    </w:p>
    <w:p>
      <w:pPr>
        <w:spacing w:after="0" w:line="140" w:lineRule="exact"/>
        <w:rPr>
          <w:sz w:val="20"/>
          <w:szCs w:val="20"/>
          <w:color w:val="auto"/>
        </w:rPr>
      </w:pPr>
    </w:p>
    <w:p>
      <w:pPr>
        <w:ind w:left="320" w:right="40"/>
        <w:spacing w:after="0" w:line="229" w:lineRule="auto"/>
        <w:rPr>
          <w:sz w:val="20"/>
          <w:szCs w:val="20"/>
          <w:color w:val="auto"/>
        </w:rPr>
      </w:pPr>
      <w:r>
        <w:rPr>
          <w:rFonts w:ascii="Arial" w:cs="Arial" w:eastAsia="Arial" w:hAnsi="Arial"/>
          <w:sz w:val="15"/>
          <w:szCs w:val="15"/>
          <w:color w:val="231F20"/>
        </w:rPr>
        <w:t>As discussed under “Compensation-Related Matters— Introduction,” our compensation model has been instrumental in creating a culture of loyal and motivated employees with an entrepreneurial spirit who are dedicated to the Company’s mission to use the power of science to invent medicines for people with serious diseases. As you consider voting on these proposals, please keep in mind the following:</w:t>
      </w:r>
    </w:p>
    <w:p>
      <w:pPr>
        <w:spacing w:after="0" w:line="141" w:lineRule="exact"/>
        <w:rPr>
          <w:sz w:val="20"/>
          <w:szCs w:val="20"/>
          <w:color w:val="auto"/>
        </w:rPr>
      </w:pPr>
    </w:p>
    <w:p>
      <w:pPr>
        <w:ind w:left="640" w:hanging="316"/>
        <w:spacing w:after="0" w:line="231" w:lineRule="auto"/>
        <w:tabs>
          <w:tab w:leader="none" w:pos="640" w:val="left"/>
        </w:tabs>
        <w:numPr>
          <w:ilvl w:val="0"/>
          <w:numId w:val="16"/>
        </w:numPr>
        <w:rPr>
          <w:rFonts w:ascii="Arial" w:cs="Arial" w:eastAsia="Arial" w:hAnsi="Arial"/>
          <w:sz w:val="15"/>
          <w:szCs w:val="15"/>
          <w:color w:val="2952A4"/>
        </w:rPr>
      </w:pPr>
      <w:r>
        <w:rPr>
          <w:rFonts w:ascii="Arial" w:cs="Arial" w:eastAsia="Arial" w:hAnsi="Arial"/>
          <w:sz w:val="15"/>
          <w:szCs w:val="15"/>
          <w:color w:val="231F20"/>
        </w:rPr>
        <w:t>Our equity compensation program supports all of our employees, not just our Named Executive Officers, with approximately 90% of recent annual equity grants awarded to employees other than our Named Executive Officers.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320" w:right="219" w:hanging="320"/>
        <w:spacing w:after="0" w:line="231" w:lineRule="auto"/>
        <w:tabs>
          <w:tab w:leader="none" w:pos="32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We granted performance-based restricted stock units to our CEO and CSO as a component of their 2019 annual equity awards. This and other carefully calibrated changes to our compensation program were based on investor feedback.</w:t>
      </w:r>
    </w:p>
    <w:p>
      <w:pPr>
        <w:spacing w:after="0" w:line="141" w:lineRule="exact"/>
        <w:rPr>
          <w:rFonts w:ascii="Arial" w:cs="Arial" w:eastAsia="Arial" w:hAnsi="Arial"/>
          <w:sz w:val="15"/>
          <w:szCs w:val="15"/>
          <w:color w:val="2952A4"/>
        </w:rPr>
      </w:pPr>
    </w:p>
    <w:p>
      <w:pPr>
        <w:jc w:val="both"/>
        <w:ind w:left="320" w:right="379" w:hanging="320"/>
        <w:spacing w:after="0" w:line="235" w:lineRule="auto"/>
        <w:tabs>
          <w:tab w:leader="none" w:pos="32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Our 2019 burn rate was at the lowest level in the last seven years due to specific steps we took to manage dilution from equity compensation.</w:t>
      </w:r>
    </w:p>
    <w:p>
      <w:pPr>
        <w:spacing w:after="0" w:line="141" w:lineRule="exact"/>
        <w:rPr>
          <w:rFonts w:ascii="Arial" w:cs="Arial" w:eastAsia="Arial" w:hAnsi="Arial"/>
          <w:sz w:val="15"/>
          <w:szCs w:val="15"/>
          <w:color w:val="2952A4"/>
        </w:rPr>
      </w:pPr>
    </w:p>
    <w:p>
      <w:pPr>
        <w:ind w:left="320" w:right="379" w:hanging="320"/>
        <w:spacing w:after="0" w:line="231" w:lineRule="auto"/>
        <w:tabs>
          <w:tab w:leader="none" w:pos="32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We are asking our shareholders to approve the same number of shares for equity grants that we requested previously and are committed to ensuring that shares available under our long-term incentive plan will be sufficient for at least three years.</w:t>
      </w:r>
    </w:p>
    <w:p>
      <w:pPr>
        <w:spacing w:after="0" w:line="141" w:lineRule="exact"/>
        <w:rPr>
          <w:rFonts w:ascii="Arial" w:cs="Arial" w:eastAsia="Arial" w:hAnsi="Arial"/>
          <w:sz w:val="15"/>
          <w:szCs w:val="15"/>
          <w:color w:val="2952A4"/>
        </w:rPr>
      </w:pPr>
    </w:p>
    <w:p>
      <w:pPr>
        <w:ind w:left="320" w:right="539" w:hanging="320"/>
        <w:spacing w:after="0" w:line="231" w:lineRule="auto"/>
        <w:tabs>
          <w:tab w:leader="none" w:pos="32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Our compensation model underpins our strategy of creating and advancing a high-quality, internally developed product pipeline, which delivered six important medicines and eight additional key indications for these products in the past decade.</w:t>
      </w:r>
    </w:p>
    <w:p>
      <w:pPr>
        <w:spacing w:after="0" w:line="142" w:lineRule="exact"/>
        <w:rPr>
          <w:sz w:val="20"/>
          <w:szCs w:val="20"/>
          <w:color w:val="auto"/>
        </w:rPr>
      </w:pPr>
    </w:p>
    <w:p>
      <w:pPr>
        <w:ind w:right="459"/>
        <w:spacing w:after="0" w:line="233" w:lineRule="auto"/>
        <w:rPr>
          <w:sz w:val="20"/>
          <w:szCs w:val="20"/>
          <w:color w:val="auto"/>
        </w:rPr>
      </w:pPr>
      <w:r>
        <w:rPr>
          <w:rFonts w:ascii="Arial" w:cs="Arial" w:eastAsia="Arial" w:hAnsi="Arial"/>
          <w:sz w:val="15"/>
          <w:szCs w:val="15"/>
          <w:color w:val="231F20"/>
        </w:rPr>
        <w:t>Your support on each of these proposals will help us continue to develop the product pipeline that drives our performance and to harness the power of science for the benefit of people with serious diseases.</w:t>
      </w:r>
    </w:p>
    <w:p>
      <w:pPr>
        <w:spacing w:after="0" w:line="846" w:lineRule="exact"/>
        <w:rPr>
          <w:sz w:val="20"/>
          <w:szCs w:val="20"/>
          <w:color w:val="auto"/>
        </w:rPr>
      </w:pPr>
    </w:p>
    <w:p>
      <w:pPr>
        <w:sectPr>
          <w:pgSz w:w="11900" w:h="16838" w:orient="portrait"/>
          <w:cols w:equalWidth="0" w:num="2">
            <w:col w:w="4420" w:space="440"/>
            <w:col w:w="4299"/>
          </w:cols>
          <w:pgMar w:left="1300" w:top="405" w:right="1440" w:bottom="1440" w:gutter="0" w:footer="0" w:header="0"/>
          <w:type w:val="continuous"/>
        </w:sectPr>
      </w:pPr>
    </w:p>
    <w:p>
      <w:pPr>
        <w:spacing w:after="0" w:line="67" w:lineRule="exact"/>
        <w:rPr>
          <w:sz w:val="20"/>
          <w:szCs w:val="20"/>
          <w:color w:val="auto"/>
        </w:rPr>
      </w:pPr>
    </w:p>
    <w:p>
      <w:pPr>
        <w:ind w:left="320" w:right="400"/>
        <w:spacing w:after="0" w:line="278" w:lineRule="auto"/>
        <w:rPr>
          <w:sz w:val="20"/>
          <w:szCs w:val="20"/>
          <w:color w:val="auto"/>
        </w:rPr>
      </w:pPr>
      <w:r>
        <w:rPr>
          <w:rFonts w:ascii="Arial" w:cs="Arial" w:eastAsia="Arial" w:hAnsi="Arial"/>
          <w:sz w:val="29"/>
          <w:szCs w:val="29"/>
          <w:b w:val="1"/>
          <w:bCs w:val="1"/>
          <w:color w:val="C04C57"/>
        </w:rPr>
        <w:t>WE SEEK YOUR INPUT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-35560</wp:posOffset>
            </wp:positionV>
            <wp:extent cx="260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5" w:lineRule="exact"/>
        <w:rPr>
          <w:sz w:val="20"/>
          <w:szCs w:val="20"/>
          <w:color w:val="auto"/>
        </w:rPr>
      </w:pPr>
    </w:p>
    <w:p>
      <w:pPr>
        <w:ind w:left="320"/>
        <w:spacing w:after="0" w:line="227" w:lineRule="auto"/>
        <w:rPr>
          <w:sz w:val="20"/>
          <w:szCs w:val="20"/>
          <w:color w:val="auto"/>
        </w:rPr>
      </w:pPr>
      <w:r>
        <w:rPr>
          <w:rFonts w:ascii="Arial" w:cs="Arial" w:eastAsia="Arial" w:hAnsi="Arial"/>
          <w:sz w:val="15"/>
          <w:szCs w:val="15"/>
          <w:color w:val="231F20"/>
        </w:rPr>
        <w:t>The composition of our board of directors reflects our core principle of “science first”: over half of our directors are members of the National Academy of Sciences, and our board members include two Nobel laureates and holders of many scientific awards. By having our board of directors heavily populated with top scientific talent, we signal to our shareholders and employees our seriousness about the Company’s dedication to science and its core competencies and primary value driver. Our board also includes individuals with experience building shareholder value through all stages of corporate development, as well as governance, financial, and policy expertise. Five of our board’s current 12 members are diverse by gender, race, or national origin.</w:t>
      </w:r>
    </w:p>
    <w:p>
      <w:pPr>
        <w:spacing w:after="0" w:line="147" w:lineRule="exact"/>
        <w:rPr>
          <w:sz w:val="20"/>
          <w:szCs w:val="20"/>
          <w:color w:val="auto"/>
        </w:rPr>
      </w:pPr>
    </w:p>
    <w:p>
      <w:pPr>
        <w:ind w:left="320" w:right="280"/>
        <w:spacing w:after="0" w:line="242" w:lineRule="auto"/>
        <w:rPr>
          <w:sz w:val="20"/>
          <w:szCs w:val="20"/>
          <w:color w:val="auto"/>
        </w:rPr>
      </w:pPr>
      <w:r>
        <w:rPr>
          <w:rFonts w:ascii="Arial" w:cs="Arial" w:eastAsia="Arial" w:hAnsi="Arial"/>
          <w:sz w:val="15"/>
          <w:szCs w:val="15"/>
          <w:color w:val="231F20"/>
        </w:rPr>
        <w:t>Please refer to “Proposal No. 1: Election of Directors” for additional information.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19"/>
        <w:spacing w:after="0" w:line="278" w:lineRule="auto"/>
        <w:rPr>
          <w:sz w:val="20"/>
          <w:szCs w:val="20"/>
          <w:color w:val="auto"/>
        </w:rPr>
      </w:pPr>
      <w:r>
        <w:rPr>
          <w:rFonts w:ascii="Arial" w:cs="Arial" w:eastAsia="Arial" w:hAnsi="Arial"/>
          <w:sz w:val="29"/>
          <w:szCs w:val="29"/>
          <w:b w:val="1"/>
          <w:bCs w:val="1"/>
          <w:color w:val="C04C57"/>
        </w:rPr>
        <w:t>WE SEEK RATIFICATION OF OUR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606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5" w:lineRule="exact"/>
        <w:rPr>
          <w:sz w:val="20"/>
          <w:szCs w:val="20"/>
          <w:color w:val="auto"/>
        </w:rPr>
      </w:pPr>
    </w:p>
    <w:p>
      <w:pPr>
        <w:ind w:right="259"/>
        <w:spacing w:after="0" w:line="228" w:lineRule="auto"/>
        <w:rPr>
          <w:sz w:val="20"/>
          <w:szCs w:val="20"/>
          <w:color w:val="auto"/>
        </w:rPr>
      </w:pPr>
      <w:r>
        <w:rPr>
          <w:rFonts w:ascii="Arial" w:cs="Arial" w:eastAsia="Arial" w:hAnsi="Arial"/>
          <w:sz w:val="15"/>
          <w:szCs w:val="15"/>
          <w:color w:val="231F20"/>
        </w:rPr>
        <w:t>We pay close attention to the requirements applicable to us as a publicly traded company, including those relating to the audit of Regeneron’s financial statements by our independent registered public accounting firm, PricewaterhouseCoopers LLP. In this proxy statement, we are asking you to ratify the appointment of PricewaterhouseCoopers LLP as our independent registered public accounting firm for the fiscal year ending December 31, 2020.</w:t>
      </w:r>
    </w:p>
    <w:p>
      <w:pPr>
        <w:spacing w:after="0" w:line="145" w:lineRule="exact"/>
        <w:rPr>
          <w:sz w:val="20"/>
          <w:szCs w:val="20"/>
          <w:color w:val="auto"/>
        </w:rPr>
      </w:pPr>
    </w:p>
    <w:p>
      <w:pPr>
        <w:ind w:right="279"/>
        <w:spacing w:after="0" w:line="235" w:lineRule="auto"/>
        <w:rPr>
          <w:sz w:val="20"/>
          <w:szCs w:val="20"/>
          <w:color w:val="auto"/>
        </w:rPr>
      </w:pPr>
      <w:r>
        <w:rPr>
          <w:rFonts w:ascii="Arial" w:cs="Arial" w:eastAsia="Arial" w:hAnsi="Arial"/>
          <w:sz w:val="15"/>
          <w:szCs w:val="15"/>
          <w:color w:val="231F20"/>
        </w:rPr>
        <w:t>Please refer to “Proposal No. 2: Ratification of Appointment of Independent Registered Public Accounting Firm” for additional information.</w:t>
      </w:r>
    </w:p>
    <w:p>
      <w:pPr>
        <w:spacing w:after="0" w:line="671" w:lineRule="exact"/>
        <w:rPr>
          <w:sz w:val="20"/>
          <w:szCs w:val="20"/>
          <w:color w:val="auto"/>
        </w:rPr>
      </w:pPr>
    </w:p>
    <w:p>
      <w:pPr>
        <w:sectPr>
          <w:pgSz w:w="11900" w:h="16838" w:orient="portrait"/>
          <w:cols w:equalWidth="0" w:num="2">
            <w:col w:w="4420" w:space="440"/>
            <w:col w:w="4299"/>
          </w:cols>
          <w:pgMar w:left="1300" w:top="405" w:right="1440" w:bottom="1440" w:gutter="0" w:footer="0" w:header="0"/>
          <w:type w:val="continuous"/>
        </w:sectPr>
      </w:pPr>
    </w:p>
    <w:p>
      <w:pPr>
        <w:spacing w:after="0"/>
        <w:rPr>
          <w:sz w:val="20"/>
          <w:szCs w:val="20"/>
          <w:color w:val="auto"/>
        </w:rPr>
      </w:pPr>
      <w:r>
        <w:rPr>
          <w:rFonts w:ascii="Arial" w:cs="Arial" w:eastAsia="Arial" w:hAnsi="Arial"/>
          <w:sz w:val="14"/>
          <w:szCs w:val="14"/>
          <w:b w:val="1"/>
          <w:bCs w:val="1"/>
          <w:color w:val="00A5EC"/>
        </w:rPr>
        <w:t xml:space="preserve">2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type w:val="continuous"/>
        </w:sectPr>
      </w:pPr>
    </w:p>
    <w:bookmarkStart w:id="13" w:name="page14"/>
    <w:bookmarkEnd w:id="13"/>
    <w:p>
      <w:pPr>
        <w:ind w:left="4900"/>
        <w:spacing w:after="0"/>
        <w:rPr>
          <w:sz w:val="20"/>
          <w:szCs w:val="20"/>
          <w:color w:val="auto"/>
        </w:rPr>
      </w:pPr>
      <w:r>
        <w:rPr>
          <w:rFonts w:ascii="Arial" w:cs="Arial" w:eastAsia="Arial" w:hAnsi="Arial"/>
          <w:sz w:val="16"/>
          <w:szCs w:val="16"/>
          <w:b w:val="1"/>
          <w:bCs w:val="1"/>
          <w:color w:val="2952A4"/>
        </w:rPr>
        <w:t xml:space="preserve">USERS’ GUIDE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38" w:lineRule="exact"/>
        <w:rPr>
          <w:sz w:val="20"/>
          <w:szCs w:val="20"/>
          <w:color w:val="auto"/>
        </w:rPr>
      </w:pPr>
    </w:p>
    <w:p>
      <w:pPr>
        <w:ind w:left="1300" w:right="2060"/>
        <w:spacing w:after="0" w:line="274" w:lineRule="auto"/>
        <w:rPr>
          <w:sz w:val="20"/>
          <w:szCs w:val="20"/>
          <w:color w:val="auto"/>
        </w:rPr>
      </w:pPr>
      <w:r>
        <w:rPr>
          <w:rFonts w:ascii="Arial" w:cs="Arial" w:eastAsia="Arial" w:hAnsi="Arial"/>
          <w:sz w:val="64"/>
          <w:szCs w:val="64"/>
          <w:b w:val="1"/>
          <w:bCs w:val="1"/>
          <w:color w:val="2952A4"/>
        </w:rPr>
        <w:t>GENERAL INFORMATION ABOUT THE MEETING</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04C57"/>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952A4"/>
        </w:rPr>
        <w:t>When is the Annual Meeting?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5"/>
          <w:szCs w:val="15"/>
          <w:color w:val="231F20"/>
        </w:rPr>
        <w:t>June 12, 2020</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952A4"/>
        </w:rPr>
        <w:t>What time is the Annual Meeting?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5"/>
          <w:szCs w:val="15"/>
          <w:color w:val="231F20"/>
        </w:rPr>
        <w:t>10:30 a.m., ET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952A4"/>
        </w:rPr>
        <w:t>Where is the Annual Meeting?</w:t>
      </w:r>
    </w:p>
    <w:p>
      <w:pPr>
        <w:spacing w:after="0" w:line="159" w:lineRule="exact"/>
        <w:rPr>
          <w:sz w:val="20"/>
          <w:szCs w:val="20"/>
          <w:color w:val="auto"/>
        </w:rPr>
      </w:pPr>
    </w:p>
    <w:p>
      <w:pPr>
        <w:ind w:left="1300" w:right="80"/>
        <w:spacing w:after="0" w:line="230" w:lineRule="auto"/>
        <w:rPr>
          <w:sz w:val="20"/>
          <w:szCs w:val="20"/>
          <w:color w:val="auto"/>
        </w:rPr>
      </w:pPr>
      <w:r>
        <w:rPr>
          <w:rFonts w:ascii="Arial" w:cs="Arial" w:eastAsia="Arial" w:hAnsi="Arial"/>
          <w:sz w:val="15"/>
          <w:szCs w:val="15"/>
          <w:color w:val="231F20"/>
        </w:rPr>
        <w:t xml:space="preserve">Virtually via the Internet at </w:t>
      </w:r>
      <w:r>
        <w:rPr>
          <w:rFonts w:ascii="Arial" w:cs="Arial" w:eastAsia="Arial" w:hAnsi="Arial"/>
          <w:sz w:val="15"/>
          <w:szCs w:val="15"/>
          <w:b w:val="1"/>
          <w:bCs w:val="1"/>
          <w:color w:val="231F20"/>
        </w:rPr>
        <w:t>www.</w:t>
      </w:r>
      <w:r>
        <w:rPr>
          <w:rFonts w:ascii="Arial" w:cs="Arial" w:eastAsia="Arial" w:hAnsi="Arial"/>
          <w:sz w:val="15"/>
          <w:szCs w:val="15"/>
          <w:color w:val="231F20"/>
        </w:rPr>
        <w:t xml:space="preserve"> </w:t>
      </w:r>
      <w:r>
        <w:rPr>
          <w:rFonts w:ascii="Arial" w:cs="Arial" w:eastAsia="Arial" w:hAnsi="Arial"/>
          <w:sz w:val="15"/>
          <w:szCs w:val="15"/>
          <w:b w:val="1"/>
          <w:bCs w:val="1"/>
          <w:color w:val="231F20"/>
        </w:rPr>
        <w:t xml:space="preserve">virtualshareholdermeeting.com/REGN2020 </w:t>
      </w:r>
      <w:r>
        <w:rPr>
          <w:rFonts w:ascii="Arial" w:cs="Arial" w:eastAsia="Arial" w:hAnsi="Arial"/>
          <w:sz w:val="15"/>
          <w:szCs w:val="15"/>
          <w:color w:val="231F20"/>
        </w:rPr>
        <w:t>and at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Westchester Marriott Hotel, 670 White Plains Road, Tarrytown, New York 10591. If the legal requirement to include an in-person option is waived by relevant governmental action, we may opt to hold the Annual Meeting as a virtual-only meeting. We may also change the venue for the in-person meeting option if required by the circumstances. In any such case, we would notify our shareholders in advance on our website and by issuing a press release and filing it as additional proxy material with the SEC.</w:t>
      </w:r>
    </w:p>
    <w:p>
      <w:pPr>
        <w:spacing w:after="0" w:line="121" w:lineRule="exact"/>
        <w:rPr>
          <w:sz w:val="20"/>
          <w:szCs w:val="20"/>
          <w:color w:val="auto"/>
        </w:rPr>
      </w:pPr>
    </w:p>
    <w:p>
      <w:pPr>
        <w:ind w:left="1300" w:right="500"/>
        <w:spacing w:after="0" w:line="271" w:lineRule="auto"/>
        <w:rPr>
          <w:sz w:val="20"/>
          <w:szCs w:val="20"/>
          <w:color w:val="auto"/>
        </w:rPr>
      </w:pPr>
      <w:r>
        <w:rPr>
          <w:rFonts w:ascii="Arial" w:cs="Arial" w:eastAsia="Arial" w:hAnsi="Arial"/>
          <w:sz w:val="18"/>
          <w:szCs w:val="18"/>
          <w:b w:val="1"/>
          <w:bCs w:val="1"/>
          <w:color w:val="2952A4"/>
        </w:rPr>
        <w:t>What form of identification do I need to be admitted to the meeting?</w:t>
      </w:r>
    </w:p>
    <w:p>
      <w:pPr>
        <w:spacing w:after="0" w:line="101" w:lineRule="exact"/>
        <w:rPr>
          <w:sz w:val="20"/>
          <w:szCs w:val="20"/>
          <w:color w:val="auto"/>
        </w:rPr>
      </w:pPr>
    </w:p>
    <w:p>
      <w:pPr>
        <w:ind w:left="1300"/>
        <w:spacing w:after="0" w:line="231" w:lineRule="auto"/>
        <w:rPr>
          <w:sz w:val="20"/>
          <w:szCs w:val="20"/>
          <w:color w:val="auto"/>
        </w:rPr>
      </w:pPr>
      <w:r>
        <w:rPr>
          <w:rFonts w:ascii="Arial" w:cs="Arial" w:eastAsia="Arial" w:hAnsi="Arial"/>
          <w:sz w:val="15"/>
          <w:szCs w:val="15"/>
          <w:b w:val="1"/>
          <w:bCs w:val="1"/>
          <w:color w:val="231F20"/>
        </w:rPr>
        <w:t xml:space="preserve">Via the Internet. </w:t>
      </w:r>
      <w:r>
        <w:rPr>
          <w:rFonts w:ascii="Arial" w:cs="Arial" w:eastAsia="Arial" w:hAnsi="Arial"/>
          <w:sz w:val="15"/>
          <w:szCs w:val="15"/>
          <w:color w:val="231F20"/>
        </w:rPr>
        <w:t>Instructions on how to attend and</w:t>
      </w:r>
      <w:r>
        <w:rPr>
          <w:rFonts w:ascii="Arial" w:cs="Arial" w:eastAsia="Arial" w:hAnsi="Arial"/>
          <w:sz w:val="15"/>
          <w:szCs w:val="15"/>
          <w:b w:val="1"/>
          <w:bCs w:val="1"/>
          <w:color w:val="231F20"/>
        </w:rPr>
        <w:t xml:space="preserve"> </w:t>
      </w:r>
      <w:r>
        <w:rPr>
          <w:rFonts w:ascii="Arial" w:cs="Arial" w:eastAsia="Arial" w:hAnsi="Arial"/>
          <w:sz w:val="15"/>
          <w:szCs w:val="15"/>
          <w:color w:val="231F20"/>
        </w:rPr>
        <w:t xml:space="preserve">participate via the Internet, including how to demonstrate proof of stock ownership, are posted at </w:t>
      </w:r>
      <w:r>
        <w:rPr>
          <w:rFonts w:ascii="Arial" w:cs="Arial" w:eastAsia="Arial" w:hAnsi="Arial"/>
          <w:sz w:val="15"/>
          <w:szCs w:val="15"/>
          <w:b w:val="1"/>
          <w:bCs w:val="1"/>
          <w:color w:val="231F20"/>
        </w:rPr>
        <w:t xml:space="preserve">www.virtualshareholdermeeting.com/REGN2020. </w:t>
      </w:r>
      <w:r>
        <w:rPr>
          <w:rFonts w:ascii="Arial" w:cs="Arial" w:eastAsia="Arial" w:hAnsi="Arial"/>
          <w:sz w:val="15"/>
          <w:szCs w:val="15"/>
          <w:color w:val="231F20"/>
        </w:rPr>
        <w:t>To vote</w:t>
      </w:r>
      <w:r>
        <w:rPr>
          <w:rFonts w:ascii="Arial" w:cs="Arial" w:eastAsia="Arial" w:hAnsi="Arial"/>
          <w:sz w:val="15"/>
          <w:szCs w:val="15"/>
          <w:b w:val="1"/>
          <w:bCs w:val="1"/>
          <w:color w:val="231F20"/>
        </w:rPr>
        <w:t xml:space="preserve"> </w:t>
      </w:r>
      <w:r>
        <w:rPr>
          <w:rFonts w:ascii="Arial" w:cs="Arial" w:eastAsia="Arial" w:hAnsi="Arial"/>
          <w:sz w:val="15"/>
          <w:szCs w:val="15"/>
          <w:color w:val="231F20"/>
        </w:rPr>
        <w:t>during the meeting, you will need the 16-digit control number included on the Notice of Internet Availability of Proxy Materials (the “Notice”) or, if you received a paper copy of the proxy materials, the proxy card or voting instruction form you received.</w:t>
      </w:r>
    </w:p>
    <w:p>
      <w:pPr>
        <w:spacing w:after="0" w:line="126" w:lineRule="exact"/>
        <w:rPr>
          <w:sz w:val="20"/>
          <w:szCs w:val="20"/>
          <w:color w:val="auto"/>
        </w:rPr>
      </w:pPr>
    </w:p>
    <w:p>
      <w:pPr>
        <w:ind w:left="1300" w:right="120"/>
        <w:spacing w:after="0" w:line="267" w:lineRule="auto"/>
        <w:rPr>
          <w:sz w:val="20"/>
          <w:szCs w:val="20"/>
          <w:color w:val="auto"/>
        </w:rPr>
      </w:pPr>
      <w:r>
        <w:rPr>
          <w:rFonts w:ascii="Arial" w:cs="Arial" w:eastAsia="Arial" w:hAnsi="Arial"/>
          <w:sz w:val="15"/>
          <w:szCs w:val="15"/>
          <w:b w:val="1"/>
          <w:bCs w:val="1"/>
          <w:color w:val="231F20"/>
        </w:rPr>
        <w:t xml:space="preserve">In person. </w:t>
      </w:r>
      <w:r>
        <w:rPr>
          <w:rFonts w:ascii="Arial" w:cs="Arial" w:eastAsia="Arial" w:hAnsi="Arial"/>
          <w:sz w:val="15"/>
          <w:szCs w:val="15"/>
          <w:color w:val="231F20"/>
        </w:rPr>
        <w:t>You will be asked to present valid, government-issued photo identification, such as a driver’s license.</w:t>
      </w:r>
    </w:p>
    <w:p>
      <w:pPr>
        <w:spacing w:after="0" w:line="101" w:lineRule="exact"/>
        <w:rPr>
          <w:sz w:val="20"/>
          <w:szCs w:val="20"/>
          <w:color w:val="auto"/>
        </w:rPr>
      </w:pPr>
    </w:p>
    <w:p>
      <w:pPr>
        <w:ind w:left="1300" w:right="380"/>
        <w:spacing w:after="0" w:line="271" w:lineRule="auto"/>
        <w:rPr>
          <w:sz w:val="20"/>
          <w:szCs w:val="20"/>
          <w:color w:val="auto"/>
        </w:rPr>
      </w:pPr>
      <w:r>
        <w:rPr>
          <w:rFonts w:ascii="Arial" w:cs="Arial" w:eastAsia="Arial" w:hAnsi="Arial"/>
          <w:sz w:val="18"/>
          <w:szCs w:val="18"/>
          <w:b w:val="1"/>
          <w:bCs w:val="1"/>
          <w:color w:val="2952A4"/>
        </w:rPr>
        <w:t>Where can I find directions to the in-person Annual Meeting?</w:t>
      </w:r>
    </w:p>
    <w:p>
      <w:pPr>
        <w:spacing w:after="0" w:line="119" w:lineRule="exact"/>
        <w:rPr>
          <w:sz w:val="20"/>
          <w:szCs w:val="20"/>
          <w:color w:val="auto"/>
        </w:rPr>
      </w:pPr>
    </w:p>
    <w:p>
      <w:pPr>
        <w:ind w:left="1300" w:right="220"/>
        <w:spacing w:after="0" w:line="231" w:lineRule="auto"/>
        <w:rPr>
          <w:sz w:val="20"/>
          <w:szCs w:val="20"/>
          <w:color w:val="auto"/>
        </w:rPr>
      </w:pPr>
      <w:r>
        <w:rPr>
          <w:rFonts w:ascii="Arial" w:cs="Arial" w:eastAsia="Arial" w:hAnsi="Arial"/>
          <w:sz w:val="15"/>
          <w:szCs w:val="15"/>
          <w:color w:val="231F20"/>
        </w:rPr>
        <w:t xml:space="preserve">Directions to this location are available on our website at </w:t>
      </w:r>
      <w:r>
        <w:rPr>
          <w:rFonts w:ascii="Arial" w:cs="Arial" w:eastAsia="Arial" w:hAnsi="Arial"/>
          <w:sz w:val="15"/>
          <w:szCs w:val="15"/>
          <w:b w:val="1"/>
          <w:bCs w:val="1"/>
          <w:color w:val="231F20"/>
        </w:rPr>
        <w:t xml:space="preserve">http://newsroom.regeneron.com. </w:t>
      </w:r>
      <w:r>
        <w:rPr>
          <w:rFonts w:ascii="Arial" w:cs="Arial" w:eastAsia="Arial" w:hAnsi="Arial"/>
          <w:sz w:val="15"/>
          <w:szCs w:val="15"/>
          <w:color w:val="231F20"/>
        </w:rPr>
        <w:t>In-person attendance</w:t>
      </w:r>
      <w:r>
        <w:rPr>
          <w:rFonts w:ascii="Arial" w:cs="Arial" w:eastAsia="Arial" w:hAnsi="Arial"/>
          <w:sz w:val="15"/>
          <w:szCs w:val="15"/>
          <w:b w:val="1"/>
          <w:bCs w:val="1"/>
          <w:color w:val="231F20"/>
        </w:rPr>
        <w:t xml:space="preserve"> </w:t>
      </w:r>
      <w:r>
        <w:rPr>
          <w:rFonts w:ascii="Arial" w:cs="Arial" w:eastAsia="Arial" w:hAnsi="Arial"/>
          <w:sz w:val="15"/>
          <w:szCs w:val="15"/>
          <w:color w:val="231F20"/>
        </w:rPr>
        <w:t>will be subject to any government-imposed limitations on public gatherings then in effect. As noted above, under certain circumstances we may opt to hold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1300"/>
        <w:spacing w:after="0" w:line="242" w:lineRule="auto"/>
        <w:rPr>
          <w:sz w:val="20"/>
          <w:szCs w:val="20"/>
          <w:color w:val="auto"/>
        </w:rPr>
      </w:pPr>
      <w:r>
        <w:rPr>
          <w:rFonts w:ascii="Arial" w:cs="Arial" w:eastAsia="Arial" w:hAnsi="Arial"/>
          <w:sz w:val="15"/>
          <w:szCs w:val="15"/>
          <w:color w:val="231F20"/>
        </w:rPr>
        <w:t>the Annual Meeting as a virtual-only meeting. Please refer to our website for the most up-to-date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2952A4"/>
        </w:rPr>
        <w:t>Can I vote at the Annual Meeting?</w:t>
      </w:r>
    </w:p>
    <w:p>
      <w:pPr>
        <w:spacing w:after="0" w:line="177" w:lineRule="exact"/>
        <w:rPr>
          <w:sz w:val="20"/>
          <w:szCs w:val="20"/>
          <w:color w:val="auto"/>
        </w:rPr>
      </w:pPr>
    </w:p>
    <w:p>
      <w:pPr>
        <w:ind w:right="1320"/>
        <w:spacing w:after="0" w:line="228" w:lineRule="auto"/>
        <w:rPr>
          <w:sz w:val="20"/>
          <w:szCs w:val="20"/>
          <w:color w:val="auto"/>
        </w:rPr>
      </w:pPr>
      <w:r>
        <w:rPr>
          <w:rFonts w:ascii="Arial" w:cs="Arial" w:eastAsia="Arial" w:hAnsi="Arial"/>
          <w:sz w:val="15"/>
          <w:szCs w:val="15"/>
          <w:color w:val="231F20"/>
        </w:rPr>
        <w:t>Only shareholders of record at the close of business on the record date, April 14, 2020, are entitled to vote at the Annual Meeting. As of April 14, 2020, 110,673,311 shares of the Company’s common stock, par value $0.001 per share (“common stock”), and 1,848,970 shares of Class A stock, par value $0.001 per share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952A4"/>
        </w:rPr>
        <w:t>What is on the agenda for the meeting?</w:t>
      </w:r>
    </w:p>
    <w:p>
      <w:pPr>
        <w:spacing w:after="0" w:line="177" w:lineRule="exact"/>
        <w:rPr>
          <w:sz w:val="20"/>
          <w:szCs w:val="20"/>
          <w:color w:val="auto"/>
        </w:rPr>
      </w:pPr>
    </w:p>
    <w:p>
      <w:pPr>
        <w:ind w:left="320" w:right="1440" w:hanging="320"/>
        <w:spacing w:after="0" w:line="242" w:lineRule="auto"/>
        <w:tabs>
          <w:tab w:leader="none" w:pos="320" w:val="left"/>
        </w:tabs>
        <w:numPr>
          <w:ilvl w:val="0"/>
          <w:numId w:val="18"/>
        </w:numPr>
        <w:rPr>
          <w:rFonts w:ascii="Arial" w:cs="Arial" w:eastAsia="Arial" w:hAnsi="Arial"/>
          <w:sz w:val="15"/>
          <w:szCs w:val="15"/>
          <w:b w:val="1"/>
          <w:bCs w:val="1"/>
          <w:color w:val="2952A4"/>
        </w:rPr>
      </w:pPr>
      <w:r>
        <w:rPr>
          <w:rFonts w:ascii="Arial" w:cs="Arial" w:eastAsia="Arial" w:hAnsi="Arial"/>
          <w:sz w:val="15"/>
          <w:szCs w:val="15"/>
          <w:color w:val="231F20"/>
        </w:rPr>
        <w:t>Election of four Class II directors for a three-year term and one Class III director for a one-year term</w:t>
      </w:r>
    </w:p>
    <w:p>
      <w:pPr>
        <w:spacing w:after="0" w:line="138" w:lineRule="exact"/>
        <w:rPr>
          <w:sz w:val="20"/>
          <w:szCs w:val="20"/>
          <w:color w:val="auto"/>
        </w:rPr>
      </w:pPr>
    </w:p>
    <w:p>
      <w:pPr>
        <w:ind w:left="320" w:right="1520" w:hanging="320"/>
        <w:spacing w:after="0" w:line="233" w:lineRule="auto"/>
        <w:tabs>
          <w:tab w:leader="none" w:pos="320" w:val="left"/>
        </w:tabs>
        <w:numPr>
          <w:ilvl w:val="0"/>
          <w:numId w:val="19"/>
        </w:numPr>
        <w:rPr>
          <w:rFonts w:ascii="Arial" w:cs="Arial" w:eastAsia="Arial" w:hAnsi="Arial"/>
          <w:sz w:val="15"/>
          <w:szCs w:val="15"/>
          <w:b w:val="1"/>
          <w:bCs w:val="1"/>
          <w:color w:val="2952A4"/>
        </w:rPr>
      </w:pPr>
      <w:r>
        <w:rPr>
          <w:rFonts w:ascii="Arial" w:cs="Arial" w:eastAsia="Arial" w:hAnsi="Arial"/>
          <w:sz w:val="15"/>
          <w:szCs w:val="15"/>
          <w:color w:val="231F20"/>
        </w:rPr>
        <w:t>Ratification of the appointment of PricewaterhouseCoopers LLP as the Company’s independent registered public accounting firm for the fiscal year ending December 31, 2020</w:t>
      </w:r>
    </w:p>
    <w:p>
      <w:pPr>
        <w:spacing w:after="0" w:line="140" w:lineRule="exact"/>
        <w:rPr>
          <w:sz w:val="20"/>
          <w:szCs w:val="20"/>
          <w:color w:val="auto"/>
        </w:rPr>
      </w:pPr>
    </w:p>
    <w:p>
      <w:pPr>
        <w:ind w:left="320" w:right="1660" w:hanging="320"/>
        <w:spacing w:after="0" w:line="235" w:lineRule="auto"/>
        <w:tabs>
          <w:tab w:leader="none" w:pos="320" w:val="left"/>
        </w:tabs>
        <w:numPr>
          <w:ilvl w:val="0"/>
          <w:numId w:val="20"/>
        </w:numPr>
        <w:rPr>
          <w:rFonts w:ascii="Arial" w:cs="Arial" w:eastAsia="Arial" w:hAnsi="Arial"/>
          <w:sz w:val="15"/>
          <w:szCs w:val="15"/>
          <w:b w:val="1"/>
          <w:bCs w:val="1"/>
          <w:color w:val="2952A4"/>
        </w:rPr>
      </w:pPr>
      <w:r>
        <w:rPr>
          <w:rFonts w:ascii="Arial" w:cs="Arial" w:eastAsia="Arial" w:hAnsi="Arial"/>
          <w:sz w:val="15"/>
          <w:szCs w:val="15"/>
          <w:color w:val="231F20"/>
        </w:rPr>
        <w:t>Approval of the Second Amended and Restated Regeneron Pharmaceuticals, Inc. 2014 Long-Term Incentive Plan</w:t>
      </w:r>
    </w:p>
    <w:p>
      <w:pPr>
        <w:spacing w:after="0" w:line="141" w:lineRule="exact"/>
        <w:rPr>
          <w:sz w:val="20"/>
          <w:szCs w:val="20"/>
          <w:color w:val="auto"/>
        </w:rPr>
      </w:pPr>
    </w:p>
    <w:p>
      <w:pPr>
        <w:ind w:left="320" w:right="1460" w:hanging="320"/>
        <w:spacing w:after="0" w:line="235" w:lineRule="auto"/>
        <w:tabs>
          <w:tab w:leader="none" w:pos="320" w:val="left"/>
        </w:tabs>
        <w:numPr>
          <w:ilvl w:val="0"/>
          <w:numId w:val="21"/>
        </w:numPr>
        <w:rPr>
          <w:rFonts w:ascii="Arial" w:cs="Arial" w:eastAsia="Arial" w:hAnsi="Arial"/>
          <w:sz w:val="15"/>
          <w:szCs w:val="15"/>
          <w:b w:val="1"/>
          <w:bCs w:val="1"/>
          <w:color w:val="2952A4"/>
        </w:rPr>
      </w:pPr>
      <w:r>
        <w:rPr>
          <w:rFonts w:ascii="Arial" w:cs="Arial" w:eastAsia="Arial" w:hAnsi="Arial"/>
          <w:sz w:val="15"/>
          <w:szCs w:val="15"/>
          <w:color w:val="231F20"/>
        </w:rPr>
        <w:t>Advisory vote to approve the compensation of the Company’s Named Executive Officers as disclosed in these proxy materials (say on pay)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952A4"/>
        </w:rPr>
        <w:t>Can I ask a question at the Annual Meeting?</w:t>
      </w:r>
    </w:p>
    <w:p>
      <w:pPr>
        <w:spacing w:after="0" w:line="159" w:lineRule="exact"/>
        <w:rPr>
          <w:sz w:val="20"/>
          <w:szCs w:val="20"/>
          <w:color w:val="auto"/>
        </w:rPr>
      </w:pPr>
    </w:p>
    <w:p>
      <w:pPr>
        <w:ind w:right="1380"/>
        <w:spacing w:after="0" w:line="234" w:lineRule="auto"/>
        <w:rPr>
          <w:sz w:val="20"/>
          <w:szCs w:val="20"/>
          <w:color w:val="auto"/>
        </w:rPr>
      </w:pPr>
      <w:r>
        <w:rPr>
          <w:rFonts w:ascii="Arial" w:cs="Arial" w:eastAsia="Arial" w:hAnsi="Arial"/>
          <w:sz w:val="15"/>
          <w:szCs w:val="15"/>
          <w:b w:val="1"/>
          <w:bCs w:val="1"/>
          <w:color w:val="231F20"/>
        </w:rPr>
        <w:t xml:space="preserve">Via the Internet. </w:t>
      </w:r>
      <w:r>
        <w:rPr>
          <w:rFonts w:ascii="Arial" w:cs="Arial" w:eastAsia="Arial" w:hAnsi="Arial"/>
          <w:sz w:val="15"/>
          <w:szCs w:val="15"/>
          <w:color w:val="231F20"/>
        </w:rPr>
        <w:t>Shareholders who use the 16-digit control</w:t>
      </w:r>
      <w:r>
        <w:rPr>
          <w:rFonts w:ascii="Arial" w:cs="Arial" w:eastAsia="Arial" w:hAnsi="Arial"/>
          <w:sz w:val="15"/>
          <w:szCs w:val="15"/>
          <w:b w:val="1"/>
          <w:bCs w:val="1"/>
          <w:color w:val="231F20"/>
        </w:rPr>
        <w:t xml:space="preserve"> </w:t>
      </w:r>
      <w:r>
        <w:rPr>
          <w:rFonts w:ascii="Arial" w:cs="Arial" w:eastAsia="Arial" w:hAnsi="Arial"/>
          <w:sz w:val="15"/>
          <w:szCs w:val="15"/>
          <w:color w:val="231F20"/>
        </w:rPr>
        <w:t>number that was furnished to them (either on the Notice or, if you received a paper copy of the proxy materials, the proxy card or voting instruction form you received) to log on to the meeting will be able to submit questions during the meeting.</w:t>
      </w:r>
    </w:p>
    <w:p>
      <w:pPr>
        <w:spacing w:after="0" w:line="125" w:lineRule="exact"/>
        <w:rPr>
          <w:sz w:val="20"/>
          <w:szCs w:val="20"/>
          <w:color w:val="auto"/>
        </w:rPr>
      </w:pPr>
    </w:p>
    <w:p>
      <w:pPr>
        <w:ind w:right="1440"/>
        <w:spacing w:after="0" w:line="246" w:lineRule="auto"/>
        <w:rPr>
          <w:sz w:val="20"/>
          <w:szCs w:val="20"/>
          <w:color w:val="auto"/>
        </w:rPr>
      </w:pPr>
      <w:r>
        <w:rPr>
          <w:rFonts w:ascii="Arial" w:cs="Arial" w:eastAsia="Arial" w:hAnsi="Arial"/>
          <w:sz w:val="15"/>
          <w:szCs w:val="15"/>
          <w:b w:val="1"/>
          <w:bCs w:val="1"/>
          <w:color w:val="231F20"/>
        </w:rPr>
        <w:t xml:space="preserve">In person. </w:t>
      </w:r>
      <w:r>
        <w:rPr>
          <w:rFonts w:ascii="Arial" w:cs="Arial" w:eastAsia="Arial" w:hAnsi="Arial"/>
          <w:sz w:val="15"/>
          <w:szCs w:val="15"/>
          <w:color w:val="231F20"/>
        </w:rPr>
        <w:t>Attendees of the meeting will be given an</w:t>
      </w:r>
      <w:r>
        <w:rPr>
          <w:rFonts w:ascii="Arial" w:cs="Arial" w:eastAsia="Arial" w:hAnsi="Arial"/>
          <w:sz w:val="15"/>
          <w:szCs w:val="15"/>
          <w:b w:val="1"/>
          <w:bCs w:val="1"/>
          <w:color w:val="231F20"/>
        </w:rPr>
        <w:t xml:space="preserve"> </w:t>
      </w:r>
      <w:r>
        <w:rPr>
          <w:rFonts w:ascii="Arial" w:cs="Arial" w:eastAsia="Arial" w:hAnsi="Arial"/>
          <w:sz w:val="15"/>
          <w:szCs w:val="15"/>
          <w:color w:val="231F20"/>
        </w:rPr>
        <w:t>opportunity to ask questions during a designated question-and-answer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320040</wp:posOffset>
            </wp:positionV>
            <wp:extent cx="771525"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5400" w:space="440"/>
            <w:col w:w="540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4" w:name="page15"/>
    <w:bookmarkEnd w:id="14"/>
    <w:p>
      <w:pPr>
        <w:ind w:left="320"/>
        <w:spacing w:after="0"/>
        <w:rPr>
          <w:sz w:val="20"/>
          <w:szCs w:val="20"/>
          <w:color w:val="auto"/>
        </w:rPr>
      </w:pPr>
      <w:r>
        <w:rPr>
          <w:rFonts w:ascii="Arial" w:cs="Arial" w:eastAsia="Arial" w:hAnsi="Arial"/>
          <w:sz w:val="16"/>
          <w:szCs w:val="16"/>
          <w:b w:val="1"/>
          <w:bCs w:val="1"/>
          <w:color w:val="2952A4"/>
        </w:rPr>
        <w:t xml:space="preserve">USERS’ GUIDE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C04C57"/>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172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sectPr>
      </w:pPr>
    </w:p>
    <w:p>
      <w:pPr>
        <w:spacing w:after="0" w:line="197" w:lineRule="exact"/>
        <w:rPr>
          <w:sz w:val="20"/>
          <w:szCs w:val="20"/>
          <w:color w:val="auto"/>
        </w:rPr>
      </w:pPr>
    </w:p>
    <w:p>
      <w:pPr>
        <w:ind w:left="320" w:right="60"/>
        <w:spacing w:after="0" w:line="275" w:lineRule="auto"/>
        <w:rPr>
          <w:sz w:val="20"/>
          <w:szCs w:val="20"/>
          <w:color w:val="auto"/>
        </w:rPr>
      </w:pPr>
      <w:r>
        <w:rPr>
          <w:rFonts w:ascii="Arial" w:cs="Arial" w:eastAsia="Arial" w:hAnsi="Arial"/>
          <w:sz w:val="17"/>
          <w:szCs w:val="17"/>
          <w:b w:val="1"/>
          <w:bCs w:val="1"/>
          <w:color w:val="2952A4"/>
        </w:rPr>
        <w:t>Why did I receive a notice in the mail regarding the Internet availability of proxy materials instead of a paper copy of the proxy materials?</w:t>
      </w:r>
    </w:p>
    <w:p>
      <w:pPr>
        <w:spacing w:after="0" w:line="117" w:lineRule="exact"/>
        <w:rPr>
          <w:sz w:val="20"/>
          <w:szCs w:val="20"/>
          <w:color w:val="auto"/>
        </w:rPr>
      </w:pPr>
    </w:p>
    <w:p>
      <w:pPr>
        <w:ind w:left="320"/>
        <w:spacing w:after="0" w:line="238" w:lineRule="auto"/>
        <w:rPr>
          <w:sz w:val="20"/>
          <w:szCs w:val="20"/>
          <w:color w:val="auto"/>
        </w:rPr>
      </w:pPr>
      <w:r>
        <w:rPr>
          <w:rFonts w:ascii="Arial" w:cs="Arial" w:eastAsia="Arial" w:hAnsi="Arial"/>
          <w:sz w:val="15"/>
          <w:szCs w:val="15"/>
          <w:color w:val="231F20"/>
        </w:rPr>
        <w:t>The “Notice and Access” rules of the United States Securities and Exchange Commission (the “SEC”) permit us to furnish proxy materials, including this proxy statement, and our Annual Report on Form 10-K for the fiscal year ended December 31, 2019 filed with the SEC on February 7, 2020 (the “2019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24, 2020. The Notice includes instructions on how you may access and review all of our proxy materials and the 2019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24" w:lineRule="exact"/>
        <w:rPr>
          <w:sz w:val="20"/>
          <w:szCs w:val="20"/>
          <w:color w:val="auto"/>
        </w:rPr>
      </w:pPr>
    </w:p>
    <w:p>
      <w:pPr>
        <w:ind w:left="320" w:right="800"/>
        <w:spacing w:after="0" w:line="271" w:lineRule="auto"/>
        <w:rPr>
          <w:sz w:val="20"/>
          <w:szCs w:val="20"/>
          <w:color w:val="auto"/>
        </w:rPr>
      </w:pPr>
      <w:r>
        <w:rPr>
          <w:rFonts w:ascii="Arial" w:cs="Arial" w:eastAsia="Arial" w:hAnsi="Arial"/>
          <w:sz w:val="18"/>
          <w:szCs w:val="18"/>
          <w:b w:val="1"/>
          <w:bCs w:val="1"/>
          <w:color w:val="2952A4"/>
        </w:rPr>
        <w:t>Can I vote my shares by filling out and returning the Notice?</w:t>
      </w:r>
    </w:p>
    <w:p>
      <w:pPr>
        <w:spacing w:after="0" w:line="119" w:lineRule="exact"/>
        <w:rPr>
          <w:sz w:val="20"/>
          <w:szCs w:val="20"/>
          <w:color w:val="auto"/>
        </w:rPr>
      </w:pPr>
    </w:p>
    <w:p>
      <w:pPr>
        <w:ind w:left="320" w:right="100"/>
        <w:spacing w:after="0" w:line="231" w:lineRule="auto"/>
        <w:rPr>
          <w:sz w:val="20"/>
          <w:szCs w:val="20"/>
          <w:color w:val="auto"/>
        </w:rPr>
      </w:pPr>
      <w:r>
        <w:rPr>
          <w:rFonts w:ascii="Arial" w:cs="Arial" w:eastAsia="Arial" w:hAnsi="Arial"/>
          <w:sz w:val="15"/>
          <w:szCs w:val="15"/>
          <w:color w:val="231F20"/>
        </w:rPr>
        <w:t>No. The Notice identifies the items to be voted on at the Annual Meeting, but you cannot vote by marking the Notice and returning it. The Notice provides instructions on how to vote by Internet, by requesting and returning a paper proxy card, or by voting at the meeting.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952A4"/>
        </w:rPr>
        <w:t>Why did I receive the Notice?</w:t>
      </w:r>
    </w:p>
    <w:p>
      <w:pPr>
        <w:spacing w:after="0" w:line="177" w:lineRule="exact"/>
        <w:rPr>
          <w:sz w:val="20"/>
          <w:szCs w:val="20"/>
          <w:color w:val="auto"/>
        </w:rPr>
      </w:pPr>
    </w:p>
    <w:p>
      <w:pPr>
        <w:ind w:left="320" w:right="20"/>
        <w:spacing w:after="0" w:line="230" w:lineRule="auto"/>
        <w:rPr>
          <w:sz w:val="20"/>
          <w:szCs w:val="20"/>
          <w:color w:val="auto"/>
        </w:rPr>
      </w:pPr>
      <w:r>
        <w:rPr>
          <w:rFonts w:ascii="Arial" w:cs="Arial" w:eastAsia="Arial" w:hAnsi="Arial"/>
          <w:sz w:val="15"/>
          <w:szCs w:val="15"/>
          <w:color w:val="231F20"/>
        </w:rPr>
        <w:t>We sent you the Notice regarding this proxy statement because Regeneron’s board of directors is asking (technically called soliciting) holders of common stock and Class A stock to provide proxies to be voted at our 2020 Annual Meeting of Shareholders or at any adjournment(s) or postponement(s) of the meeting.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952A4"/>
        </w:rPr>
        <w:t>How are proxies voted?</w:t>
      </w:r>
    </w:p>
    <w:p>
      <w:pPr>
        <w:spacing w:after="0" w:line="177" w:lineRule="exact"/>
        <w:rPr>
          <w:sz w:val="20"/>
          <w:szCs w:val="20"/>
          <w:color w:val="auto"/>
        </w:rPr>
      </w:pPr>
    </w:p>
    <w:p>
      <w:pPr>
        <w:ind w:right="259"/>
        <w:spacing w:after="0" w:line="228" w:lineRule="auto"/>
        <w:rPr>
          <w:sz w:val="20"/>
          <w:szCs w:val="20"/>
          <w:color w:val="auto"/>
        </w:rPr>
      </w:pPr>
      <w:r>
        <w:rPr>
          <w:rFonts w:ascii="Arial" w:cs="Arial" w:eastAsia="Arial" w:hAnsi="Arial"/>
          <w:sz w:val="15"/>
          <w:szCs w:val="15"/>
          <w:color w:val="231F20"/>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at the meeting?”, to be presented at the Annual Meeting. If any other matter properly comes before the Annual Meeting, the persons named and designated as proxies will vote your shares in their discretion.</w:t>
      </w:r>
    </w:p>
    <w:p>
      <w:pPr>
        <w:spacing w:after="0" w:line="120" w:lineRule="exact"/>
        <w:rPr>
          <w:sz w:val="20"/>
          <w:szCs w:val="20"/>
          <w:color w:val="auto"/>
        </w:rPr>
      </w:pPr>
    </w:p>
    <w:p>
      <w:pPr>
        <w:ind w:right="319"/>
        <w:spacing w:after="0" w:line="301" w:lineRule="auto"/>
        <w:rPr>
          <w:sz w:val="20"/>
          <w:szCs w:val="20"/>
          <w:color w:val="auto"/>
        </w:rPr>
      </w:pPr>
      <w:r>
        <w:rPr>
          <w:rFonts w:ascii="Arial" w:cs="Arial" w:eastAsia="Arial" w:hAnsi="Arial"/>
          <w:sz w:val="17"/>
          <w:szCs w:val="17"/>
          <w:b w:val="1"/>
          <w:bCs w:val="1"/>
          <w:color w:val="2952A4"/>
        </w:rPr>
        <w:t>Why didn’t I receive a notice in the mail about the Internet availability of the proxy materials?</w:t>
      </w:r>
    </w:p>
    <w:p>
      <w:pPr>
        <w:spacing w:after="0" w:line="96" w:lineRule="exact"/>
        <w:rPr>
          <w:sz w:val="20"/>
          <w:szCs w:val="20"/>
          <w:color w:val="auto"/>
        </w:rPr>
      </w:pPr>
    </w:p>
    <w:p>
      <w:pPr>
        <w:ind w:right="219"/>
        <w:spacing w:after="0" w:line="228" w:lineRule="auto"/>
        <w:rPr>
          <w:sz w:val="20"/>
          <w:szCs w:val="20"/>
          <w:color w:val="auto"/>
        </w:rPr>
      </w:pPr>
      <w:r>
        <w:rPr>
          <w:rFonts w:ascii="Arial" w:cs="Arial" w:eastAsia="Arial" w:hAnsi="Arial"/>
          <w:sz w:val="15"/>
          <w:szCs w:val="15"/>
          <w:color w:val="231F20"/>
        </w:rPr>
        <w:t>Shareholders who previously elected to receive proxy materials by e-mail will not receive a notice in the mail about the Internet availability of the proxy materials.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952A4"/>
        </w:rPr>
        <w:t>What constitutes a quorum?</w:t>
      </w:r>
    </w:p>
    <w:p>
      <w:pPr>
        <w:spacing w:after="0" w:line="177" w:lineRule="exact"/>
        <w:rPr>
          <w:sz w:val="20"/>
          <w:szCs w:val="20"/>
          <w:color w:val="auto"/>
        </w:rPr>
      </w:pPr>
    </w:p>
    <w:p>
      <w:pPr>
        <w:ind w:right="199"/>
        <w:spacing w:after="0" w:line="228" w:lineRule="auto"/>
        <w:rPr>
          <w:sz w:val="20"/>
          <w:szCs w:val="20"/>
          <w:color w:val="auto"/>
        </w:rPr>
      </w:pPr>
      <w:r>
        <w:rPr>
          <w:rFonts w:ascii="Arial" w:cs="Arial" w:eastAsia="Arial" w:hAnsi="Arial"/>
          <w:sz w:val="15"/>
          <w:szCs w:val="15"/>
          <w:color w:val="231F20"/>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84" w:lineRule="exact"/>
        <w:rPr>
          <w:sz w:val="20"/>
          <w:szCs w:val="20"/>
          <w:color w:val="auto"/>
        </w:rPr>
      </w:pPr>
    </w:p>
    <w:p>
      <w:pPr>
        <w:sectPr>
          <w:pgSz w:w="11900" w:h="16838" w:orient="portrait"/>
          <w:cols w:equalWidth="0" w:num="2">
            <w:col w:w="4420" w:space="440"/>
            <w:col w:w="4299"/>
          </w:cols>
          <w:pgMar w:left="1300" w:top="405" w:right="1440" w:bottom="1440" w:gutter="0" w:footer="0" w:header="0"/>
          <w:type w:val="continuous"/>
        </w:sectPr>
      </w:pPr>
    </w:p>
    <w:p>
      <w:pPr>
        <w:spacing w:after="0"/>
        <w:rPr>
          <w:sz w:val="20"/>
          <w:szCs w:val="20"/>
          <w:color w:val="auto"/>
        </w:rPr>
      </w:pPr>
      <w:r>
        <w:rPr>
          <w:rFonts w:ascii="Arial" w:cs="Arial" w:eastAsia="Arial" w:hAnsi="Arial"/>
          <w:sz w:val="14"/>
          <w:szCs w:val="14"/>
          <w:b w:val="1"/>
          <w:bCs w:val="1"/>
          <w:color w:val="00A5EC"/>
        </w:rPr>
        <w:t xml:space="preserve">4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type w:val="continuous"/>
        </w:sectPr>
      </w:pPr>
    </w:p>
    <w:bookmarkStart w:id="15" w:name="page16"/>
    <w:bookmarkEnd w:id="15"/>
    <w:p>
      <w:pPr>
        <w:ind w:left="4900"/>
        <w:spacing w:after="0"/>
        <w:rPr>
          <w:sz w:val="20"/>
          <w:szCs w:val="20"/>
          <w:color w:val="auto"/>
        </w:rPr>
      </w:pPr>
      <w:r>
        <w:rPr>
          <w:rFonts w:ascii="Arial" w:cs="Arial" w:eastAsia="Arial" w:hAnsi="Arial"/>
          <w:sz w:val="16"/>
          <w:szCs w:val="16"/>
          <w:b w:val="1"/>
          <w:bCs w:val="1"/>
          <w:color w:val="2952A4"/>
        </w:rPr>
        <w:t xml:space="preserve">USERS’ GUIDE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89" w:lineRule="exact"/>
        <w:rPr>
          <w:sz w:val="20"/>
          <w:szCs w:val="20"/>
          <w:color w:val="auto"/>
        </w:rPr>
      </w:pPr>
    </w:p>
    <w:p>
      <w:pPr>
        <w:ind w:left="1300" w:right="20"/>
        <w:spacing w:after="0" w:line="271" w:lineRule="auto"/>
        <w:rPr>
          <w:sz w:val="20"/>
          <w:szCs w:val="20"/>
          <w:color w:val="auto"/>
        </w:rPr>
      </w:pPr>
      <w:r>
        <w:rPr>
          <w:rFonts w:ascii="Arial" w:cs="Arial" w:eastAsia="Arial" w:hAnsi="Arial"/>
          <w:sz w:val="18"/>
          <w:szCs w:val="18"/>
          <w:b w:val="1"/>
          <w:bCs w:val="1"/>
          <w:color w:val="2952A4"/>
        </w:rPr>
        <w:t>How can I vote my shares without attending the Annual Meeting?</w:t>
      </w:r>
    </w:p>
    <w:p>
      <w:pPr>
        <w:spacing w:after="0" w:line="119" w:lineRule="exact"/>
        <w:rPr>
          <w:sz w:val="20"/>
          <w:szCs w:val="20"/>
          <w:color w:val="auto"/>
        </w:rPr>
      </w:pPr>
    </w:p>
    <w:p>
      <w:pPr>
        <w:ind w:left="1300" w:right="20"/>
        <w:spacing w:after="0" w:line="233" w:lineRule="auto"/>
        <w:rPr>
          <w:sz w:val="20"/>
          <w:szCs w:val="20"/>
          <w:color w:val="auto"/>
        </w:rPr>
      </w:pPr>
      <w:r>
        <w:rPr>
          <w:rFonts w:ascii="Arial" w:cs="Arial" w:eastAsia="Arial" w:hAnsi="Arial"/>
          <w:sz w:val="15"/>
          <w:szCs w:val="15"/>
          <w:color w:val="231F20"/>
        </w:rPr>
        <w:t>We recommend that shareholders vote by proxy even if they plan to attend the Annual Meeting via the Internet or in person. If you are a shareholder of record, there are three ways to vote by proxy:</w:t>
      </w:r>
    </w:p>
    <w:p>
      <w:pPr>
        <w:spacing w:after="0" w:line="122" w:lineRule="exact"/>
        <w:rPr>
          <w:sz w:val="20"/>
          <w:szCs w:val="20"/>
          <w:color w:val="auto"/>
        </w:rPr>
      </w:pPr>
    </w:p>
    <w:p>
      <w:pPr>
        <w:ind w:left="1300" w:right="80"/>
        <w:spacing w:after="0" w:line="234" w:lineRule="auto"/>
        <w:rPr>
          <w:sz w:val="20"/>
          <w:szCs w:val="20"/>
          <w:color w:val="auto"/>
        </w:rPr>
      </w:pPr>
      <w:r>
        <w:rPr>
          <w:rFonts w:ascii="Arial" w:cs="Arial" w:eastAsia="Arial" w:hAnsi="Arial"/>
          <w:sz w:val="15"/>
          <w:szCs w:val="15"/>
          <w:b w:val="1"/>
          <w:bCs w:val="1"/>
          <w:color w:val="231F20"/>
        </w:rPr>
        <w:t xml:space="preserve">Via the Internet. </w:t>
      </w:r>
      <w:r>
        <w:rPr>
          <w:rFonts w:ascii="Arial" w:cs="Arial" w:eastAsia="Arial" w:hAnsi="Arial"/>
          <w:sz w:val="15"/>
          <w:szCs w:val="15"/>
          <w:color w:val="231F20"/>
        </w:rPr>
        <w:t>You may vote by proxy via the Internet by</w:t>
      </w:r>
      <w:r>
        <w:rPr>
          <w:rFonts w:ascii="Arial" w:cs="Arial" w:eastAsia="Arial" w:hAnsi="Arial"/>
          <w:sz w:val="15"/>
          <w:szCs w:val="15"/>
          <w:b w:val="1"/>
          <w:bCs w:val="1"/>
          <w:color w:val="231F20"/>
        </w:rPr>
        <w:t xml:space="preserve"> </w:t>
      </w:r>
      <w:r>
        <w:rPr>
          <w:rFonts w:ascii="Arial" w:cs="Arial" w:eastAsia="Arial" w:hAnsi="Arial"/>
          <w:sz w:val="15"/>
          <w:szCs w:val="15"/>
          <w:color w:val="231F20"/>
        </w:rPr>
        <w:t xml:space="preserve">visiting </w:t>
      </w:r>
      <w:r>
        <w:rPr>
          <w:rFonts w:ascii="Arial" w:cs="Arial" w:eastAsia="Arial" w:hAnsi="Arial"/>
          <w:sz w:val="15"/>
          <w:szCs w:val="15"/>
          <w:b w:val="1"/>
          <w:bCs w:val="1"/>
          <w:color w:val="231F20"/>
        </w:rPr>
        <w:t>www.proxyvote.com.</w:t>
      </w:r>
      <w:r>
        <w:rPr>
          <w:rFonts w:ascii="Arial" w:cs="Arial" w:eastAsia="Arial" w:hAnsi="Arial"/>
          <w:sz w:val="15"/>
          <w:szCs w:val="15"/>
          <w:color w:val="231F20"/>
        </w:rPr>
        <w:t xml:space="preserve"> You will need the 16-digit control number included on the Notice or, if you received a paper copy of the proxy materials, the proxy card or voting instruction form you received. You may vote via the Internet through 11:59 p.m., Eastern Time, on June 11, 2020.</w:t>
      </w:r>
    </w:p>
    <w:p>
      <w:pPr>
        <w:spacing w:after="0" w:line="125" w:lineRule="exact"/>
        <w:rPr>
          <w:sz w:val="20"/>
          <w:szCs w:val="20"/>
          <w:color w:val="auto"/>
        </w:rPr>
      </w:pPr>
    </w:p>
    <w:p>
      <w:pPr>
        <w:ind w:left="1300" w:right="220"/>
        <w:spacing w:after="0" w:line="234" w:lineRule="auto"/>
        <w:rPr>
          <w:sz w:val="20"/>
          <w:szCs w:val="20"/>
          <w:color w:val="auto"/>
        </w:rPr>
      </w:pPr>
      <w:r>
        <w:rPr>
          <w:rFonts w:ascii="Arial" w:cs="Arial" w:eastAsia="Arial" w:hAnsi="Arial"/>
          <w:sz w:val="15"/>
          <w:szCs w:val="15"/>
          <w:b w:val="1"/>
          <w:bCs w:val="1"/>
          <w:color w:val="231F20"/>
        </w:rPr>
        <w:t xml:space="preserve">Via telephone. </w:t>
      </w:r>
      <w:r>
        <w:rPr>
          <w:rFonts w:ascii="Arial" w:cs="Arial" w:eastAsia="Arial" w:hAnsi="Arial"/>
          <w:sz w:val="15"/>
          <w:szCs w:val="15"/>
          <w:color w:val="231F20"/>
        </w:rPr>
        <w:t>You may vote by proxy via telephone by</w:t>
      </w:r>
      <w:r>
        <w:rPr>
          <w:rFonts w:ascii="Arial" w:cs="Arial" w:eastAsia="Arial" w:hAnsi="Arial"/>
          <w:sz w:val="15"/>
          <w:szCs w:val="15"/>
          <w:b w:val="1"/>
          <w:bCs w:val="1"/>
          <w:color w:val="231F20"/>
        </w:rPr>
        <w:t xml:space="preserve"> </w:t>
      </w:r>
      <w:r>
        <w:rPr>
          <w:rFonts w:ascii="Arial" w:cs="Arial" w:eastAsia="Arial" w:hAnsi="Arial"/>
          <w:sz w:val="15"/>
          <w:szCs w:val="15"/>
          <w:color w:val="231F20"/>
        </w:rPr>
        <w:t>calling the toll-free number found on the proxy card or the voting instruction form. You will need the 16-digit control number included on the proxy card or voting instruction form. You may vote via telephone through 11:59 p.m., Eastern Time, on June 11, 2020.</w:t>
      </w:r>
    </w:p>
    <w:p>
      <w:pPr>
        <w:spacing w:after="0" w:line="125" w:lineRule="exact"/>
        <w:rPr>
          <w:sz w:val="20"/>
          <w:szCs w:val="20"/>
          <w:color w:val="auto"/>
        </w:rPr>
      </w:pPr>
    </w:p>
    <w:p>
      <w:pPr>
        <w:ind w:left="1300" w:right="200"/>
        <w:spacing w:after="0" w:line="239" w:lineRule="auto"/>
        <w:rPr>
          <w:sz w:val="20"/>
          <w:szCs w:val="20"/>
          <w:color w:val="auto"/>
        </w:rPr>
      </w:pPr>
      <w:r>
        <w:rPr>
          <w:rFonts w:ascii="Arial" w:cs="Arial" w:eastAsia="Arial" w:hAnsi="Arial"/>
          <w:sz w:val="15"/>
          <w:szCs w:val="15"/>
          <w:b w:val="1"/>
          <w:bCs w:val="1"/>
          <w:color w:val="231F20"/>
        </w:rPr>
        <w:t xml:space="preserve">By mail. </w:t>
      </w:r>
      <w:r>
        <w:rPr>
          <w:rFonts w:ascii="Arial" w:cs="Arial" w:eastAsia="Arial" w:hAnsi="Arial"/>
          <w:sz w:val="15"/>
          <w:szCs w:val="15"/>
          <w:color w:val="231F20"/>
        </w:rPr>
        <w:t>If you received printed copies of the proxy</w:t>
      </w:r>
      <w:r>
        <w:rPr>
          <w:rFonts w:ascii="Arial" w:cs="Arial" w:eastAsia="Arial" w:hAnsi="Arial"/>
          <w:sz w:val="15"/>
          <w:szCs w:val="15"/>
          <w:b w:val="1"/>
          <w:bCs w:val="1"/>
          <w:color w:val="231F20"/>
        </w:rPr>
        <w:t xml:space="preserve"> </w:t>
      </w:r>
      <w:r>
        <w:rPr>
          <w:rFonts w:ascii="Arial" w:cs="Arial" w:eastAsia="Arial" w:hAnsi="Arial"/>
          <w:sz w:val="15"/>
          <w:szCs w:val="15"/>
          <w:color w:val="231F20"/>
        </w:rPr>
        <w:t>materials, you may vote by proxy by completing the proxy card or voting instruction form and returning it in the envelope provided.</w:t>
      </w:r>
    </w:p>
    <w:p>
      <w:pPr>
        <w:spacing w:after="0" w:line="122" w:lineRule="exact"/>
        <w:rPr>
          <w:sz w:val="20"/>
          <w:szCs w:val="20"/>
          <w:color w:val="auto"/>
        </w:rPr>
      </w:pPr>
    </w:p>
    <w:p>
      <w:pPr>
        <w:ind w:left="1300" w:right="680"/>
        <w:spacing w:after="0" w:line="271" w:lineRule="auto"/>
        <w:rPr>
          <w:sz w:val="20"/>
          <w:szCs w:val="20"/>
          <w:color w:val="auto"/>
        </w:rPr>
      </w:pPr>
      <w:r>
        <w:rPr>
          <w:rFonts w:ascii="Arial" w:cs="Arial" w:eastAsia="Arial" w:hAnsi="Arial"/>
          <w:sz w:val="18"/>
          <w:szCs w:val="18"/>
          <w:b w:val="1"/>
          <w:bCs w:val="1"/>
          <w:color w:val="2952A4"/>
        </w:rPr>
        <w:t>How can I attend and vote at the Annual Meeting?</w:t>
      </w:r>
    </w:p>
    <w:p>
      <w:pPr>
        <w:spacing w:after="0" w:line="101" w:lineRule="exact"/>
        <w:rPr>
          <w:sz w:val="20"/>
          <w:szCs w:val="20"/>
          <w:color w:val="auto"/>
        </w:rPr>
      </w:pPr>
    </w:p>
    <w:p>
      <w:pPr>
        <w:ind w:left="1300"/>
        <w:spacing w:after="0" w:line="232" w:lineRule="auto"/>
        <w:rPr>
          <w:sz w:val="20"/>
          <w:szCs w:val="20"/>
          <w:color w:val="auto"/>
        </w:rPr>
      </w:pPr>
      <w:r>
        <w:rPr>
          <w:rFonts w:ascii="Arial" w:cs="Arial" w:eastAsia="Arial" w:hAnsi="Arial"/>
          <w:sz w:val="15"/>
          <w:szCs w:val="15"/>
          <w:b w:val="1"/>
          <w:bCs w:val="1"/>
          <w:color w:val="231F20"/>
        </w:rPr>
        <w:t xml:space="preserve">Via the Internet. </w:t>
      </w:r>
      <w:r>
        <w:rPr>
          <w:rFonts w:ascii="Arial" w:cs="Arial" w:eastAsia="Arial" w:hAnsi="Arial"/>
          <w:sz w:val="15"/>
          <w:szCs w:val="15"/>
          <w:color w:val="231F20"/>
        </w:rPr>
        <w:t>You may vote via the Internet at</w:t>
      </w:r>
      <w:r>
        <w:rPr>
          <w:rFonts w:ascii="Arial" w:cs="Arial" w:eastAsia="Arial" w:hAnsi="Arial"/>
          <w:sz w:val="15"/>
          <w:szCs w:val="15"/>
          <w:b w:val="1"/>
          <w:bCs w:val="1"/>
          <w:color w:val="231F20"/>
        </w:rPr>
        <w:t xml:space="preserve"> www.virtualshareholdermeeting.com/REGN2020 </w:t>
      </w:r>
      <w:r>
        <w:rPr>
          <w:rFonts w:ascii="Arial" w:cs="Arial" w:eastAsia="Arial" w:hAnsi="Arial"/>
          <w:sz w:val="15"/>
          <w:szCs w:val="15"/>
          <w:color w:val="231F20"/>
        </w:rPr>
        <w:t>where</w:t>
      </w:r>
      <w:r>
        <w:rPr>
          <w:rFonts w:ascii="Arial" w:cs="Arial" w:eastAsia="Arial" w:hAnsi="Arial"/>
          <w:sz w:val="15"/>
          <w:szCs w:val="15"/>
          <w:b w:val="1"/>
          <w:bCs w:val="1"/>
          <w:color w:val="231F20"/>
        </w:rPr>
        <w:t xml:space="preserve"> </w:t>
      </w:r>
      <w:r>
        <w:rPr>
          <w:rFonts w:ascii="Arial" w:cs="Arial" w:eastAsia="Arial" w:hAnsi="Arial"/>
          <w:sz w:val="15"/>
          <w:szCs w:val="15"/>
          <w:color w:val="231F20"/>
        </w:rPr>
        <w:t>you will be able to vote during the meeting. Shareholders who use the 16-digit control number that was furnished to them (either on the Notice or, if you received a paper copy of the proxy materials, the proxy card or voting instruction form you received) to log on to the meeting will be able to vote during the meeting.</w:t>
      </w:r>
    </w:p>
    <w:p>
      <w:pPr>
        <w:spacing w:after="0" w:line="124" w:lineRule="exact"/>
        <w:rPr>
          <w:sz w:val="20"/>
          <w:szCs w:val="20"/>
          <w:color w:val="auto"/>
        </w:rPr>
      </w:pPr>
    </w:p>
    <w:p>
      <w:pPr>
        <w:ind w:left="1300"/>
        <w:spacing w:after="0" w:line="229" w:lineRule="auto"/>
        <w:rPr>
          <w:sz w:val="20"/>
          <w:szCs w:val="20"/>
          <w:color w:val="auto"/>
        </w:rPr>
      </w:pPr>
      <w:r>
        <w:rPr>
          <w:rFonts w:ascii="Arial" w:cs="Arial" w:eastAsia="Arial" w:hAnsi="Arial"/>
          <w:sz w:val="15"/>
          <w:szCs w:val="15"/>
          <w:b w:val="1"/>
          <w:bCs w:val="1"/>
          <w:color w:val="231F20"/>
        </w:rPr>
        <w:t xml:space="preserve">In person. </w:t>
      </w:r>
      <w:r>
        <w:rPr>
          <w:rFonts w:ascii="Arial" w:cs="Arial" w:eastAsia="Arial" w:hAnsi="Arial"/>
          <w:sz w:val="15"/>
          <w:szCs w:val="15"/>
          <w:color w:val="231F20"/>
        </w:rPr>
        <w:t>If you are a shareholder of record, you may vote</w:t>
      </w:r>
      <w:r>
        <w:rPr>
          <w:rFonts w:ascii="Arial" w:cs="Arial" w:eastAsia="Arial" w:hAnsi="Arial"/>
          <w:sz w:val="15"/>
          <w:szCs w:val="15"/>
          <w:b w:val="1"/>
          <w:bCs w:val="1"/>
          <w:color w:val="231F20"/>
        </w:rPr>
        <w:t xml:space="preserve"> </w:t>
      </w:r>
      <w:r>
        <w:rPr>
          <w:rFonts w:ascii="Arial" w:cs="Arial" w:eastAsia="Arial" w:hAnsi="Arial"/>
          <w:sz w:val="15"/>
          <w:szCs w:val="15"/>
          <w:color w:val="231F20"/>
        </w:rPr>
        <w:t>in person at the 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 As noted above, under certain circumstances we may opt to hold the Annual Meeting as a virtual-only meeting. Please refer to our website for the most up-to-date information.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540"/>
        <w:spacing w:after="0" w:line="253" w:lineRule="auto"/>
        <w:rPr>
          <w:sz w:val="20"/>
          <w:szCs w:val="20"/>
          <w:color w:val="auto"/>
        </w:rPr>
      </w:pPr>
      <w:r>
        <w:rPr>
          <w:rFonts w:ascii="Arial" w:cs="Arial" w:eastAsia="Arial" w:hAnsi="Arial"/>
          <w:sz w:val="18"/>
          <w:szCs w:val="18"/>
          <w:b w:val="1"/>
          <w:bCs w:val="1"/>
          <w:color w:val="2952A4"/>
        </w:rPr>
        <w:t>What if during the Annual Meeting I have technical difficulties or trouble accessing the virtual meeting website?</w:t>
      </w:r>
    </w:p>
    <w:p>
      <w:pPr>
        <w:spacing w:after="0" w:line="134" w:lineRule="exact"/>
        <w:rPr>
          <w:sz w:val="20"/>
          <w:szCs w:val="20"/>
          <w:color w:val="auto"/>
        </w:rPr>
      </w:pPr>
    </w:p>
    <w:p>
      <w:pPr>
        <w:ind w:right="1400"/>
        <w:spacing w:after="0" w:line="230" w:lineRule="auto"/>
        <w:rPr>
          <w:sz w:val="20"/>
          <w:szCs w:val="20"/>
          <w:color w:val="auto"/>
        </w:rPr>
      </w:pPr>
      <w:r>
        <w:rPr>
          <w:rFonts w:ascii="Arial" w:cs="Arial" w:eastAsia="Arial" w:hAnsi="Arial"/>
          <w:sz w:val="15"/>
          <w:szCs w:val="15"/>
          <w:color w:val="231F20"/>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 w:cs="Arial" w:eastAsia="Arial" w:hAnsi="Arial"/>
          <w:sz w:val="15"/>
          <w:szCs w:val="15"/>
          <w:b w:val="1"/>
          <w:bCs w:val="1"/>
          <w:color w:val="231F20"/>
        </w:rPr>
        <w:t>www.virtualshareholdermeeting.com/ REGN2020.</w:t>
      </w:r>
    </w:p>
    <w:p>
      <w:pPr>
        <w:spacing w:after="0" w:line="123" w:lineRule="exact"/>
        <w:rPr>
          <w:sz w:val="20"/>
          <w:szCs w:val="20"/>
          <w:color w:val="auto"/>
        </w:rPr>
      </w:pPr>
    </w:p>
    <w:p>
      <w:pPr>
        <w:ind w:right="1500"/>
        <w:spacing w:after="0" w:line="244" w:lineRule="auto"/>
        <w:rPr>
          <w:sz w:val="20"/>
          <w:szCs w:val="20"/>
          <w:color w:val="auto"/>
        </w:rPr>
      </w:pPr>
      <w:r>
        <w:rPr>
          <w:rFonts w:ascii="Arial" w:cs="Arial" w:eastAsia="Arial" w:hAnsi="Arial"/>
          <w:sz w:val="18"/>
          <w:szCs w:val="18"/>
          <w:b w:val="1"/>
          <w:bCs w:val="1"/>
          <w:color w:val="2952A4"/>
        </w:rPr>
        <w:t>If I am a Regeneron employee or former employee, how do I vote shares in the Company Stock Fund in my 401(k) account or in the Regeneron Ireland Share Participation Plan?</w:t>
      </w:r>
    </w:p>
    <w:p>
      <w:pPr>
        <w:spacing w:after="0" w:line="142" w:lineRule="exact"/>
        <w:rPr>
          <w:sz w:val="20"/>
          <w:szCs w:val="20"/>
          <w:color w:val="auto"/>
        </w:rPr>
      </w:pPr>
    </w:p>
    <w:p>
      <w:pPr>
        <w:ind w:right="1300"/>
        <w:spacing w:after="0" w:line="227" w:lineRule="auto"/>
        <w:rPr>
          <w:sz w:val="20"/>
          <w:szCs w:val="20"/>
          <w:color w:val="auto"/>
        </w:rPr>
      </w:pPr>
      <w:r>
        <w:rPr>
          <w:rFonts w:ascii="Arial" w:cs="Arial" w:eastAsia="Arial" w:hAnsi="Arial"/>
          <w:sz w:val="15"/>
          <w:szCs w:val="15"/>
          <w:color w:val="231F20"/>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 w:cs="Arial" w:eastAsia="Arial" w:hAnsi="Arial"/>
          <w:sz w:val="15"/>
          <w:szCs w:val="15"/>
          <w:b w:val="1"/>
          <w:bCs w:val="1"/>
          <w:color w:val="231F20"/>
        </w:rPr>
        <w:t xml:space="preserve">www.proxyvote.com </w:t>
      </w:r>
      <w:r>
        <w:rPr>
          <w:rFonts w:ascii="Arial" w:cs="Arial" w:eastAsia="Arial" w:hAnsi="Arial"/>
          <w:sz w:val="15"/>
          <w:szCs w:val="15"/>
          <w:color w:val="231F20"/>
        </w:rPr>
        <w:t>by 11:59 p.m., Eastern Time, on June</w:t>
      </w:r>
      <w:r>
        <w:rPr>
          <w:rFonts w:ascii="Arial" w:cs="Arial" w:eastAsia="Arial" w:hAnsi="Arial"/>
          <w:sz w:val="15"/>
          <w:szCs w:val="15"/>
          <w:b w:val="1"/>
          <w:bCs w:val="1"/>
          <w:color w:val="231F20"/>
        </w:rPr>
        <w:t xml:space="preserve"> </w:t>
      </w:r>
      <w:r>
        <w:rPr>
          <w:rFonts w:ascii="Arial" w:cs="Arial" w:eastAsia="Arial" w:hAnsi="Arial"/>
          <w:sz w:val="15"/>
          <w:szCs w:val="15"/>
          <w:color w:val="231F20"/>
        </w:rPr>
        <w:t>9, 2020, (2) by calling 1-800-690-6903 by 11:59 p.m., Eastern Time, on June 9, 2020,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47" w:lineRule="exact"/>
        <w:rPr>
          <w:sz w:val="20"/>
          <w:szCs w:val="20"/>
          <w:color w:val="auto"/>
        </w:rPr>
      </w:pPr>
    </w:p>
    <w:p>
      <w:pPr>
        <w:ind w:right="1400"/>
        <w:spacing w:after="0" w:line="228" w:lineRule="auto"/>
        <w:rPr>
          <w:sz w:val="20"/>
          <w:szCs w:val="20"/>
          <w:color w:val="auto"/>
        </w:rPr>
      </w:pPr>
      <w:r>
        <w:rPr>
          <w:rFonts w:ascii="Arial" w:cs="Arial" w:eastAsia="Arial" w:hAnsi="Arial"/>
          <w:sz w:val="15"/>
          <w:szCs w:val="15"/>
          <w:color w:val="231F20"/>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1353185</wp:posOffset>
            </wp:positionV>
            <wp:extent cx="77152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2145" w:lineRule="exact"/>
        <w:rPr>
          <w:sz w:val="20"/>
          <w:szCs w:val="20"/>
          <w:color w:val="auto"/>
        </w:rPr>
      </w:pPr>
    </w:p>
    <w:p>
      <w:pPr>
        <w:sectPr>
          <w:pgSz w:w="11900" w:h="16838" w:orient="portrait"/>
          <w:cols w:equalWidth="0" w:num="2">
            <w:col w:w="5400" w:space="440"/>
            <w:col w:w="540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6" w:name="page17"/>
    <w:bookmarkEnd w:id="16"/>
    <w:p>
      <w:pPr>
        <w:ind w:left="320"/>
        <w:spacing w:after="0"/>
        <w:rPr>
          <w:sz w:val="20"/>
          <w:szCs w:val="20"/>
          <w:color w:val="auto"/>
        </w:rPr>
      </w:pPr>
      <w:r>
        <w:rPr>
          <w:rFonts w:ascii="Arial" w:cs="Arial" w:eastAsia="Arial" w:hAnsi="Arial"/>
          <w:sz w:val="16"/>
          <w:szCs w:val="16"/>
          <w:b w:val="1"/>
          <w:bCs w:val="1"/>
          <w:color w:val="2952A4"/>
        </w:rPr>
        <w:t xml:space="preserve">USERS’ GUIDE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sectPr>
      </w:pP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952A4"/>
        </w:rPr>
        <w:t>Can I change my vote or revoke my proxy?</w:t>
      </w:r>
    </w:p>
    <w:p>
      <w:pPr>
        <w:spacing w:after="0" w:line="177" w:lineRule="exact"/>
        <w:rPr>
          <w:sz w:val="20"/>
          <w:szCs w:val="20"/>
          <w:color w:val="auto"/>
        </w:rPr>
      </w:pPr>
    </w:p>
    <w:p>
      <w:pPr>
        <w:ind w:left="320"/>
        <w:spacing w:after="0" w:line="227" w:lineRule="auto"/>
        <w:rPr>
          <w:sz w:val="20"/>
          <w:szCs w:val="20"/>
          <w:color w:val="auto"/>
        </w:rPr>
      </w:pPr>
      <w:r>
        <w:rPr>
          <w:rFonts w:ascii="Arial" w:cs="Arial" w:eastAsia="Arial" w:hAnsi="Arial"/>
          <w:sz w:val="15"/>
          <w:szCs w:val="15"/>
          <w:color w:val="231F20"/>
        </w:rPr>
        <w:t>Yes. You may change your vote or revoke your proxy at any time before the proxy is exercised by voting again electronically through the Internet or by telephone, by mailing a new proxy card or voting instruction form, or by attending the Annual Meeting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are a record holder and give written notice of revocation to the Secretary of the Company before the proxy is exercised or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spacing w:after="0" w:line="121" w:lineRule="exact"/>
        <w:rPr>
          <w:sz w:val="20"/>
          <w:szCs w:val="20"/>
          <w:color w:val="auto"/>
        </w:rPr>
      </w:pPr>
    </w:p>
    <w:p>
      <w:pPr>
        <w:ind w:left="320" w:right="480"/>
        <w:spacing w:after="0" w:line="271" w:lineRule="auto"/>
        <w:rPr>
          <w:sz w:val="20"/>
          <w:szCs w:val="20"/>
          <w:color w:val="auto"/>
        </w:rPr>
      </w:pPr>
      <w:r>
        <w:rPr>
          <w:rFonts w:ascii="Arial" w:cs="Arial" w:eastAsia="Arial" w:hAnsi="Arial"/>
          <w:sz w:val="18"/>
          <w:szCs w:val="18"/>
          <w:b w:val="1"/>
          <w:bCs w:val="1"/>
          <w:color w:val="2952A4"/>
        </w:rPr>
        <w:t>Who solicits proxies and bears the cost of solicitation?</w:t>
      </w:r>
    </w:p>
    <w:p>
      <w:pPr>
        <w:spacing w:after="0" w:line="119" w:lineRule="exact"/>
        <w:rPr>
          <w:sz w:val="20"/>
          <w:szCs w:val="20"/>
          <w:color w:val="auto"/>
        </w:rPr>
      </w:pPr>
    </w:p>
    <w:p>
      <w:pPr>
        <w:ind w:left="320" w:right="20"/>
        <w:spacing w:after="0"/>
        <w:rPr>
          <w:sz w:val="20"/>
          <w:szCs w:val="20"/>
          <w:color w:val="auto"/>
        </w:rPr>
      </w:pPr>
      <w:r>
        <w:rPr>
          <w:rFonts w:ascii="Arial" w:cs="Arial" w:eastAsia="Arial" w:hAnsi="Arial"/>
          <w:sz w:val="15"/>
          <w:szCs w:val="15"/>
          <w:color w:val="231F20"/>
        </w:rPr>
        <w:t xml:space="preserve">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w:t>
      </w:r>
      <w:r>
        <w:rPr>
          <w:rFonts w:ascii="Arial" w:cs="Arial" w:eastAsia="Arial" w:hAnsi="Arial"/>
          <w:sz w:val="15"/>
          <w:szCs w:val="15"/>
          <w:i w:val="1"/>
          <w:iCs w:val="1"/>
          <w:color w:val="231F20"/>
        </w:rPr>
        <w:t>of</w:t>
      </w:r>
      <w:r>
        <w:rPr>
          <w:rFonts w:ascii="Arial" w:cs="Arial" w:eastAsia="Arial" w:hAnsi="Arial"/>
          <w:sz w:val="15"/>
          <w:szCs w:val="15"/>
          <w:color w:val="231F20"/>
        </w:rPr>
        <w:t xml:space="preserve"> proxies.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952A4"/>
        </w:rPr>
        <w:t>What are the board’s recommendations?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231F20"/>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436880" cy="42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6880" cy="428625"/>
                    </a:xfrm>
                    <a:prstGeom prst="rect">
                      <a:avLst/>
                    </a:prstGeom>
                    <a:noFill/>
                  </pic:spPr>
                </pic:pic>
              </a:graphicData>
            </a:graphic>
          </wp:anchor>
        </w:drawing>
      </w:r>
    </w:p>
    <w:p>
      <w:pPr>
        <w:spacing w:after="0" w:line="208" w:lineRule="exact"/>
        <w:rPr>
          <w:sz w:val="20"/>
          <w:szCs w:val="20"/>
          <w:color w:val="auto"/>
        </w:rPr>
      </w:pPr>
    </w:p>
    <w:p>
      <w:pPr>
        <w:ind w:left="780" w:right="359"/>
        <w:spacing w:after="0" w:line="246" w:lineRule="auto"/>
        <w:rPr>
          <w:sz w:val="20"/>
          <w:szCs w:val="20"/>
          <w:color w:val="auto"/>
        </w:rPr>
      </w:pPr>
      <w:r>
        <w:rPr>
          <w:rFonts w:ascii="Arial" w:cs="Arial" w:eastAsia="Arial" w:hAnsi="Arial"/>
          <w:sz w:val="15"/>
          <w:szCs w:val="15"/>
          <w:b w:val="1"/>
          <w:bCs w:val="1"/>
          <w:color w:val="2952A4"/>
        </w:rPr>
        <w:t xml:space="preserve">FOR </w:t>
      </w:r>
      <w:r>
        <w:rPr>
          <w:rFonts w:ascii="Arial" w:cs="Arial" w:eastAsia="Arial" w:hAnsi="Arial"/>
          <w:sz w:val="15"/>
          <w:szCs w:val="15"/>
          <w:color w:val="231F20"/>
        </w:rPr>
        <w:t>election of each of the four nominated</w:t>
      </w:r>
      <w:r>
        <w:rPr>
          <w:rFonts w:ascii="Arial" w:cs="Arial" w:eastAsia="Arial" w:hAnsi="Arial"/>
          <w:sz w:val="15"/>
          <w:szCs w:val="15"/>
          <w:b w:val="1"/>
          <w:bCs w:val="1"/>
          <w:color w:val="2952A4"/>
        </w:rPr>
        <w:t xml:space="preserve"> </w:t>
      </w:r>
      <w:r>
        <w:rPr>
          <w:rFonts w:ascii="Arial" w:cs="Arial" w:eastAsia="Arial" w:hAnsi="Arial"/>
          <w:sz w:val="15"/>
          <w:szCs w:val="15"/>
          <w:color w:val="231F20"/>
        </w:rPr>
        <w:t>Class II directors and the one nominated Class III director (Proposal No. 1);</w:t>
      </w:r>
    </w:p>
    <w:p>
      <w:pPr>
        <w:spacing w:after="0" w:line="226" w:lineRule="exact"/>
        <w:rPr>
          <w:sz w:val="20"/>
          <w:szCs w:val="20"/>
          <w:color w:val="auto"/>
        </w:rPr>
      </w:pPr>
    </w:p>
    <w:p>
      <w:pPr>
        <w:ind w:left="780" w:right="219"/>
        <w:spacing w:after="0" w:line="239" w:lineRule="auto"/>
        <w:rPr>
          <w:sz w:val="20"/>
          <w:szCs w:val="20"/>
          <w:color w:val="auto"/>
        </w:rPr>
      </w:pPr>
      <w:r>
        <w:rPr>
          <w:rFonts w:ascii="Arial" w:cs="Arial" w:eastAsia="Arial" w:hAnsi="Arial"/>
          <w:sz w:val="15"/>
          <w:szCs w:val="15"/>
          <w:b w:val="1"/>
          <w:bCs w:val="1"/>
          <w:color w:val="2952A4"/>
        </w:rPr>
        <w:t xml:space="preserve">FOR </w:t>
      </w:r>
      <w:r>
        <w:rPr>
          <w:rFonts w:ascii="Arial" w:cs="Arial" w:eastAsia="Arial" w:hAnsi="Arial"/>
          <w:sz w:val="15"/>
          <w:szCs w:val="15"/>
          <w:color w:val="231F20"/>
        </w:rPr>
        <w:t>ratification of the appointment of</w:t>
      </w:r>
      <w:r>
        <w:rPr>
          <w:rFonts w:ascii="Arial" w:cs="Arial" w:eastAsia="Arial" w:hAnsi="Arial"/>
          <w:sz w:val="15"/>
          <w:szCs w:val="15"/>
          <w:b w:val="1"/>
          <w:bCs w:val="1"/>
          <w:color w:val="2952A4"/>
        </w:rPr>
        <w:t xml:space="preserve"> </w:t>
      </w:r>
      <w:r>
        <w:rPr>
          <w:rFonts w:ascii="Arial" w:cs="Arial" w:eastAsia="Arial" w:hAnsi="Arial"/>
          <w:sz w:val="15"/>
          <w:szCs w:val="15"/>
          <w:color w:val="231F20"/>
        </w:rPr>
        <w:t>PricewaterhouseCoopers LLP as the Company’s independent registered public accounting firm for 2020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43688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6880" cy="4286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436880"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6880" cy="428625"/>
                    </a:xfrm>
                    <a:prstGeom prst="rect">
                      <a:avLst/>
                    </a:prstGeom>
                    <a:noFill/>
                  </pic:spPr>
                </pic:pic>
              </a:graphicData>
            </a:graphic>
          </wp:anchor>
        </w:drawing>
      </w:r>
    </w:p>
    <w:p>
      <w:pPr>
        <w:spacing w:after="0" w:line="211" w:lineRule="exact"/>
        <w:rPr>
          <w:sz w:val="20"/>
          <w:szCs w:val="20"/>
          <w:color w:val="auto"/>
        </w:rPr>
      </w:pPr>
    </w:p>
    <w:p>
      <w:pPr>
        <w:ind w:left="780" w:right="219"/>
        <w:spacing w:after="0" w:line="246" w:lineRule="auto"/>
        <w:rPr>
          <w:sz w:val="20"/>
          <w:szCs w:val="20"/>
          <w:color w:val="auto"/>
        </w:rPr>
      </w:pPr>
      <w:r>
        <w:rPr>
          <w:rFonts w:ascii="Arial" w:cs="Arial" w:eastAsia="Arial" w:hAnsi="Arial"/>
          <w:sz w:val="15"/>
          <w:szCs w:val="15"/>
          <w:b w:val="1"/>
          <w:bCs w:val="1"/>
          <w:color w:val="2952A4"/>
        </w:rPr>
        <w:t xml:space="preserve">FOR </w:t>
      </w:r>
      <w:r>
        <w:rPr>
          <w:rFonts w:ascii="Arial" w:cs="Arial" w:eastAsia="Arial" w:hAnsi="Arial"/>
          <w:sz w:val="15"/>
          <w:szCs w:val="15"/>
          <w:color w:val="231F20"/>
        </w:rPr>
        <w:t>approval of the Second Amended and</w:t>
      </w:r>
      <w:r>
        <w:rPr>
          <w:rFonts w:ascii="Arial" w:cs="Arial" w:eastAsia="Arial" w:hAnsi="Arial"/>
          <w:sz w:val="15"/>
          <w:szCs w:val="15"/>
          <w:b w:val="1"/>
          <w:bCs w:val="1"/>
          <w:color w:val="2952A4"/>
        </w:rPr>
        <w:t xml:space="preserve"> </w:t>
      </w:r>
      <w:r>
        <w:rPr>
          <w:rFonts w:ascii="Arial" w:cs="Arial" w:eastAsia="Arial" w:hAnsi="Arial"/>
          <w:sz w:val="15"/>
          <w:szCs w:val="15"/>
          <w:color w:val="231F20"/>
        </w:rPr>
        <w:t>Restated Regeneron Pharmaceuticals, Inc. 2014 Long-Term Incentive Plan (Proposal No. 3); and</w:t>
      </w:r>
    </w:p>
    <w:p>
      <w:pPr>
        <w:spacing w:after="0" w:line="226" w:lineRule="exact"/>
        <w:rPr>
          <w:sz w:val="20"/>
          <w:szCs w:val="20"/>
          <w:color w:val="auto"/>
        </w:rPr>
      </w:pPr>
    </w:p>
    <w:p>
      <w:pPr>
        <w:ind w:left="780" w:right="339"/>
        <w:spacing w:after="0" w:line="239" w:lineRule="auto"/>
        <w:rPr>
          <w:sz w:val="20"/>
          <w:szCs w:val="20"/>
          <w:color w:val="auto"/>
        </w:rPr>
      </w:pPr>
      <w:r>
        <w:rPr>
          <w:rFonts w:ascii="Arial" w:cs="Arial" w:eastAsia="Arial" w:hAnsi="Arial"/>
          <w:sz w:val="15"/>
          <w:szCs w:val="15"/>
          <w:b w:val="1"/>
          <w:bCs w:val="1"/>
          <w:color w:val="2952A4"/>
        </w:rPr>
        <w:t xml:space="preserve">FOR </w:t>
      </w:r>
      <w:r>
        <w:rPr>
          <w:rFonts w:ascii="Arial" w:cs="Arial" w:eastAsia="Arial" w:hAnsi="Arial"/>
          <w:sz w:val="15"/>
          <w:szCs w:val="15"/>
          <w:color w:val="231F20"/>
        </w:rPr>
        <w:t>approval of the compensation of the</w:t>
      </w:r>
      <w:r>
        <w:rPr>
          <w:rFonts w:ascii="Arial" w:cs="Arial" w:eastAsia="Arial" w:hAnsi="Arial"/>
          <w:sz w:val="15"/>
          <w:szCs w:val="15"/>
          <w:b w:val="1"/>
          <w:bCs w:val="1"/>
          <w:color w:val="2952A4"/>
        </w:rPr>
        <w:t xml:space="preserve"> </w:t>
      </w:r>
      <w:r>
        <w:rPr>
          <w:rFonts w:ascii="Arial" w:cs="Arial" w:eastAsia="Arial" w:hAnsi="Arial"/>
          <w:sz w:val="15"/>
          <w:szCs w:val="15"/>
          <w:color w:val="231F20"/>
        </w:rPr>
        <w:t>Company’s Named Executive Officers as disclosed in these proxy materials (say on pay)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43688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6880" cy="428625"/>
                    </a:xfrm>
                    <a:prstGeom prst="rect">
                      <a:avLst/>
                    </a:prstGeom>
                    <a:noFill/>
                  </pic:spPr>
                </pic:pic>
              </a:graphicData>
            </a:graphic>
          </wp:anchor>
        </w:drawing>
      </w:r>
    </w:p>
    <w:p>
      <w:pPr>
        <w:spacing w:after="0" w:line="2904" w:lineRule="exact"/>
        <w:rPr>
          <w:sz w:val="20"/>
          <w:szCs w:val="20"/>
          <w:color w:val="auto"/>
        </w:rPr>
      </w:pPr>
    </w:p>
    <w:p>
      <w:pPr>
        <w:sectPr>
          <w:pgSz w:w="11900" w:h="16838" w:orient="portrait"/>
          <w:cols w:equalWidth="0" w:num="2">
            <w:col w:w="4420" w:space="440"/>
            <w:col w:w="4299"/>
          </w:cols>
          <w:pgMar w:left="1300" w:top="405"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6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type w:val="continuous"/>
        </w:sectPr>
      </w:pPr>
    </w:p>
    <w:bookmarkStart w:id="17" w:name="page18"/>
    <w:bookmarkEnd w:id="17"/>
    <w:p>
      <w:pPr>
        <w:ind w:left="4900"/>
        <w:spacing w:after="0"/>
        <w:rPr>
          <w:sz w:val="20"/>
          <w:szCs w:val="20"/>
          <w:color w:val="auto"/>
        </w:rPr>
      </w:pPr>
      <w:r>
        <w:rPr>
          <w:rFonts w:ascii="Arial" w:cs="Arial" w:eastAsia="Arial" w:hAnsi="Arial"/>
          <w:sz w:val="16"/>
          <w:szCs w:val="16"/>
          <w:b w:val="1"/>
          <w:bCs w:val="1"/>
          <w:color w:val="2952A4"/>
        </w:rPr>
        <w:t xml:space="preserve">USERS’ GUIDE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952A4"/>
        </w:rPr>
        <w:t>What vote is required to approve each proposal?</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5"/>
          <w:szCs w:val="15"/>
          <w:color w:val="231F20"/>
        </w:rPr>
        <w:t>The following table summarizes the voting requirements applicable to the proposals to be voted on at the Annual Meeting:</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218"/>
        </w:trPr>
        <w:tc>
          <w:tcPr>
            <w:tcW w:w="2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2952A4"/>
              </w:rPr>
              <w:t>Proposal</w:t>
            </w:r>
          </w:p>
        </w:tc>
        <w:tc>
          <w:tcPr>
            <w:tcW w:w="2400" w:type="dxa"/>
            <w:vAlign w:val="bottom"/>
          </w:tcPr>
          <w:p>
            <w:pPr>
              <w:ind w:left="60"/>
              <w:spacing w:after="0"/>
              <w:rPr>
                <w:sz w:val="20"/>
                <w:szCs w:val="20"/>
                <w:color w:val="auto"/>
              </w:rPr>
            </w:pPr>
            <w:r>
              <w:rPr>
                <w:rFonts w:ascii="Arial" w:cs="Arial" w:eastAsia="Arial" w:hAnsi="Arial"/>
                <w:sz w:val="12"/>
                <w:szCs w:val="12"/>
                <w:b w:val="1"/>
                <w:bCs w:val="1"/>
                <w:color w:val="2952A4"/>
              </w:rPr>
              <w:t>Vote Required</w:t>
            </w:r>
          </w:p>
        </w:tc>
        <w:tc>
          <w:tcPr>
            <w:tcW w:w="1480" w:type="dxa"/>
            <w:vAlign w:val="bottom"/>
          </w:tcPr>
          <w:p>
            <w:pPr>
              <w:ind w:left="80"/>
              <w:spacing w:after="0"/>
              <w:rPr>
                <w:sz w:val="20"/>
                <w:szCs w:val="20"/>
                <w:color w:val="auto"/>
              </w:rPr>
            </w:pPr>
            <w:r>
              <w:rPr>
                <w:rFonts w:ascii="Arial" w:cs="Arial" w:eastAsia="Arial" w:hAnsi="Arial"/>
                <w:sz w:val="12"/>
                <w:szCs w:val="12"/>
                <w:b w:val="1"/>
                <w:bCs w:val="1"/>
                <w:color w:val="2952A4"/>
              </w:rPr>
              <w:t>Effect of Abstentions*</w:t>
            </w:r>
          </w:p>
        </w:tc>
        <w:tc>
          <w:tcPr>
            <w:tcW w:w="2420" w:type="dxa"/>
            <w:vAlign w:val="bottom"/>
          </w:tcPr>
          <w:p>
            <w:pPr>
              <w:ind w:left="160"/>
              <w:spacing w:after="0"/>
              <w:rPr>
                <w:sz w:val="20"/>
                <w:szCs w:val="20"/>
                <w:color w:val="auto"/>
              </w:rPr>
            </w:pPr>
            <w:r>
              <w:rPr>
                <w:rFonts w:ascii="Arial" w:cs="Arial" w:eastAsia="Arial" w:hAnsi="Arial"/>
                <w:sz w:val="12"/>
                <w:szCs w:val="12"/>
                <w:b w:val="1"/>
                <w:bCs w:val="1"/>
                <w:color w:val="2952A4"/>
              </w:rPr>
              <w:t>Broker Discretionary Voting Allowed?</w:t>
            </w:r>
            <w:r>
              <w:rPr>
                <w:rFonts w:ascii="Arial" w:cs="Arial" w:eastAsia="Arial" w:hAnsi="Arial"/>
                <w:sz w:val="19"/>
                <w:szCs w:val="19"/>
                <w:b w:val="1"/>
                <w:bCs w:val="1"/>
                <w:color w:val="2952A4"/>
                <w:vertAlign w:val="superscript"/>
              </w:rPr>
              <w:t>+</w:t>
            </w:r>
          </w:p>
        </w:tc>
        <w:tc>
          <w:tcPr>
            <w:tcW w:w="0" w:type="dxa"/>
            <w:vAlign w:val="bottom"/>
          </w:tcPr>
          <w:p>
            <w:pPr>
              <w:spacing w:after="0"/>
              <w:rPr>
                <w:sz w:val="1"/>
                <w:szCs w:val="1"/>
                <w:color w:val="auto"/>
              </w:rPr>
            </w:pPr>
          </w:p>
        </w:tc>
      </w:tr>
      <w:tr>
        <w:trPr>
          <w:trHeight w:val="34"/>
        </w:trPr>
        <w:tc>
          <w:tcPr>
            <w:tcW w:w="2340" w:type="dxa"/>
            <w:vAlign w:val="bottom"/>
            <w:tcBorders>
              <w:bottom w:val="single" w:sz="8" w:color="2952A4"/>
            </w:tcBorders>
            <w:gridSpan w:val="2"/>
            <w:vMerge w:val="continue"/>
          </w:tcPr>
          <w:p>
            <w:pPr>
              <w:spacing w:after="0"/>
              <w:rPr>
                <w:sz w:val="2"/>
                <w:szCs w:val="2"/>
                <w:color w:val="auto"/>
              </w:rPr>
            </w:pPr>
          </w:p>
        </w:tc>
        <w:tc>
          <w:tcPr>
            <w:tcW w:w="2400" w:type="dxa"/>
            <w:vAlign w:val="bottom"/>
            <w:tcBorders>
              <w:bottom w:val="single" w:sz="8" w:color="2952A4"/>
            </w:tcBorders>
          </w:tcPr>
          <w:p>
            <w:pPr>
              <w:spacing w:after="0"/>
              <w:rPr>
                <w:sz w:val="2"/>
                <w:szCs w:val="2"/>
                <w:color w:val="auto"/>
              </w:rPr>
            </w:pPr>
          </w:p>
        </w:tc>
        <w:tc>
          <w:tcPr>
            <w:tcW w:w="1480" w:type="dxa"/>
            <w:vAlign w:val="bottom"/>
            <w:tcBorders>
              <w:bottom w:val="single" w:sz="8" w:color="2952A4"/>
            </w:tcBorders>
          </w:tcPr>
          <w:p>
            <w:pPr>
              <w:spacing w:after="0"/>
              <w:rPr>
                <w:sz w:val="2"/>
                <w:szCs w:val="2"/>
                <w:color w:val="auto"/>
              </w:rPr>
            </w:pPr>
          </w:p>
        </w:tc>
        <w:tc>
          <w:tcPr>
            <w:tcW w:w="2420" w:type="dxa"/>
            <w:vAlign w:val="bottom"/>
            <w:tcBorders>
              <w:bottom w:val="single" w:sz="8" w:color="2952A4"/>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 w:type="dxa"/>
            <w:vAlign w:val="bottom"/>
            <w:vMerge w:val="restart"/>
          </w:tcPr>
          <w:p>
            <w:pPr>
              <w:ind w:left="40"/>
              <w:spacing w:after="0" w:line="679" w:lineRule="exact"/>
              <w:rPr>
                <w:sz w:val="20"/>
                <w:szCs w:val="20"/>
                <w:color w:val="auto"/>
              </w:rPr>
            </w:pPr>
            <w:r>
              <w:rPr>
                <w:rFonts w:ascii="Arial" w:cs="Arial" w:eastAsia="Arial" w:hAnsi="Arial"/>
                <w:sz w:val="61"/>
                <w:szCs w:val="61"/>
                <w:b w:val="1"/>
                <w:bCs w:val="1"/>
                <w:color w:val="C24D5C"/>
              </w:rPr>
              <w:t>1</w:t>
            </w:r>
          </w:p>
        </w:tc>
        <w:tc>
          <w:tcPr>
            <w:tcW w:w="1940" w:type="dxa"/>
            <w:vAlign w:val="bottom"/>
          </w:tcPr>
          <w:p>
            <w:pPr>
              <w:ind w:left="40"/>
              <w:spacing w:after="0"/>
              <w:rPr>
                <w:sz w:val="20"/>
                <w:szCs w:val="20"/>
                <w:color w:val="auto"/>
              </w:rPr>
            </w:pPr>
            <w:r>
              <w:rPr>
                <w:rFonts w:ascii="Arial" w:cs="Arial" w:eastAsia="Arial" w:hAnsi="Arial"/>
                <w:sz w:val="15"/>
                <w:szCs w:val="15"/>
                <w:b w:val="1"/>
                <w:bCs w:val="1"/>
                <w:color w:val="2952A4"/>
              </w:rPr>
              <w:t>Election of Directors</w:t>
            </w:r>
          </w:p>
        </w:tc>
        <w:tc>
          <w:tcPr>
            <w:tcW w:w="2400" w:type="dxa"/>
            <w:vAlign w:val="bottom"/>
          </w:tcPr>
          <w:p>
            <w:pPr>
              <w:ind w:left="60"/>
              <w:spacing w:after="0"/>
              <w:rPr>
                <w:sz w:val="20"/>
                <w:szCs w:val="20"/>
                <w:color w:val="auto"/>
              </w:rPr>
            </w:pPr>
            <w:r>
              <w:rPr>
                <w:rFonts w:ascii="Arial" w:cs="Arial" w:eastAsia="Arial" w:hAnsi="Arial"/>
                <w:sz w:val="13"/>
                <w:szCs w:val="13"/>
                <w:color w:val="auto"/>
              </w:rPr>
              <w:t>Majority of the votes cast. In</w:t>
            </w:r>
          </w:p>
        </w:tc>
        <w:tc>
          <w:tcPr>
            <w:tcW w:w="1480" w:type="dxa"/>
            <w:vAlign w:val="bottom"/>
          </w:tcPr>
          <w:p>
            <w:pPr>
              <w:ind w:left="80"/>
              <w:spacing w:after="0"/>
              <w:rPr>
                <w:sz w:val="20"/>
                <w:szCs w:val="20"/>
                <w:color w:val="auto"/>
              </w:rPr>
            </w:pPr>
            <w:r>
              <w:rPr>
                <w:rFonts w:ascii="Arial" w:cs="Arial" w:eastAsia="Arial" w:hAnsi="Arial"/>
                <w:sz w:val="13"/>
                <w:szCs w:val="13"/>
                <w:color w:val="auto"/>
              </w:rPr>
              <w:t>No effect —</w:t>
            </w:r>
          </w:p>
        </w:tc>
        <w:tc>
          <w:tcPr>
            <w:tcW w:w="2420" w:type="dxa"/>
            <w:vAlign w:val="bottom"/>
          </w:tcPr>
          <w:p>
            <w:pPr>
              <w:ind w:left="160"/>
              <w:spacing w:after="0"/>
              <w:rPr>
                <w:sz w:val="20"/>
                <w:szCs w:val="20"/>
                <w:color w:val="auto"/>
              </w:rPr>
            </w:pPr>
            <w:r>
              <w:rPr>
                <w:rFonts w:ascii="Arial" w:cs="Arial" w:eastAsia="Arial" w:hAnsi="Arial"/>
                <w:sz w:val="13"/>
                <w:szCs w:val="13"/>
                <w:color w:val="auto"/>
              </w:rPr>
              <w:t>No —</w:t>
            </w:r>
          </w:p>
        </w:tc>
        <w:tc>
          <w:tcPr>
            <w:tcW w:w="0" w:type="dxa"/>
            <w:vAlign w:val="bottom"/>
          </w:tcPr>
          <w:p>
            <w:pPr>
              <w:spacing w:after="0"/>
              <w:rPr>
                <w:sz w:val="1"/>
                <w:szCs w:val="1"/>
                <w:color w:val="auto"/>
              </w:rPr>
            </w:pPr>
          </w:p>
        </w:tc>
      </w:tr>
      <w:tr>
        <w:trPr>
          <w:trHeight w:val="149"/>
        </w:trPr>
        <w:tc>
          <w:tcPr>
            <w:tcW w:w="4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accordance with our director</w:t>
            </w:r>
          </w:p>
        </w:tc>
        <w:tc>
          <w:tcPr>
            <w:tcW w:w="1480" w:type="dxa"/>
            <w:vAlign w:val="bottom"/>
          </w:tcPr>
          <w:p>
            <w:pPr>
              <w:ind w:left="80"/>
              <w:spacing w:after="0"/>
              <w:rPr>
                <w:sz w:val="20"/>
                <w:szCs w:val="20"/>
                <w:color w:val="auto"/>
              </w:rPr>
            </w:pPr>
            <w:r>
              <w:rPr>
                <w:rFonts w:ascii="Arial" w:cs="Arial" w:eastAsia="Arial" w:hAnsi="Arial"/>
                <w:sz w:val="13"/>
                <w:szCs w:val="13"/>
                <w:color w:val="auto"/>
              </w:rPr>
              <w:t>not considered votes</w:t>
            </w:r>
          </w:p>
        </w:tc>
        <w:tc>
          <w:tcPr>
            <w:tcW w:w="2420" w:type="dxa"/>
            <w:vAlign w:val="bottom"/>
          </w:tcPr>
          <w:p>
            <w:pPr>
              <w:ind w:left="160"/>
              <w:spacing w:after="0"/>
              <w:rPr>
                <w:sz w:val="20"/>
                <w:szCs w:val="20"/>
                <w:color w:val="auto"/>
              </w:rPr>
            </w:pPr>
            <w:r>
              <w:rPr>
                <w:rFonts w:ascii="Arial" w:cs="Arial" w:eastAsia="Arial" w:hAnsi="Arial"/>
                <w:sz w:val="13"/>
                <w:szCs w:val="13"/>
                <w:color w:val="auto"/>
              </w:rPr>
              <w:t>brokers without voting instructions will</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resignation policy, an incumbent</w:t>
            </w:r>
          </w:p>
        </w:tc>
        <w:tc>
          <w:tcPr>
            <w:tcW w:w="1480" w:type="dxa"/>
            <w:vAlign w:val="bottom"/>
          </w:tcPr>
          <w:p>
            <w:pPr>
              <w:ind w:left="80"/>
              <w:spacing w:after="0"/>
              <w:rPr>
                <w:sz w:val="20"/>
                <w:szCs w:val="20"/>
                <w:color w:val="auto"/>
              </w:rPr>
            </w:pPr>
            <w:r>
              <w:rPr>
                <w:rFonts w:ascii="Arial" w:cs="Arial" w:eastAsia="Arial" w:hAnsi="Arial"/>
                <w:sz w:val="13"/>
                <w:szCs w:val="13"/>
                <w:color w:val="auto"/>
              </w:rPr>
              <w:t>cast on this proposal</w:t>
            </w:r>
          </w:p>
        </w:tc>
        <w:tc>
          <w:tcPr>
            <w:tcW w:w="2420" w:type="dxa"/>
            <w:vAlign w:val="bottom"/>
          </w:tcPr>
          <w:p>
            <w:pPr>
              <w:ind w:left="160"/>
              <w:spacing w:after="0"/>
              <w:rPr>
                <w:sz w:val="20"/>
                <w:szCs w:val="20"/>
                <w:color w:val="auto"/>
              </w:rPr>
            </w:pPr>
            <w:r>
              <w:rPr>
                <w:rFonts w:ascii="Arial" w:cs="Arial" w:eastAsia="Arial" w:hAnsi="Arial"/>
                <w:sz w:val="13"/>
                <w:szCs w:val="13"/>
                <w:color w:val="auto"/>
              </w:rPr>
              <w:t>not be able to vote on this proposal</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director who fails to receive the</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required number of votes in an</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uncontested election will be required to</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tender his or her resignation to the</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Chairman of the board of directors for</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consideration by the Corporate</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Governance and Compliance</w:t>
            </w:r>
          </w:p>
        </w:tc>
        <w:tc>
          <w:tcPr>
            <w:tcW w:w="1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Committee.</w:t>
            </w: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4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00" w:type="dxa"/>
            <w:vAlign w:val="bottom"/>
            <w:vMerge w:val="restart"/>
            <w:shd w:val="clear" w:color="auto" w:fill="EBECEC"/>
          </w:tcPr>
          <w:p>
            <w:pPr>
              <w:ind w:left="40"/>
              <w:spacing w:after="0"/>
              <w:rPr>
                <w:sz w:val="20"/>
                <w:szCs w:val="20"/>
                <w:color w:val="auto"/>
              </w:rPr>
            </w:pPr>
            <w:r>
              <w:rPr>
                <w:rFonts w:ascii="Arial" w:cs="Arial" w:eastAsia="Arial" w:hAnsi="Arial"/>
                <w:sz w:val="61"/>
                <w:szCs w:val="61"/>
                <w:b w:val="1"/>
                <w:bCs w:val="1"/>
                <w:color w:val="C24D5C"/>
              </w:rPr>
              <w:t>2</w:t>
            </w:r>
          </w:p>
        </w:tc>
        <w:tc>
          <w:tcPr>
            <w:tcW w:w="1940" w:type="dxa"/>
            <w:vAlign w:val="bottom"/>
            <w:shd w:val="clear" w:color="auto" w:fill="EBECEC"/>
          </w:tcPr>
          <w:p>
            <w:pPr>
              <w:ind w:left="40"/>
              <w:spacing w:after="0"/>
              <w:rPr>
                <w:sz w:val="20"/>
                <w:szCs w:val="20"/>
                <w:color w:val="auto"/>
              </w:rPr>
            </w:pPr>
            <w:r>
              <w:rPr>
                <w:rFonts w:ascii="Arial" w:cs="Arial" w:eastAsia="Arial" w:hAnsi="Arial"/>
                <w:sz w:val="15"/>
                <w:szCs w:val="15"/>
                <w:b w:val="1"/>
                <w:bCs w:val="1"/>
                <w:color w:val="2952A4"/>
              </w:rPr>
              <w:t>Ratification of the</w:t>
            </w:r>
          </w:p>
        </w:tc>
        <w:tc>
          <w:tcPr>
            <w:tcW w:w="2400" w:type="dxa"/>
            <w:vAlign w:val="bottom"/>
            <w:shd w:val="clear" w:color="auto" w:fill="EBECEC"/>
          </w:tcPr>
          <w:p>
            <w:pPr>
              <w:ind w:left="60"/>
              <w:spacing w:after="0"/>
              <w:rPr>
                <w:sz w:val="20"/>
                <w:szCs w:val="20"/>
                <w:color w:val="auto"/>
              </w:rPr>
            </w:pPr>
            <w:r>
              <w:rPr>
                <w:rFonts w:ascii="Arial" w:cs="Arial" w:eastAsia="Arial" w:hAnsi="Arial"/>
                <w:sz w:val="13"/>
                <w:szCs w:val="13"/>
                <w:color w:val="231F20"/>
              </w:rPr>
              <w:t>Majority of the votes cast</w:t>
            </w:r>
          </w:p>
        </w:tc>
        <w:tc>
          <w:tcPr>
            <w:tcW w:w="1480" w:type="dxa"/>
            <w:vAlign w:val="bottom"/>
            <w:shd w:val="clear" w:color="auto" w:fill="EBECEC"/>
          </w:tcPr>
          <w:p>
            <w:pPr>
              <w:ind w:left="80"/>
              <w:spacing w:after="0"/>
              <w:rPr>
                <w:sz w:val="20"/>
                <w:szCs w:val="20"/>
                <w:color w:val="auto"/>
              </w:rPr>
            </w:pPr>
            <w:r>
              <w:rPr>
                <w:rFonts w:ascii="Arial" w:cs="Arial" w:eastAsia="Arial" w:hAnsi="Arial"/>
                <w:sz w:val="13"/>
                <w:szCs w:val="13"/>
                <w:color w:val="auto"/>
              </w:rPr>
              <w:t>No effect —</w:t>
            </w:r>
          </w:p>
        </w:tc>
        <w:tc>
          <w:tcPr>
            <w:tcW w:w="2420" w:type="dxa"/>
            <w:vAlign w:val="bottom"/>
            <w:shd w:val="clear" w:color="auto" w:fill="EBECEC"/>
          </w:tcPr>
          <w:p>
            <w:pPr>
              <w:ind w:left="160"/>
              <w:spacing w:after="0"/>
              <w:rPr>
                <w:sz w:val="20"/>
                <w:szCs w:val="20"/>
                <w:color w:val="auto"/>
              </w:rPr>
            </w:pPr>
            <w:r>
              <w:rPr>
                <w:rFonts w:ascii="Arial" w:cs="Arial" w:eastAsia="Arial" w:hAnsi="Arial"/>
                <w:sz w:val="13"/>
                <w:szCs w:val="13"/>
                <w:color w:val="auto"/>
              </w:rPr>
              <w:t>Yes —</w:t>
            </w:r>
          </w:p>
        </w:tc>
        <w:tc>
          <w:tcPr>
            <w:tcW w:w="0" w:type="dxa"/>
            <w:vAlign w:val="bottom"/>
          </w:tcPr>
          <w:p>
            <w:pPr>
              <w:spacing w:after="0"/>
              <w:rPr>
                <w:sz w:val="1"/>
                <w:szCs w:val="1"/>
                <w:color w:val="auto"/>
              </w:rPr>
            </w:pPr>
          </w:p>
        </w:tc>
      </w:tr>
      <w:tr>
        <w:trPr>
          <w:trHeight w:val="160"/>
        </w:trPr>
        <w:tc>
          <w:tcPr>
            <w:tcW w:w="400" w:type="dxa"/>
            <w:vAlign w:val="bottom"/>
            <w:vMerge w:val="continue"/>
            <w:shd w:val="clear" w:color="auto" w:fill="EBECEC"/>
          </w:tcPr>
          <w:p>
            <w:pPr>
              <w:spacing w:after="0"/>
              <w:rPr>
                <w:sz w:val="13"/>
                <w:szCs w:val="13"/>
                <w:color w:val="auto"/>
              </w:rPr>
            </w:pPr>
          </w:p>
        </w:tc>
        <w:tc>
          <w:tcPr>
            <w:tcW w:w="1940" w:type="dxa"/>
            <w:vAlign w:val="bottom"/>
            <w:shd w:val="clear" w:color="auto" w:fill="EBECEC"/>
          </w:tcPr>
          <w:p>
            <w:pPr>
              <w:ind w:left="40"/>
              <w:spacing w:after="0" w:line="160" w:lineRule="exact"/>
              <w:rPr>
                <w:sz w:val="20"/>
                <w:szCs w:val="20"/>
                <w:color w:val="auto"/>
              </w:rPr>
            </w:pPr>
            <w:r>
              <w:rPr>
                <w:rFonts w:ascii="Arial" w:cs="Arial" w:eastAsia="Arial" w:hAnsi="Arial"/>
                <w:sz w:val="15"/>
                <w:szCs w:val="15"/>
                <w:b w:val="1"/>
                <w:bCs w:val="1"/>
                <w:color w:val="2952A4"/>
              </w:rPr>
              <w:t>Appointment of</w:t>
            </w:r>
          </w:p>
        </w:tc>
        <w:tc>
          <w:tcPr>
            <w:tcW w:w="2400" w:type="dxa"/>
            <w:vAlign w:val="bottom"/>
            <w:shd w:val="clear" w:color="auto" w:fill="EBECEC"/>
          </w:tcPr>
          <w:p>
            <w:pPr>
              <w:spacing w:after="0"/>
              <w:rPr>
                <w:sz w:val="13"/>
                <w:szCs w:val="13"/>
                <w:color w:val="auto"/>
              </w:rPr>
            </w:pPr>
          </w:p>
        </w:tc>
        <w:tc>
          <w:tcPr>
            <w:tcW w:w="1480" w:type="dxa"/>
            <w:vAlign w:val="bottom"/>
            <w:shd w:val="clear" w:color="auto" w:fill="EBECEC"/>
          </w:tcPr>
          <w:p>
            <w:pPr>
              <w:ind w:left="80"/>
              <w:spacing w:after="0"/>
              <w:rPr>
                <w:sz w:val="20"/>
                <w:szCs w:val="20"/>
                <w:color w:val="auto"/>
              </w:rPr>
            </w:pPr>
            <w:r>
              <w:rPr>
                <w:rFonts w:ascii="Arial" w:cs="Arial" w:eastAsia="Arial" w:hAnsi="Arial"/>
                <w:sz w:val="13"/>
                <w:szCs w:val="13"/>
                <w:color w:val="auto"/>
              </w:rPr>
              <w:t>not considered votes</w:t>
            </w:r>
          </w:p>
        </w:tc>
        <w:tc>
          <w:tcPr>
            <w:tcW w:w="2420" w:type="dxa"/>
            <w:vAlign w:val="bottom"/>
            <w:shd w:val="clear" w:color="auto" w:fill="EBECEC"/>
          </w:tcPr>
          <w:p>
            <w:pPr>
              <w:ind w:left="160"/>
              <w:spacing w:after="0"/>
              <w:rPr>
                <w:sz w:val="20"/>
                <w:szCs w:val="20"/>
                <w:color w:val="auto"/>
              </w:rPr>
            </w:pPr>
            <w:r>
              <w:rPr>
                <w:rFonts w:ascii="Arial" w:cs="Arial" w:eastAsia="Arial" w:hAnsi="Arial"/>
                <w:sz w:val="13"/>
                <w:szCs w:val="13"/>
                <w:color w:val="auto"/>
              </w:rPr>
              <w:t>brokers without voting instructions will</w:t>
            </w:r>
          </w:p>
        </w:tc>
        <w:tc>
          <w:tcPr>
            <w:tcW w:w="0" w:type="dxa"/>
            <w:vAlign w:val="bottom"/>
          </w:tcPr>
          <w:p>
            <w:pPr>
              <w:spacing w:after="0"/>
              <w:rPr>
                <w:sz w:val="1"/>
                <w:szCs w:val="1"/>
                <w:color w:val="auto"/>
              </w:rPr>
            </w:pPr>
          </w:p>
        </w:tc>
      </w:tr>
      <w:tr>
        <w:trPr>
          <w:trHeight w:val="164"/>
        </w:trPr>
        <w:tc>
          <w:tcPr>
            <w:tcW w:w="400" w:type="dxa"/>
            <w:vAlign w:val="bottom"/>
            <w:vMerge w:val="continue"/>
            <w:shd w:val="clear" w:color="auto" w:fill="EBECEC"/>
          </w:tcPr>
          <w:p>
            <w:pPr>
              <w:spacing w:after="0"/>
              <w:rPr>
                <w:sz w:val="14"/>
                <w:szCs w:val="14"/>
                <w:color w:val="auto"/>
              </w:rPr>
            </w:pPr>
          </w:p>
        </w:tc>
        <w:tc>
          <w:tcPr>
            <w:tcW w:w="1940" w:type="dxa"/>
            <w:vAlign w:val="bottom"/>
            <w:shd w:val="clear" w:color="auto" w:fill="EBECEC"/>
          </w:tcPr>
          <w:p>
            <w:pPr>
              <w:ind w:left="40"/>
              <w:spacing w:after="0" w:line="164" w:lineRule="exact"/>
              <w:rPr>
                <w:sz w:val="20"/>
                <w:szCs w:val="20"/>
                <w:color w:val="auto"/>
              </w:rPr>
            </w:pPr>
            <w:r>
              <w:rPr>
                <w:rFonts w:ascii="Arial" w:cs="Arial" w:eastAsia="Arial" w:hAnsi="Arial"/>
                <w:sz w:val="15"/>
                <w:szCs w:val="15"/>
                <w:b w:val="1"/>
                <w:bCs w:val="1"/>
                <w:color w:val="2952A4"/>
              </w:rPr>
              <w:t>PricewaterhouseCoopers</w:t>
            </w:r>
          </w:p>
        </w:tc>
        <w:tc>
          <w:tcPr>
            <w:tcW w:w="2400" w:type="dxa"/>
            <w:vAlign w:val="bottom"/>
            <w:shd w:val="clear" w:color="auto" w:fill="EBECEC"/>
          </w:tcPr>
          <w:p>
            <w:pPr>
              <w:spacing w:after="0"/>
              <w:rPr>
                <w:sz w:val="14"/>
                <w:szCs w:val="14"/>
                <w:color w:val="auto"/>
              </w:rPr>
            </w:pPr>
          </w:p>
        </w:tc>
        <w:tc>
          <w:tcPr>
            <w:tcW w:w="1480" w:type="dxa"/>
            <w:vAlign w:val="bottom"/>
            <w:shd w:val="clear" w:color="auto" w:fill="EBECEC"/>
          </w:tcPr>
          <w:p>
            <w:pPr>
              <w:ind w:left="80"/>
              <w:spacing w:after="0"/>
              <w:rPr>
                <w:sz w:val="20"/>
                <w:szCs w:val="20"/>
                <w:color w:val="auto"/>
              </w:rPr>
            </w:pPr>
            <w:r>
              <w:rPr>
                <w:rFonts w:ascii="Arial" w:cs="Arial" w:eastAsia="Arial" w:hAnsi="Arial"/>
                <w:sz w:val="13"/>
                <w:szCs w:val="13"/>
                <w:color w:val="auto"/>
              </w:rPr>
              <w:t>cast on this proposal</w:t>
            </w:r>
          </w:p>
        </w:tc>
        <w:tc>
          <w:tcPr>
            <w:tcW w:w="2420" w:type="dxa"/>
            <w:vAlign w:val="bottom"/>
            <w:shd w:val="clear" w:color="auto" w:fill="EBECEC"/>
          </w:tcPr>
          <w:p>
            <w:pPr>
              <w:ind w:left="160"/>
              <w:spacing w:after="0"/>
              <w:rPr>
                <w:sz w:val="20"/>
                <w:szCs w:val="20"/>
                <w:color w:val="auto"/>
              </w:rPr>
            </w:pPr>
            <w:r>
              <w:rPr>
                <w:rFonts w:ascii="Arial" w:cs="Arial" w:eastAsia="Arial" w:hAnsi="Arial"/>
                <w:sz w:val="13"/>
                <w:szCs w:val="13"/>
                <w:color w:val="auto"/>
              </w:rPr>
              <w:t>have discretionary authority to vote</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vMerge w:val="continue"/>
            <w:shd w:val="clear" w:color="auto" w:fill="EBECEC"/>
          </w:tcPr>
          <w:p>
            <w:pPr>
              <w:spacing w:after="0"/>
              <w:rPr>
                <w:sz w:val="20"/>
                <w:szCs w:val="20"/>
                <w:color w:val="auto"/>
              </w:rPr>
            </w:pPr>
          </w:p>
        </w:tc>
        <w:tc>
          <w:tcPr>
            <w:tcW w:w="1940" w:type="dxa"/>
            <w:vAlign w:val="bottom"/>
            <w:tcBorders>
              <w:bottom w:val="single" w:sz="8" w:color="auto"/>
            </w:tcBorders>
            <w:shd w:val="clear" w:color="auto" w:fill="EBECEC"/>
          </w:tcPr>
          <w:p>
            <w:pPr>
              <w:ind w:left="40"/>
              <w:spacing w:after="0"/>
              <w:rPr>
                <w:sz w:val="20"/>
                <w:szCs w:val="20"/>
                <w:color w:val="auto"/>
              </w:rPr>
            </w:pPr>
            <w:r>
              <w:rPr>
                <w:rFonts w:ascii="Arial" w:cs="Arial" w:eastAsia="Arial" w:hAnsi="Arial"/>
                <w:sz w:val="15"/>
                <w:szCs w:val="15"/>
                <w:b w:val="1"/>
                <w:bCs w:val="1"/>
                <w:color w:val="2952A4"/>
              </w:rPr>
              <w:t>LLP</w:t>
            </w:r>
          </w:p>
        </w:tc>
        <w:tc>
          <w:tcPr>
            <w:tcW w:w="2400" w:type="dxa"/>
            <w:vAlign w:val="bottom"/>
            <w:tcBorders>
              <w:bottom w:val="single" w:sz="8" w:color="auto"/>
            </w:tcBorders>
            <w:shd w:val="clear" w:color="auto" w:fill="EBECEC"/>
          </w:tcPr>
          <w:p>
            <w:pPr>
              <w:spacing w:after="0"/>
              <w:rPr>
                <w:sz w:val="20"/>
                <w:szCs w:val="20"/>
                <w:color w:val="auto"/>
              </w:rPr>
            </w:pPr>
          </w:p>
        </w:tc>
        <w:tc>
          <w:tcPr>
            <w:tcW w:w="1480" w:type="dxa"/>
            <w:vAlign w:val="bottom"/>
            <w:tcBorders>
              <w:bottom w:val="single" w:sz="8" w:color="auto"/>
            </w:tcBorders>
            <w:shd w:val="clear" w:color="auto" w:fill="EBECEC"/>
          </w:tcPr>
          <w:p>
            <w:pPr>
              <w:spacing w:after="0"/>
              <w:rPr>
                <w:sz w:val="20"/>
                <w:szCs w:val="20"/>
                <w:color w:val="auto"/>
              </w:rPr>
            </w:pPr>
          </w:p>
        </w:tc>
        <w:tc>
          <w:tcPr>
            <w:tcW w:w="2420" w:type="dxa"/>
            <w:vAlign w:val="bottom"/>
            <w:tcBorders>
              <w:bottom w:val="single" w:sz="8" w:color="auto"/>
            </w:tcBorders>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 w:type="dxa"/>
            <w:vAlign w:val="bottom"/>
            <w:vMerge w:val="restart"/>
          </w:tcPr>
          <w:p>
            <w:pPr>
              <w:ind w:left="40"/>
              <w:spacing w:after="0"/>
              <w:rPr>
                <w:sz w:val="20"/>
                <w:szCs w:val="20"/>
                <w:color w:val="auto"/>
              </w:rPr>
            </w:pPr>
            <w:r>
              <w:rPr>
                <w:rFonts w:ascii="Arial" w:cs="Arial" w:eastAsia="Arial" w:hAnsi="Arial"/>
                <w:sz w:val="61"/>
                <w:szCs w:val="61"/>
                <w:b w:val="1"/>
                <w:bCs w:val="1"/>
                <w:color w:val="C24D5C"/>
              </w:rPr>
              <w:t>3</w:t>
            </w:r>
          </w:p>
        </w:tc>
        <w:tc>
          <w:tcPr>
            <w:tcW w:w="1940" w:type="dxa"/>
            <w:vAlign w:val="bottom"/>
          </w:tcPr>
          <w:p>
            <w:pPr>
              <w:ind w:left="40"/>
              <w:spacing w:after="0"/>
              <w:rPr>
                <w:sz w:val="20"/>
                <w:szCs w:val="20"/>
                <w:color w:val="auto"/>
              </w:rPr>
            </w:pPr>
            <w:r>
              <w:rPr>
                <w:rFonts w:ascii="Arial" w:cs="Arial" w:eastAsia="Arial" w:hAnsi="Arial"/>
                <w:sz w:val="15"/>
                <w:szCs w:val="15"/>
                <w:b w:val="1"/>
                <w:bCs w:val="1"/>
                <w:color w:val="2952A4"/>
              </w:rPr>
              <w:t>Approval of the Second</w:t>
            </w:r>
          </w:p>
        </w:tc>
        <w:tc>
          <w:tcPr>
            <w:tcW w:w="2400" w:type="dxa"/>
            <w:vAlign w:val="bottom"/>
          </w:tcPr>
          <w:p>
            <w:pPr>
              <w:ind w:left="60"/>
              <w:spacing w:after="0"/>
              <w:rPr>
                <w:sz w:val="20"/>
                <w:szCs w:val="20"/>
                <w:color w:val="auto"/>
              </w:rPr>
            </w:pPr>
            <w:r>
              <w:rPr>
                <w:rFonts w:ascii="Arial" w:cs="Arial" w:eastAsia="Arial" w:hAnsi="Arial"/>
                <w:sz w:val="13"/>
                <w:szCs w:val="13"/>
                <w:color w:val="231F20"/>
              </w:rPr>
              <w:t>Majority of the votes cast</w:t>
            </w:r>
          </w:p>
        </w:tc>
        <w:tc>
          <w:tcPr>
            <w:tcW w:w="1480" w:type="dxa"/>
            <w:vAlign w:val="bottom"/>
          </w:tcPr>
          <w:p>
            <w:pPr>
              <w:ind w:left="80"/>
              <w:spacing w:after="0"/>
              <w:rPr>
                <w:sz w:val="20"/>
                <w:szCs w:val="20"/>
                <w:color w:val="auto"/>
              </w:rPr>
            </w:pPr>
            <w:r>
              <w:rPr>
                <w:rFonts w:ascii="Arial" w:cs="Arial" w:eastAsia="Arial" w:hAnsi="Arial"/>
                <w:sz w:val="13"/>
                <w:szCs w:val="13"/>
                <w:color w:val="auto"/>
              </w:rPr>
              <w:t>No effect —</w:t>
            </w:r>
          </w:p>
        </w:tc>
        <w:tc>
          <w:tcPr>
            <w:tcW w:w="2420" w:type="dxa"/>
            <w:vAlign w:val="bottom"/>
          </w:tcPr>
          <w:p>
            <w:pPr>
              <w:ind w:left="160"/>
              <w:spacing w:after="0"/>
              <w:rPr>
                <w:sz w:val="20"/>
                <w:szCs w:val="20"/>
                <w:color w:val="auto"/>
              </w:rPr>
            </w:pPr>
            <w:r>
              <w:rPr>
                <w:rFonts w:ascii="Arial" w:cs="Arial" w:eastAsia="Arial" w:hAnsi="Arial"/>
                <w:sz w:val="13"/>
                <w:szCs w:val="13"/>
                <w:color w:val="auto"/>
              </w:rPr>
              <w:t>No —</w:t>
            </w:r>
          </w:p>
        </w:tc>
        <w:tc>
          <w:tcPr>
            <w:tcW w:w="0" w:type="dxa"/>
            <w:vAlign w:val="bottom"/>
          </w:tcPr>
          <w:p>
            <w:pPr>
              <w:spacing w:after="0"/>
              <w:rPr>
                <w:sz w:val="1"/>
                <w:szCs w:val="1"/>
                <w:color w:val="auto"/>
              </w:rPr>
            </w:pPr>
          </w:p>
        </w:tc>
      </w:tr>
      <w:tr>
        <w:trPr>
          <w:trHeight w:val="160"/>
        </w:trPr>
        <w:tc>
          <w:tcPr>
            <w:tcW w:w="400" w:type="dxa"/>
            <w:vAlign w:val="bottom"/>
            <w:vMerge w:val="continue"/>
          </w:tcPr>
          <w:p>
            <w:pPr>
              <w:spacing w:after="0"/>
              <w:rPr>
                <w:sz w:val="13"/>
                <w:szCs w:val="13"/>
                <w:color w:val="auto"/>
              </w:rPr>
            </w:pPr>
          </w:p>
        </w:tc>
        <w:tc>
          <w:tcPr>
            <w:tcW w:w="1940" w:type="dxa"/>
            <w:vAlign w:val="bottom"/>
          </w:tcPr>
          <w:p>
            <w:pPr>
              <w:ind w:left="40"/>
              <w:spacing w:after="0" w:line="160" w:lineRule="exact"/>
              <w:rPr>
                <w:sz w:val="20"/>
                <w:szCs w:val="20"/>
                <w:color w:val="auto"/>
              </w:rPr>
            </w:pPr>
            <w:r>
              <w:rPr>
                <w:rFonts w:ascii="Arial" w:cs="Arial" w:eastAsia="Arial" w:hAnsi="Arial"/>
                <w:sz w:val="15"/>
                <w:szCs w:val="15"/>
                <w:b w:val="1"/>
                <w:bCs w:val="1"/>
                <w:color w:val="2952A4"/>
              </w:rPr>
              <w:t>Amended and Restated</w:t>
            </w:r>
          </w:p>
        </w:tc>
        <w:tc>
          <w:tcPr>
            <w:tcW w:w="2400" w:type="dxa"/>
            <w:vAlign w:val="bottom"/>
          </w:tcPr>
          <w:p>
            <w:pPr>
              <w:spacing w:after="0"/>
              <w:rPr>
                <w:sz w:val="13"/>
                <w:szCs w:val="13"/>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not considered votes</w:t>
            </w:r>
          </w:p>
        </w:tc>
        <w:tc>
          <w:tcPr>
            <w:tcW w:w="2420" w:type="dxa"/>
            <w:vAlign w:val="bottom"/>
          </w:tcPr>
          <w:p>
            <w:pPr>
              <w:ind w:left="160"/>
              <w:spacing w:after="0"/>
              <w:rPr>
                <w:sz w:val="20"/>
                <w:szCs w:val="20"/>
                <w:color w:val="auto"/>
              </w:rPr>
            </w:pPr>
            <w:r>
              <w:rPr>
                <w:rFonts w:ascii="Arial" w:cs="Arial" w:eastAsia="Arial" w:hAnsi="Arial"/>
                <w:sz w:val="13"/>
                <w:szCs w:val="13"/>
                <w:color w:val="auto"/>
              </w:rPr>
              <w:t>brokers without voting instructions will</w:t>
            </w:r>
          </w:p>
        </w:tc>
        <w:tc>
          <w:tcPr>
            <w:tcW w:w="0" w:type="dxa"/>
            <w:vAlign w:val="bottom"/>
          </w:tcPr>
          <w:p>
            <w:pPr>
              <w:spacing w:after="0"/>
              <w:rPr>
                <w:sz w:val="1"/>
                <w:szCs w:val="1"/>
                <w:color w:val="auto"/>
              </w:rPr>
            </w:pPr>
          </w:p>
        </w:tc>
      </w:tr>
      <w:tr>
        <w:trPr>
          <w:trHeight w:val="164"/>
        </w:trPr>
        <w:tc>
          <w:tcPr>
            <w:tcW w:w="400" w:type="dxa"/>
            <w:vAlign w:val="bottom"/>
            <w:vMerge w:val="continue"/>
          </w:tcPr>
          <w:p>
            <w:pPr>
              <w:spacing w:after="0"/>
              <w:rPr>
                <w:sz w:val="14"/>
                <w:szCs w:val="14"/>
                <w:color w:val="auto"/>
              </w:rPr>
            </w:pPr>
          </w:p>
        </w:tc>
        <w:tc>
          <w:tcPr>
            <w:tcW w:w="1940" w:type="dxa"/>
            <w:vAlign w:val="bottom"/>
          </w:tcPr>
          <w:p>
            <w:pPr>
              <w:ind w:left="40"/>
              <w:spacing w:after="0" w:line="164" w:lineRule="exact"/>
              <w:rPr>
                <w:sz w:val="20"/>
                <w:szCs w:val="20"/>
                <w:color w:val="auto"/>
              </w:rPr>
            </w:pPr>
            <w:r>
              <w:rPr>
                <w:rFonts w:ascii="Arial" w:cs="Arial" w:eastAsia="Arial" w:hAnsi="Arial"/>
                <w:sz w:val="15"/>
                <w:szCs w:val="15"/>
                <w:b w:val="1"/>
                <w:bCs w:val="1"/>
                <w:color w:val="2952A4"/>
              </w:rPr>
              <w:t>Regeneron</w:t>
            </w:r>
          </w:p>
        </w:tc>
        <w:tc>
          <w:tcPr>
            <w:tcW w:w="240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cast on this proposal</w:t>
            </w:r>
          </w:p>
        </w:tc>
        <w:tc>
          <w:tcPr>
            <w:tcW w:w="2420" w:type="dxa"/>
            <w:vAlign w:val="bottom"/>
          </w:tcPr>
          <w:p>
            <w:pPr>
              <w:ind w:left="160"/>
              <w:spacing w:after="0"/>
              <w:rPr>
                <w:sz w:val="20"/>
                <w:szCs w:val="20"/>
                <w:color w:val="auto"/>
              </w:rPr>
            </w:pPr>
            <w:r>
              <w:rPr>
                <w:rFonts w:ascii="Arial" w:cs="Arial" w:eastAsia="Arial" w:hAnsi="Arial"/>
                <w:sz w:val="13"/>
                <w:szCs w:val="13"/>
                <w:color w:val="auto"/>
              </w:rPr>
              <w:t>not be able to vote on this proposal</w:t>
            </w: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1940" w:type="dxa"/>
            <w:vAlign w:val="bottom"/>
          </w:tcPr>
          <w:p>
            <w:pPr>
              <w:ind w:left="40"/>
              <w:spacing w:after="0" w:line="162" w:lineRule="exact"/>
              <w:rPr>
                <w:sz w:val="20"/>
                <w:szCs w:val="20"/>
                <w:color w:val="auto"/>
              </w:rPr>
            </w:pPr>
            <w:r>
              <w:rPr>
                <w:rFonts w:ascii="Arial" w:cs="Arial" w:eastAsia="Arial" w:hAnsi="Arial"/>
                <w:sz w:val="15"/>
                <w:szCs w:val="15"/>
                <w:b w:val="1"/>
                <w:bCs w:val="1"/>
                <w:color w:val="2952A4"/>
              </w:rPr>
              <w:t>Pharmaceuticals, Inc.</w:t>
            </w: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940" w:type="dxa"/>
            <w:vAlign w:val="bottom"/>
          </w:tcPr>
          <w:p>
            <w:pPr>
              <w:ind w:left="40"/>
              <w:spacing w:after="0" w:line="162" w:lineRule="exact"/>
              <w:rPr>
                <w:sz w:val="20"/>
                <w:szCs w:val="20"/>
                <w:color w:val="auto"/>
              </w:rPr>
            </w:pPr>
            <w:r>
              <w:rPr>
                <w:rFonts w:ascii="Arial" w:cs="Arial" w:eastAsia="Arial" w:hAnsi="Arial"/>
                <w:sz w:val="15"/>
                <w:szCs w:val="15"/>
                <w:b w:val="1"/>
                <w:bCs w:val="1"/>
                <w:color w:val="2952A4"/>
              </w:rPr>
              <w:t>2014 Long-Term</w:t>
            </w: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940" w:type="dxa"/>
            <w:vAlign w:val="bottom"/>
          </w:tcPr>
          <w:p>
            <w:pPr>
              <w:ind w:left="40"/>
              <w:spacing w:after="0"/>
              <w:rPr>
                <w:sz w:val="20"/>
                <w:szCs w:val="20"/>
                <w:color w:val="auto"/>
              </w:rPr>
            </w:pPr>
            <w:r>
              <w:rPr>
                <w:rFonts w:ascii="Arial" w:cs="Arial" w:eastAsia="Arial" w:hAnsi="Arial"/>
                <w:sz w:val="15"/>
                <w:szCs w:val="15"/>
                <w:b w:val="1"/>
                <w:bCs w:val="1"/>
                <w:color w:val="2952A4"/>
              </w:rPr>
              <w:t>Incentive Plan</w:t>
            </w:r>
          </w:p>
        </w:tc>
        <w:tc>
          <w:tcPr>
            <w:tcW w:w="2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00" w:type="dxa"/>
            <w:vAlign w:val="bottom"/>
            <w:vMerge w:val="restart"/>
            <w:shd w:val="clear" w:color="auto" w:fill="EBECEC"/>
          </w:tcPr>
          <w:p>
            <w:pPr>
              <w:ind w:left="40"/>
              <w:spacing w:after="0"/>
              <w:rPr>
                <w:sz w:val="20"/>
                <w:szCs w:val="20"/>
                <w:color w:val="auto"/>
              </w:rPr>
            </w:pPr>
            <w:r>
              <w:rPr>
                <w:rFonts w:ascii="Arial" w:cs="Arial" w:eastAsia="Arial" w:hAnsi="Arial"/>
                <w:sz w:val="61"/>
                <w:szCs w:val="61"/>
                <w:b w:val="1"/>
                <w:bCs w:val="1"/>
                <w:color w:val="C24D5C"/>
              </w:rPr>
              <w:t>4</w:t>
            </w:r>
          </w:p>
        </w:tc>
        <w:tc>
          <w:tcPr>
            <w:tcW w:w="1940" w:type="dxa"/>
            <w:vAlign w:val="bottom"/>
            <w:shd w:val="clear" w:color="auto" w:fill="EBECEC"/>
          </w:tcPr>
          <w:p>
            <w:pPr>
              <w:ind w:left="40"/>
              <w:spacing w:after="0"/>
              <w:rPr>
                <w:sz w:val="20"/>
                <w:szCs w:val="20"/>
                <w:color w:val="auto"/>
              </w:rPr>
            </w:pPr>
            <w:r>
              <w:rPr>
                <w:rFonts w:ascii="Arial" w:cs="Arial" w:eastAsia="Arial" w:hAnsi="Arial"/>
                <w:sz w:val="15"/>
                <w:szCs w:val="15"/>
                <w:b w:val="1"/>
                <w:bCs w:val="1"/>
                <w:color w:val="2952A4"/>
              </w:rPr>
              <w:t>Say on Pay</w:t>
            </w:r>
          </w:p>
        </w:tc>
        <w:tc>
          <w:tcPr>
            <w:tcW w:w="2400" w:type="dxa"/>
            <w:vAlign w:val="bottom"/>
            <w:shd w:val="clear" w:color="auto" w:fill="EBECEC"/>
          </w:tcPr>
          <w:p>
            <w:pPr>
              <w:ind w:left="60"/>
              <w:spacing w:after="0"/>
              <w:rPr>
                <w:sz w:val="20"/>
                <w:szCs w:val="20"/>
                <w:color w:val="auto"/>
              </w:rPr>
            </w:pPr>
            <w:r>
              <w:rPr>
                <w:rFonts w:ascii="Arial" w:cs="Arial" w:eastAsia="Arial" w:hAnsi="Arial"/>
                <w:sz w:val="13"/>
                <w:szCs w:val="13"/>
                <w:color w:val="auto"/>
              </w:rPr>
              <w:t>Non-binding, advisory proposal. We will</w:t>
            </w:r>
          </w:p>
        </w:tc>
        <w:tc>
          <w:tcPr>
            <w:tcW w:w="1480" w:type="dxa"/>
            <w:vAlign w:val="bottom"/>
            <w:shd w:val="clear" w:color="auto" w:fill="EBECEC"/>
          </w:tcPr>
          <w:p>
            <w:pPr>
              <w:ind w:left="80"/>
              <w:spacing w:after="0"/>
              <w:rPr>
                <w:sz w:val="20"/>
                <w:szCs w:val="20"/>
                <w:color w:val="auto"/>
              </w:rPr>
            </w:pPr>
            <w:r>
              <w:rPr>
                <w:rFonts w:ascii="Arial" w:cs="Arial" w:eastAsia="Arial" w:hAnsi="Arial"/>
                <w:sz w:val="13"/>
                <w:szCs w:val="13"/>
                <w:color w:val="auto"/>
              </w:rPr>
              <w:t>No effect —</w:t>
            </w:r>
          </w:p>
        </w:tc>
        <w:tc>
          <w:tcPr>
            <w:tcW w:w="2420" w:type="dxa"/>
            <w:vAlign w:val="bottom"/>
            <w:shd w:val="clear" w:color="auto" w:fill="EBECEC"/>
          </w:tcPr>
          <w:p>
            <w:pPr>
              <w:ind w:left="160"/>
              <w:spacing w:after="0"/>
              <w:rPr>
                <w:sz w:val="20"/>
                <w:szCs w:val="20"/>
                <w:color w:val="auto"/>
              </w:rPr>
            </w:pPr>
            <w:r>
              <w:rPr>
                <w:rFonts w:ascii="Arial" w:cs="Arial" w:eastAsia="Arial" w:hAnsi="Arial"/>
                <w:sz w:val="13"/>
                <w:szCs w:val="13"/>
                <w:color w:val="auto"/>
              </w:rPr>
              <w:t>No —</w:t>
            </w:r>
          </w:p>
        </w:tc>
        <w:tc>
          <w:tcPr>
            <w:tcW w:w="0" w:type="dxa"/>
            <w:vAlign w:val="bottom"/>
          </w:tcPr>
          <w:p>
            <w:pPr>
              <w:spacing w:after="0"/>
              <w:rPr>
                <w:sz w:val="1"/>
                <w:szCs w:val="1"/>
                <w:color w:val="auto"/>
              </w:rPr>
            </w:pPr>
          </w:p>
        </w:tc>
      </w:tr>
      <w:tr>
        <w:trPr>
          <w:trHeight w:val="148"/>
        </w:trPr>
        <w:tc>
          <w:tcPr>
            <w:tcW w:w="400" w:type="dxa"/>
            <w:vAlign w:val="bottom"/>
            <w:vMerge w:val="continue"/>
            <w:shd w:val="clear" w:color="auto" w:fill="EBECEC"/>
          </w:tcPr>
          <w:p>
            <w:pPr>
              <w:spacing w:after="0"/>
              <w:rPr>
                <w:sz w:val="12"/>
                <w:szCs w:val="12"/>
                <w:color w:val="auto"/>
              </w:rPr>
            </w:pPr>
          </w:p>
        </w:tc>
        <w:tc>
          <w:tcPr>
            <w:tcW w:w="1940" w:type="dxa"/>
            <w:vAlign w:val="bottom"/>
            <w:shd w:val="clear" w:color="auto" w:fill="EBECEC"/>
          </w:tcPr>
          <w:p>
            <w:pPr>
              <w:spacing w:after="0"/>
              <w:rPr>
                <w:sz w:val="12"/>
                <w:szCs w:val="12"/>
                <w:color w:val="auto"/>
              </w:rPr>
            </w:pPr>
          </w:p>
        </w:tc>
        <w:tc>
          <w:tcPr>
            <w:tcW w:w="2400" w:type="dxa"/>
            <w:vAlign w:val="bottom"/>
            <w:shd w:val="clear" w:color="auto" w:fill="EBECEC"/>
          </w:tcPr>
          <w:p>
            <w:pPr>
              <w:ind w:left="60"/>
              <w:spacing w:after="0"/>
              <w:rPr>
                <w:sz w:val="20"/>
                <w:szCs w:val="20"/>
                <w:color w:val="auto"/>
              </w:rPr>
            </w:pPr>
            <w:r>
              <w:rPr>
                <w:rFonts w:ascii="Arial" w:cs="Arial" w:eastAsia="Arial" w:hAnsi="Arial"/>
                <w:sz w:val="13"/>
                <w:szCs w:val="13"/>
                <w:color w:val="auto"/>
              </w:rPr>
              <w:t>consider the matter approved if it</w:t>
            </w:r>
          </w:p>
        </w:tc>
        <w:tc>
          <w:tcPr>
            <w:tcW w:w="1480" w:type="dxa"/>
            <w:vAlign w:val="bottom"/>
            <w:shd w:val="clear" w:color="auto" w:fill="EBECEC"/>
          </w:tcPr>
          <w:p>
            <w:pPr>
              <w:ind w:left="80"/>
              <w:spacing w:after="0"/>
              <w:rPr>
                <w:sz w:val="20"/>
                <w:szCs w:val="20"/>
                <w:color w:val="auto"/>
              </w:rPr>
            </w:pPr>
            <w:r>
              <w:rPr>
                <w:rFonts w:ascii="Arial" w:cs="Arial" w:eastAsia="Arial" w:hAnsi="Arial"/>
                <w:sz w:val="13"/>
                <w:szCs w:val="13"/>
                <w:color w:val="auto"/>
              </w:rPr>
              <w:t>not considered votes</w:t>
            </w:r>
          </w:p>
        </w:tc>
        <w:tc>
          <w:tcPr>
            <w:tcW w:w="2420" w:type="dxa"/>
            <w:vAlign w:val="bottom"/>
            <w:shd w:val="clear" w:color="auto" w:fill="EBECEC"/>
          </w:tcPr>
          <w:p>
            <w:pPr>
              <w:ind w:left="160"/>
              <w:spacing w:after="0"/>
              <w:rPr>
                <w:sz w:val="20"/>
                <w:szCs w:val="20"/>
                <w:color w:val="auto"/>
              </w:rPr>
            </w:pPr>
            <w:r>
              <w:rPr>
                <w:rFonts w:ascii="Arial" w:cs="Arial" w:eastAsia="Arial" w:hAnsi="Arial"/>
                <w:sz w:val="13"/>
                <w:szCs w:val="13"/>
                <w:color w:val="auto"/>
              </w:rPr>
              <w:t>brokers without voting instructions will</w:t>
            </w:r>
          </w:p>
        </w:tc>
        <w:tc>
          <w:tcPr>
            <w:tcW w:w="0" w:type="dxa"/>
            <w:vAlign w:val="bottom"/>
          </w:tcPr>
          <w:p>
            <w:pPr>
              <w:spacing w:after="0"/>
              <w:rPr>
                <w:sz w:val="1"/>
                <w:szCs w:val="1"/>
                <w:color w:val="auto"/>
              </w:rPr>
            </w:pPr>
          </w:p>
        </w:tc>
      </w:tr>
      <w:tr>
        <w:trPr>
          <w:trHeight w:val="148"/>
        </w:trPr>
        <w:tc>
          <w:tcPr>
            <w:tcW w:w="400" w:type="dxa"/>
            <w:vAlign w:val="bottom"/>
            <w:vMerge w:val="continue"/>
            <w:shd w:val="clear" w:color="auto" w:fill="EBECEC"/>
          </w:tcPr>
          <w:p>
            <w:pPr>
              <w:spacing w:after="0"/>
              <w:rPr>
                <w:sz w:val="12"/>
                <w:szCs w:val="12"/>
                <w:color w:val="auto"/>
              </w:rPr>
            </w:pPr>
          </w:p>
        </w:tc>
        <w:tc>
          <w:tcPr>
            <w:tcW w:w="1940" w:type="dxa"/>
            <w:vAlign w:val="bottom"/>
            <w:shd w:val="clear" w:color="auto" w:fill="EBECEC"/>
          </w:tcPr>
          <w:p>
            <w:pPr>
              <w:spacing w:after="0"/>
              <w:rPr>
                <w:sz w:val="12"/>
                <w:szCs w:val="12"/>
                <w:color w:val="auto"/>
              </w:rPr>
            </w:pPr>
          </w:p>
        </w:tc>
        <w:tc>
          <w:tcPr>
            <w:tcW w:w="2400" w:type="dxa"/>
            <w:vAlign w:val="bottom"/>
            <w:shd w:val="clear" w:color="auto" w:fill="EBECEC"/>
          </w:tcPr>
          <w:p>
            <w:pPr>
              <w:ind w:left="60"/>
              <w:spacing w:after="0"/>
              <w:rPr>
                <w:sz w:val="20"/>
                <w:szCs w:val="20"/>
                <w:color w:val="auto"/>
              </w:rPr>
            </w:pPr>
            <w:r>
              <w:rPr>
                <w:rFonts w:ascii="Arial" w:cs="Arial" w:eastAsia="Arial" w:hAnsi="Arial"/>
                <w:sz w:val="13"/>
                <w:szCs w:val="13"/>
                <w:color w:val="auto"/>
              </w:rPr>
              <w:t>receives the affirmative vote of a</w:t>
            </w:r>
          </w:p>
        </w:tc>
        <w:tc>
          <w:tcPr>
            <w:tcW w:w="1480" w:type="dxa"/>
            <w:vAlign w:val="bottom"/>
            <w:shd w:val="clear" w:color="auto" w:fill="EBECEC"/>
          </w:tcPr>
          <w:p>
            <w:pPr>
              <w:ind w:left="80"/>
              <w:spacing w:after="0"/>
              <w:rPr>
                <w:sz w:val="20"/>
                <w:szCs w:val="20"/>
                <w:color w:val="auto"/>
              </w:rPr>
            </w:pPr>
            <w:r>
              <w:rPr>
                <w:rFonts w:ascii="Arial" w:cs="Arial" w:eastAsia="Arial" w:hAnsi="Arial"/>
                <w:sz w:val="13"/>
                <w:szCs w:val="13"/>
                <w:color w:val="auto"/>
              </w:rPr>
              <w:t>cast on this proposal</w:t>
            </w:r>
          </w:p>
        </w:tc>
        <w:tc>
          <w:tcPr>
            <w:tcW w:w="2420" w:type="dxa"/>
            <w:vAlign w:val="bottom"/>
            <w:shd w:val="clear" w:color="auto" w:fill="EBECEC"/>
          </w:tcPr>
          <w:p>
            <w:pPr>
              <w:ind w:left="160"/>
              <w:spacing w:after="0"/>
              <w:rPr>
                <w:sz w:val="20"/>
                <w:szCs w:val="20"/>
                <w:color w:val="auto"/>
              </w:rPr>
            </w:pPr>
            <w:r>
              <w:rPr>
                <w:rFonts w:ascii="Arial" w:cs="Arial" w:eastAsia="Arial" w:hAnsi="Arial"/>
                <w:sz w:val="13"/>
                <w:szCs w:val="13"/>
                <w:color w:val="auto"/>
              </w:rPr>
              <w:t>not be able to vote on this proposal</w:t>
            </w:r>
          </w:p>
        </w:tc>
        <w:tc>
          <w:tcPr>
            <w:tcW w:w="0" w:type="dxa"/>
            <w:vAlign w:val="bottom"/>
          </w:tcPr>
          <w:p>
            <w:pPr>
              <w:spacing w:after="0"/>
              <w:rPr>
                <w:sz w:val="1"/>
                <w:szCs w:val="1"/>
                <w:color w:val="auto"/>
              </w:rPr>
            </w:pPr>
          </w:p>
        </w:tc>
      </w:tr>
      <w:tr>
        <w:trPr>
          <w:trHeight w:val="199"/>
        </w:trPr>
        <w:tc>
          <w:tcPr>
            <w:tcW w:w="400" w:type="dxa"/>
            <w:vAlign w:val="bottom"/>
            <w:tcBorders>
              <w:bottom w:val="single" w:sz="8" w:color="auto"/>
            </w:tcBorders>
            <w:vMerge w:val="continue"/>
            <w:shd w:val="clear" w:color="auto" w:fill="EBECEC"/>
          </w:tcPr>
          <w:p>
            <w:pPr>
              <w:spacing w:after="0"/>
              <w:rPr>
                <w:sz w:val="17"/>
                <w:szCs w:val="17"/>
                <w:color w:val="auto"/>
              </w:rPr>
            </w:pPr>
          </w:p>
        </w:tc>
        <w:tc>
          <w:tcPr>
            <w:tcW w:w="1940" w:type="dxa"/>
            <w:vAlign w:val="bottom"/>
            <w:tcBorders>
              <w:bottom w:val="single" w:sz="8" w:color="auto"/>
            </w:tcBorders>
            <w:shd w:val="clear" w:color="auto" w:fill="EBECEC"/>
          </w:tcPr>
          <w:p>
            <w:pPr>
              <w:spacing w:after="0"/>
              <w:rPr>
                <w:sz w:val="17"/>
                <w:szCs w:val="17"/>
                <w:color w:val="auto"/>
              </w:rPr>
            </w:pPr>
          </w:p>
        </w:tc>
        <w:tc>
          <w:tcPr>
            <w:tcW w:w="2400" w:type="dxa"/>
            <w:vAlign w:val="bottom"/>
            <w:tcBorders>
              <w:bottom w:val="single" w:sz="8" w:color="auto"/>
            </w:tcBorders>
            <w:shd w:val="clear" w:color="auto" w:fill="EBECEC"/>
          </w:tcPr>
          <w:p>
            <w:pPr>
              <w:ind w:left="60"/>
              <w:spacing w:after="0"/>
              <w:rPr>
                <w:sz w:val="20"/>
                <w:szCs w:val="20"/>
                <w:color w:val="auto"/>
              </w:rPr>
            </w:pPr>
            <w:r>
              <w:rPr>
                <w:rFonts w:ascii="Arial" w:cs="Arial" w:eastAsia="Arial" w:hAnsi="Arial"/>
                <w:sz w:val="13"/>
                <w:szCs w:val="13"/>
                <w:color w:val="auto"/>
              </w:rPr>
              <w:t>majority of the votes cast</w:t>
            </w:r>
          </w:p>
        </w:tc>
        <w:tc>
          <w:tcPr>
            <w:tcW w:w="1480" w:type="dxa"/>
            <w:vAlign w:val="bottom"/>
            <w:tcBorders>
              <w:bottom w:val="single" w:sz="8" w:color="auto"/>
            </w:tcBorders>
            <w:shd w:val="clear" w:color="auto" w:fill="EBECEC"/>
          </w:tcPr>
          <w:p>
            <w:pPr>
              <w:spacing w:after="0"/>
              <w:rPr>
                <w:sz w:val="17"/>
                <w:szCs w:val="17"/>
                <w:color w:val="auto"/>
              </w:rPr>
            </w:pPr>
          </w:p>
        </w:tc>
        <w:tc>
          <w:tcPr>
            <w:tcW w:w="2420" w:type="dxa"/>
            <w:vAlign w:val="bottom"/>
            <w:tcBorders>
              <w:bottom w:val="single" w:sz="8" w:color="auto"/>
            </w:tcBorders>
            <w:shd w:val="clear" w:color="auto" w:fill="EBECEC"/>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480" w:hanging="176"/>
        <w:spacing w:after="0"/>
        <w:tabs>
          <w:tab w:leader="none" w:pos="1480" w:val="left"/>
        </w:tabs>
        <w:numPr>
          <w:ilvl w:val="0"/>
          <w:numId w:val="22"/>
        </w:numPr>
        <w:rPr>
          <w:rFonts w:ascii="Arial" w:cs="Arial" w:eastAsia="Arial" w:hAnsi="Arial"/>
          <w:sz w:val="14"/>
          <w:szCs w:val="14"/>
          <w:b w:val="1"/>
          <w:bCs w:val="1"/>
          <w:color w:val="2952A4"/>
        </w:rPr>
      </w:pPr>
      <w:r>
        <w:rPr>
          <w:rFonts w:ascii="Arial" w:cs="Arial" w:eastAsia="Arial" w:hAnsi="Arial"/>
          <w:sz w:val="14"/>
          <w:szCs w:val="14"/>
          <w:color w:val="231F20"/>
        </w:rPr>
        <w:t>As noted above, abstentions will be counted as present for purposes of establishing a quorum at the Annual Meeting.</w:t>
      </w:r>
    </w:p>
    <w:p>
      <w:pPr>
        <w:spacing w:after="0" w:line="69" w:lineRule="exact"/>
        <w:rPr>
          <w:sz w:val="20"/>
          <w:szCs w:val="20"/>
          <w:color w:val="auto"/>
        </w:rPr>
      </w:pPr>
    </w:p>
    <w:p>
      <w:pPr>
        <w:ind w:left="1480" w:right="1460" w:hanging="176"/>
        <w:spacing w:after="0" w:line="258" w:lineRule="auto"/>
        <w:tabs>
          <w:tab w:leader="none" w:pos="1480" w:val="left"/>
        </w:tabs>
        <w:numPr>
          <w:ilvl w:val="0"/>
          <w:numId w:val="23"/>
        </w:numPr>
        <w:rPr>
          <w:rFonts w:ascii="Arial" w:cs="Arial" w:eastAsia="Arial" w:hAnsi="Arial"/>
          <w:sz w:val="14"/>
          <w:szCs w:val="14"/>
          <w:b w:val="1"/>
          <w:bCs w:val="1"/>
          <w:color w:val="2952A4"/>
        </w:rPr>
      </w:pPr>
      <w:r>
        <w:rPr>
          <w:rFonts w:ascii="Arial" w:cs="Arial" w:eastAsia="Arial" w:hAnsi="Arial"/>
          <w:sz w:val="14"/>
          <w:szCs w:val="14"/>
          <w:color w:val="231F20"/>
        </w:rPr>
        <w:t>Only relevant if you are the beneficial owner of shares held in “street name.” If you are a shareholder of record and you do not cast your vote, no votes will be cast on your behalf on any of the items of business at the Annual Meeting.</w:t>
      </w:r>
    </w:p>
    <w:p>
      <w:pPr>
        <w:spacing w:after="0" w:line="132" w:lineRule="exact"/>
        <w:rPr>
          <w:sz w:val="20"/>
          <w:szCs w:val="20"/>
          <w:color w:val="auto"/>
        </w:rPr>
      </w:pPr>
    </w:p>
    <w:p>
      <w:pPr>
        <w:ind w:left="1300" w:right="1380"/>
        <w:spacing w:after="0" w:line="242" w:lineRule="auto"/>
        <w:rPr>
          <w:sz w:val="20"/>
          <w:szCs w:val="20"/>
          <w:color w:val="auto"/>
        </w:rPr>
      </w:pPr>
      <w:r>
        <w:rPr>
          <w:rFonts w:ascii="Arial" w:cs="Arial" w:eastAsia="Arial" w:hAnsi="Arial"/>
          <w:sz w:val="15"/>
          <w:szCs w:val="15"/>
          <w:color w:val="231F20"/>
        </w:rPr>
        <w:t>If any other matter is properly brought before the Annual Meeting, such matter also will be determined by the affirmative vote of a majority of the votes cast at the Annual Meeting.</w:t>
      </w:r>
    </w:p>
    <w:p>
      <w:pPr>
        <w:spacing w:after="0" w:line="120" w:lineRule="exact"/>
        <w:rPr>
          <w:sz w:val="20"/>
          <w:szCs w:val="20"/>
          <w:color w:val="auto"/>
        </w:rPr>
      </w:pPr>
    </w:p>
    <w:p>
      <w:pPr>
        <w:ind w:left="1300" w:right="1400"/>
        <w:spacing w:after="0" w:line="267" w:lineRule="auto"/>
        <w:rPr>
          <w:sz w:val="20"/>
          <w:szCs w:val="20"/>
          <w:color w:val="auto"/>
        </w:rPr>
      </w:pPr>
      <w:r>
        <w:rPr>
          <w:rFonts w:ascii="Arial" w:cs="Arial" w:eastAsia="Arial" w:hAnsi="Arial"/>
          <w:sz w:val="15"/>
          <w:szCs w:val="15"/>
          <w:b w:val="1"/>
          <w:bCs w:val="1"/>
          <w:color w:val="231F20"/>
        </w:rPr>
        <w:t>Please note that cameras, other photographic equipment, or audio or video recording devices will not be permitted to be used by any in-person attendees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78740</wp:posOffset>
            </wp:positionV>
            <wp:extent cx="5812155" cy="2322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12155" cy="2322830"/>
                    </a:xfrm>
                    <a:prstGeom prst="rect">
                      <a:avLst/>
                    </a:prstGeom>
                    <a:noFill/>
                  </pic:spPr>
                </pic:pic>
              </a:graphicData>
            </a:graphic>
          </wp:anchor>
        </w:drawing>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29"/>
          <w:szCs w:val="29"/>
          <w:b w:val="1"/>
          <w:bCs w:val="1"/>
          <w:color w:val="C04C57"/>
        </w:rPr>
        <w:t>INFORMATION ABOUT REGENERON</w:t>
      </w:r>
    </w:p>
    <w:p>
      <w:pPr>
        <w:spacing w:after="0" w:line="185" w:lineRule="exact"/>
        <w:rPr>
          <w:sz w:val="20"/>
          <w:szCs w:val="20"/>
          <w:color w:val="auto"/>
        </w:rPr>
      </w:pPr>
    </w:p>
    <w:p>
      <w:pPr>
        <w:ind w:left="1480" w:right="1100"/>
        <w:spacing w:after="0" w:line="267" w:lineRule="auto"/>
        <w:rPr>
          <w:sz w:val="20"/>
          <w:szCs w:val="20"/>
          <w:color w:val="auto"/>
        </w:rPr>
      </w:pPr>
      <w:r>
        <w:rPr>
          <w:rFonts w:ascii="Arial" w:cs="Arial" w:eastAsia="Arial" w:hAnsi="Arial"/>
          <w:sz w:val="15"/>
          <w:szCs w:val="15"/>
          <w:b w:val="1"/>
          <w:bCs w:val="1"/>
          <w:color w:val="231F20"/>
        </w:rPr>
        <w:t>If you would like to learn more about Regeneron, please visit our website at www.regeneron.com. The topics discussed on our website include: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ind w:left="1480"/>
              <w:spacing w:after="0"/>
              <w:rPr>
                <w:sz w:val="20"/>
                <w:szCs w:val="20"/>
                <w:color w:val="auto"/>
              </w:rPr>
            </w:pPr>
            <w:r>
              <w:rPr>
                <w:rFonts w:ascii="Arial" w:cs="Arial" w:eastAsia="Arial" w:hAnsi="Arial"/>
                <w:sz w:val="15"/>
                <w:szCs w:val="15"/>
                <w:color w:val="2952A4"/>
              </w:rPr>
              <w:t>•</w:t>
            </w:r>
          </w:p>
        </w:tc>
        <w:tc>
          <w:tcPr>
            <w:tcW w:w="4320" w:type="dxa"/>
            <w:vAlign w:val="bottom"/>
          </w:tcPr>
          <w:p>
            <w:pPr>
              <w:ind w:left="100"/>
              <w:spacing w:after="0"/>
              <w:rPr>
                <w:sz w:val="20"/>
                <w:szCs w:val="20"/>
                <w:color w:val="auto"/>
              </w:rPr>
            </w:pPr>
            <w:r>
              <w:rPr>
                <w:rFonts w:ascii="Arial" w:cs="Arial" w:eastAsia="Arial" w:hAnsi="Arial"/>
                <w:sz w:val="15"/>
                <w:szCs w:val="15"/>
                <w:color w:val="231F20"/>
              </w:rPr>
              <w:t>Working at Regeneron</w:t>
            </w:r>
          </w:p>
        </w:tc>
        <w:tc>
          <w:tcPr>
            <w:tcW w:w="3720" w:type="dxa"/>
            <w:vAlign w:val="bottom"/>
          </w:tcPr>
          <w:p>
            <w:pPr>
              <w:ind w:left="20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Our Graduate Internship Program</w:t>
            </w:r>
          </w:p>
        </w:tc>
        <w:tc>
          <w:tcPr>
            <w:tcW w:w="1560" w:type="dxa"/>
            <w:vAlign w:val="bottom"/>
          </w:tcPr>
          <w:p>
            <w:pPr>
              <w:spacing w:after="0"/>
              <w:rPr>
                <w:sz w:val="16"/>
                <w:szCs w:val="16"/>
                <w:color w:val="auto"/>
              </w:rPr>
            </w:pPr>
          </w:p>
        </w:tc>
      </w:tr>
      <w:tr>
        <w:trPr>
          <w:trHeight w:val="324"/>
        </w:trPr>
        <w:tc>
          <w:tcPr>
            <w:tcW w:w="5960" w:type="dxa"/>
            <w:vAlign w:val="bottom"/>
            <w:gridSpan w:val="2"/>
          </w:tcPr>
          <w:p>
            <w:pPr>
              <w:ind w:left="148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Our Science Research Mentorship Program</w:t>
            </w:r>
          </w:p>
        </w:tc>
        <w:tc>
          <w:tcPr>
            <w:tcW w:w="3720" w:type="dxa"/>
            <w:vAlign w:val="bottom"/>
          </w:tcPr>
          <w:p>
            <w:pPr>
              <w:ind w:left="20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Our Post-doctoral Training Program</w:t>
            </w:r>
          </w:p>
        </w:tc>
        <w:tc>
          <w:tcPr>
            <w:tcW w:w="1560" w:type="dxa"/>
            <w:vAlign w:val="bottom"/>
          </w:tcPr>
          <w:p>
            <w:pPr>
              <w:spacing w:after="0"/>
              <w:rPr>
                <w:sz w:val="24"/>
                <w:szCs w:val="24"/>
                <w:color w:val="auto"/>
              </w:rPr>
            </w:pPr>
          </w:p>
        </w:tc>
      </w:tr>
      <w:tr>
        <w:trPr>
          <w:trHeight w:val="324"/>
        </w:trPr>
        <w:tc>
          <w:tcPr>
            <w:tcW w:w="5960" w:type="dxa"/>
            <w:vAlign w:val="bottom"/>
            <w:gridSpan w:val="2"/>
          </w:tcPr>
          <w:p>
            <w:pPr>
              <w:ind w:left="148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The Regeneron Science Talent Search</w:t>
            </w:r>
          </w:p>
        </w:tc>
        <w:tc>
          <w:tcPr>
            <w:tcW w:w="3720" w:type="dxa"/>
            <w:vAlign w:val="bottom"/>
          </w:tcPr>
          <w:p>
            <w:pPr>
              <w:ind w:left="20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Regeneron employee volunteer programs</w:t>
            </w:r>
          </w:p>
        </w:tc>
        <w:tc>
          <w:tcPr>
            <w:tcW w:w="1560" w:type="dxa"/>
            <w:vAlign w:val="bottom"/>
          </w:tcPr>
          <w:p>
            <w:pPr>
              <w:spacing w:after="0"/>
              <w:rPr>
                <w:sz w:val="24"/>
                <w:szCs w:val="24"/>
                <w:color w:val="auto"/>
              </w:rPr>
            </w:pPr>
          </w:p>
        </w:tc>
      </w:tr>
      <w:tr>
        <w:trPr>
          <w:trHeight w:val="324"/>
        </w:trPr>
        <w:tc>
          <w:tcPr>
            <w:tcW w:w="5960" w:type="dxa"/>
            <w:vAlign w:val="bottom"/>
            <w:gridSpan w:val="2"/>
          </w:tcPr>
          <w:p>
            <w:pPr>
              <w:ind w:left="148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The Regeneron International Science and Engineering Fair</w:t>
            </w:r>
          </w:p>
        </w:tc>
        <w:tc>
          <w:tcPr>
            <w:tcW w:w="3720" w:type="dxa"/>
            <w:vAlign w:val="bottom"/>
          </w:tcPr>
          <w:p>
            <w:pPr>
              <w:ind w:left="20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Our patient support programs</w:t>
            </w:r>
          </w:p>
        </w:tc>
        <w:tc>
          <w:tcPr>
            <w:tcW w:w="1560" w:type="dxa"/>
            <w:vAlign w:val="bottom"/>
          </w:tcPr>
          <w:p>
            <w:pPr>
              <w:spacing w:after="0"/>
              <w:rPr>
                <w:sz w:val="24"/>
                <w:szCs w:val="24"/>
                <w:color w:val="auto"/>
              </w:rPr>
            </w:pPr>
          </w:p>
        </w:tc>
      </w:tr>
      <w:tr>
        <w:trPr>
          <w:trHeight w:val="324"/>
        </w:trPr>
        <w:tc>
          <w:tcPr>
            <w:tcW w:w="5960" w:type="dxa"/>
            <w:vAlign w:val="bottom"/>
            <w:gridSpan w:val="2"/>
          </w:tcPr>
          <w:p>
            <w:pPr>
              <w:ind w:left="148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The Regeneron DNA Learning Center</w:t>
            </w:r>
          </w:p>
        </w:tc>
        <w:tc>
          <w:tcPr>
            <w:tcW w:w="3720" w:type="dxa"/>
            <w:vAlign w:val="bottom"/>
          </w:tcPr>
          <w:p>
            <w:pPr>
              <w:ind w:left="20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Our environmental sustainability efforts</w:t>
            </w:r>
          </w:p>
        </w:tc>
        <w:tc>
          <w:tcPr>
            <w:tcW w:w="1560" w:type="dxa"/>
            <w:vAlign w:val="bottom"/>
          </w:tcPr>
          <w:p>
            <w:pPr>
              <w:spacing w:after="0"/>
              <w:rPr>
                <w:sz w:val="24"/>
                <w:szCs w:val="24"/>
                <w:color w:val="auto"/>
              </w:rPr>
            </w:pPr>
          </w:p>
        </w:tc>
      </w:tr>
      <w:tr>
        <w:trPr>
          <w:trHeight w:val="324"/>
        </w:trPr>
        <w:tc>
          <w:tcPr>
            <w:tcW w:w="1640" w:type="dxa"/>
            <w:vAlign w:val="bottom"/>
          </w:tcPr>
          <w:p>
            <w:pPr>
              <w:ind w:left="1480"/>
              <w:spacing w:after="0"/>
              <w:rPr>
                <w:sz w:val="20"/>
                <w:szCs w:val="20"/>
                <w:color w:val="auto"/>
              </w:rPr>
            </w:pPr>
            <w:r>
              <w:rPr>
                <w:rFonts w:ascii="Arial" w:cs="Arial" w:eastAsia="Arial" w:hAnsi="Arial"/>
                <w:sz w:val="15"/>
                <w:szCs w:val="15"/>
                <w:color w:val="2952A4"/>
              </w:rPr>
              <w:t>•</w:t>
            </w:r>
          </w:p>
        </w:tc>
        <w:tc>
          <w:tcPr>
            <w:tcW w:w="4320" w:type="dxa"/>
            <w:vAlign w:val="bottom"/>
          </w:tcPr>
          <w:p>
            <w:pPr>
              <w:ind w:left="100"/>
              <w:spacing w:after="0"/>
              <w:rPr>
                <w:sz w:val="20"/>
                <w:szCs w:val="20"/>
                <w:color w:val="auto"/>
              </w:rPr>
            </w:pPr>
            <w:r>
              <w:rPr>
                <w:rFonts w:ascii="Arial" w:cs="Arial" w:eastAsia="Arial" w:hAnsi="Arial"/>
                <w:sz w:val="15"/>
                <w:szCs w:val="15"/>
                <w:color w:val="231F20"/>
              </w:rPr>
              <w:t>STEM Teaching Fellowship</w:t>
            </w:r>
          </w:p>
        </w:tc>
        <w:tc>
          <w:tcPr>
            <w:tcW w:w="3720" w:type="dxa"/>
            <w:vAlign w:val="bottom"/>
          </w:tcPr>
          <w:p>
            <w:pPr>
              <w:ind w:left="200"/>
              <w:spacing w:after="0"/>
              <w:rPr>
                <w:sz w:val="20"/>
                <w:szCs w:val="20"/>
                <w:color w:val="auto"/>
              </w:rPr>
            </w:pPr>
            <w:r>
              <w:rPr>
                <w:rFonts w:ascii="Arial" w:cs="Arial" w:eastAsia="Arial" w:hAnsi="Arial"/>
                <w:sz w:val="15"/>
                <w:szCs w:val="15"/>
                <w:color w:val="2952A4"/>
              </w:rPr>
              <w:t xml:space="preserve">•   </w:t>
            </w:r>
            <w:r>
              <w:rPr>
                <w:rFonts w:ascii="Arial" w:cs="Arial" w:eastAsia="Arial" w:hAnsi="Arial"/>
                <w:sz w:val="15"/>
                <w:szCs w:val="15"/>
                <w:color w:val="231F20"/>
              </w:rPr>
              <w:t>Our commitment to global transparency</w:t>
            </w:r>
          </w:p>
        </w:tc>
        <w:tc>
          <w:tcPr>
            <w:tcW w:w="1560" w:type="dxa"/>
            <w:vAlign w:val="bottom"/>
          </w:tcPr>
          <w:p>
            <w:pPr>
              <w:spacing w:after="0"/>
              <w:rPr>
                <w:sz w:val="24"/>
                <w:szCs w:val="24"/>
                <w:color w:val="auto"/>
              </w:rPr>
            </w:pPr>
          </w:p>
        </w:tc>
      </w:tr>
      <w:tr>
        <w:trPr>
          <w:trHeight w:val="796"/>
        </w:trPr>
        <w:tc>
          <w:tcPr>
            <w:tcW w:w="9680" w:type="dxa"/>
            <w:vAlign w:val="bottom"/>
            <w:gridSpan w:val="3"/>
          </w:tcPr>
          <w:p>
            <w:pPr>
              <w:ind w:left="1300"/>
              <w:spacing w:after="0"/>
              <w:rPr>
                <w:sz w:val="20"/>
                <w:szCs w:val="20"/>
                <w:color w:val="auto"/>
              </w:rPr>
            </w:pPr>
            <w:r>
              <w:rPr>
                <w:rFonts w:ascii="Arial" w:cs="Arial" w:eastAsia="Arial" w:hAnsi="Arial"/>
                <w:sz w:val="15"/>
                <w:szCs w:val="15"/>
                <w:b w:val="1"/>
                <w:bCs w:val="1"/>
                <w:color w:val="2952A4"/>
              </w:rPr>
              <w:t>2020 PROXY STATEMENT AND NOTICE OF ANNUAL SHAREHOLDER MEETING</w:t>
            </w:r>
          </w:p>
        </w:tc>
        <w:tc>
          <w:tcPr>
            <w:tcW w:w="1560" w:type="dxa"/>
            <w:vAlign w:val="bottom"/>
          </w:tcPr>
          <w:p>
            <w:pPr>
              <w:jc w:val="right"/>
              <w:ind w:right="90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7</w:t>
            </w:r>
          </w:p>
        </w:tc>
      </w:tr>
      <w:tr>
        <w:trPr>
          <w:trHeight w:val="258"/>
        </w:trPr>
        <w:tc>
          <w:tcPr>
            <w:tcW w:w="1640" w:type="dxa"/>
            <w:vAlign w:val="bottom"/>
            <w:tcBorders>
              <w:bottom w:val="single" w:sz="8" w:color="C0C0C0"/>
            </w:tcBorders>
          </w:tcPr>
          <w:p>
            <w:pPr>
              <w:spacing w:after="0"/>
              <w:rPr>
                <w:sz w:val="22"/>
                <w:szCs w:val="22"/>
                <w:color w:val="auto"/>
              </w:rPr>
            </w:pPr>
          </w:p>
        </w:tc>
        <w:tc>
          <w:tcPr>
            <w:tcW w:w="4320" w:type="dxa"/>
            <w:vAlign w:val="bottom"/>
            <w:tcBorders>
              <w:bottom w:val="single" w:sz="8" w:color="C0C0C0"/>
            </w:tcBorders>
          </w:tcPr>
          <w:p>
            <w:pPr>
              <w:spacing w:after="0"/>
              <w:rPr>
                <w:sz w:val="22"/>
                <w:szCs w:val="22"/>
                <w:color w:val="auto"/>
              </w:rPr>
            </w:pPr>
          </w:p>
        </w:tc>
        <w:tc>
          <w:tcPr>
            <w:tcW w:w="372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709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70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right="279"/>
        <w:spacing w:after="0" w:line="256" w:lineRule="auto"/>
        <w:rPr>
          <w:sz w:val="20"/>
          <w:szCs w:val="20"/>
          <w:color w:val="auto"/>
        </w:rPr>
      </w:pPr>
      <w:r>
        <w:rPr>
          <w:rFonts w:ascii="Arial" w:cs="Arial" w:eastAsia="Arial" w:hAnsi="Arial"/>
          <w:sz w:val="14"/>
          <w:szCs w:val="14"/>
          <w:b w:val="1"/>
          <w:bCs w:val="1"/>
          <w:color w:val="FFFFFF"/>
        </w:rPr>
        <w:t xml:space="preserve">From Left: </w:t>
      </w:r>
      <w:r>
        <w:rPr>
          <w:rFonts w:ascii="Arial" w:cs="Arial" w:eastAsia="Arial" w:hAnsi="Arial"/>
          <w:sz w:val="14"/>
          <w:szCs w:val="14"/>
          <w:color w:val="FFFFFF"/>
        </w:rPr>
        <w:t>N. Anthony Coles, M.D. / Arthur F. Ryan / Michael S. Brown, M.D. /</w:t>
      </w:r>
      <w:r>
        <w:rPr>
          <w:rFonts w:ascii="Arial" w:cs="Arial" w:eastAsia="Arial" w:hAnsi="Arial"/>
          <w:sz w:val="14"/>
          <w:szCs w:val="14"/>
          <w:b w:val="1"/>
          <w:bCs w:val="1"/>
          <w:color w:val="FFFFFF"/>
        </w:rPr>
        <w:t xml:space="preserve"> </w:t>
      </w:r>
      <w:r>
        <w:rPr>
          <w:rFonts w:ascii="Arial" w:cs="Arial" w:eastAsia="Arial" w:hAnsi="Arial"/>
          <w:sz w:val="14"/>
          <w:szCs w:val="14"/>
          <w:color w:val="FFFFFF"/>
        </w:rPr>
        <w:t>George L. Sing / Bonnie L. Bassler, Ph.D. / Leonard S. Schleifer, M.D., Ph.D. / P. Roy Vagelos, M.D. / George D. Yancopoulos, M.D., Ph.D. / Christine A. Poon / Joseph L. Goldstein, M.D. / Huda Y. Zoghbi, M.D. / Marc Tessier-Lavigne,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3515360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ind w:left="1580"/>
        <w:spacing w:after="0"/>
        <w:rPr>
          <w:sz w:val="20"/>
          <w:szCs w:val="20"/>
          <w:color w:val="auto"/>
        </w:rPr>
      </w:pPr>
      <w:r>
        <w:rPr>
          <w:rFonts w:ascii="Arial" w:cs="Arial" w:eastAsia="Arial" w:hAnsi="Arial"/>
          <w:sz w:val="65"/>
          <w:szCs w:val="65"/>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735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00" cy="8735060"/>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80"/>
        <w:spacing w:after="0"/>
        <w:rPr>
          <w:sz w:val="20"/>
          <w:szCs w:val="20"/>
          <w:color w:val="auto"/>
        </w:rPr>
      </w:pPr>
      <w:r>
        <w:rPr>
          <w:rFonts w:ascii="Arial" w:cs="Arial" w:eastAsia="Arial" w:hAnsi="Arial"/>
          <w:sz w:val="65"/>
          <w:szCs w:val="65"/>
          <w:b w:val="1"/>
          <w:bCs w:val="1"/>
          <w:color w:val="2952A4"/>
        </w:rPr>
        <w:t>MEET THE BOARD</w:t>
      </w:r>
    </w:p>
    <w:p>
      <w:pPr>
        <w:spacing w:after="0" w:line="200" w:lineRule="exact"/>
        <w:rPr>
          <w:sz w:val="20"/>
          <w:szCs w:val="20"/>
          <w:color w:val="auto"/>
        </w:rPr>
      </w:pPr>
    </w:p>
    <w:p>
      <w:pPr>
        <w:spacing w:after="0" w:line="289" w:lineRule="exact"/>
        <w:rPr>
          <w:sz w:val="20"/>
          <w:szCs w:val="20"/>
          <w:color w:val="auto"/>
        </w:rPr>
      </w:pPr>
    </w:p>
    <w:p>
      <w:pPr>
        <w:ind w:left="1580" w:right="1680"/>
        <w:spacing w:after="0" w:line="233" w:lineRule="auto"/>
        <w:rPr>
          <w:sz w:val="20"/>
          <w:szCs w:val="20"/>
          <w:color w:val="auto"/>
        </w:rPr>
      </w:pPr>
      <w:r>
        <w:rPr>
          <w:rFonts w:ascii="Arial" w:cs="Arial" w:eastAsia="Arial" w:hAnsi="Arial"/>
          <w:sz w:val="15"/>
          <w:szCs w:val="15"/>
          <w:color w:val="231F20"/>
        </w:rPr>
        <w:t>As the first substantive order of business at the 2020 Annual Meeting, you have an opportunity to vote on five members of our board of directors. This is the right starting point not only because the board oversees Regeneron, but because understanding the Regeneron board leads to a better understanding of the Company and its business model.</w:t>
      </w:r>
    </w:p>
    <w:p>
      <w:pPr>
        <w:spacing w:after="0" w:line="146" w:lineRule="exact"/>
        <w:rPr>
          <w:sz w:val="20"/>
          <w:szCs w:val="20"/>
          <w:color w:val="auto"/>
        </w:rPr>
      </w:pPr>
    </w:p>
    <w:p>
      <w:pPr>
        <w:ind w:left="1580" w:right="1840"/>
        <w:spacing w:after="0" w:line="228" w:lineRule="auto"/>
        <w:rPr>
          <w:sz w:val="20"/>
          <w:szCs w:val="20"/>
          <w:color w:val="auto"/>
        </w:rPr>
      </w:pPr>
      <w:r>
        <w:rPr>
          <w:rFonts w:ascii="Arial" w:cs="Arial" w:eastAsia="Arial" w:hAnsi="Arial"/>
          <w:sz w:val="15"/>
          <w:szCs w:val="15"/>
          <w:color w:val="231F20"/>
        </w:rPr>
        <w:t>As our President and CEO has observed, “Our dream when we started Regeneron was to build a company where the scientists would be the heroes.” The composition of Regeneron’s board reflects this founding principle: over half of our directors are members of the National Academy of Sciences, and our board members include two Nobel laureates and holders of many scientific awards. In addition, the board includes individuals with experience building shareholder value through all stages of corporate development. Various members bring substantial governance experience gained from service on other boards and others bring financial, policy, and management expertise. Five of our board’s current 12 members are diverse by gender, race, or national origin.</w:t>
      </w:r>
    </w:p>
    <w:p>
      <w:pPr>
        <w:spacing w:after="0" w:line="149" w:lineRule="exact"/>
        <w:rPr>
          <w:sz w:val="20"/>
          <w:szCs w:val="20"/>
          <w:color w:val="auto"/>
        </w:rPr>
      </w:pPr>
    </w:p>
    <w:p>
      <w:pPr>
        <w:ind w:left="1580" w:right="1680"/>
        <w:spacing w:after="0" w:line="227" w:lineRule="auto"/>
        <w:rPr>
          <w:sz w:val="20"/>
          <w:szCs w:val="20"/>
          <w:color w:val="auto"/>
        </w:rPr>
      </w:pPr>
      <w:r>
        <w:rPr>
          <w:rFonts w:ascii="Arial" w:cs="Arial" w:eastAsia="Arial" w:hAnsi="Arial"/>
          <w:sz w:val="15"/>
          <w:szCs w:val="15"/>
          <w:color w:val="231F20"/>
        </w:rPr>
        <w:t>The five members of our board of directors nominated for reelection at the 2020 Annual Meeting are N. Anthony Coles, M.D., Joseph L. Goldstein, M.D., Christine A. Poon, P. Roy Vagelos, M.D., and Huda Y. Zoghbi, M.D., all of whom currently are Class II directors. Consistent with Article VI of the Company’s Certificate of Incorporation and Section 704 of the New York Business Corporation Law, the board of directors has determined that it would be in the best interests of the Company and its shareholders to apportion the directorships equally among the three classes of the board so that each class consists of four directors. To effect this equal apportionment, the board of directors, upon recommendation of the Corporate Governance and Compliance Committee, has nominated for election at the 2020 Annual Meeting Joseph L. Goldstein, M.D., Christine A. Poon, P. Roy Vagelos, M.D., and Huda Y. Zoghbi, M.D. as Class II Directors for a three-year term expiring at the 2023 Annual Meeting and N. Anthony Coles, M.D. as a Class III Director for a one-year term expiring at the 2021 Annual Meeting.</w:t>
      </w:r>
    </w:p>
    <w:p>
      <w:pPr>
        <w:spacing w:after="0" w:line="151" w:lineRule="exact"/>
        <w:rPr>
          <w:sz w:val="20"/>
          <w:szCs w:val="20"/>
          <w:color w:val="auto"/>
        </w:rPr>
      </w:pPr>
    </w:p>
    <w:p>
      <w:pPr>
        <w:ind w:left="1580" w:right="1800"/>
        <w:spacing w:after="0" w:line="247" w:lineRule="auto"/>
        <w:rPr>
          <w:sz w:val="20"/>
          <w:szCs w:val="20"/>
          <w:color w:val="auto"/>
        </w:rPr>
      </w:pPr>
      <w:r>
        <w:rPr>
          <w:rFonts w:ascii="Arial" w:cs="Arial" w:eastAsia="Arial" w:hAnsi="Arial"/>
          <w:sz w:val="14"/>
          <w:szCs w:val="14"/>
          <w:color w:val="231F20"/>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128" w:lineRule="exact"/>
        <w:rPr>
          <w:sz w:val="20"/>
          <w:szCs w:val="20"/>
          <w:color w:val="auto"/>
        </w:rPr>
      </w:pPr>
    </w:p>
    <w:tbl>
      <w:tblPr>
        <w:tblLayout w:type="fixed"/>
        <w:tblInd w:w="1580" w:type="dxa"/>
        <w:tblCellMar>
          <w:top w:w="0" w:type="dxa"/>
          <w:left w:w="0" w:type="dxa"/>
          <w:bottom w:w="0" w:type="dxa"/>
          <w:right w:w="0" w:type="dxa"/>
        </w:tblCellMar>
      </w:tblPr>
      <w:tr>
        <w:trPr>
          <w:trHeight w:val="138"/>
        </w:trPr>
        <w:tc>
          <w:tcPr>
            <w:tcW w:w="13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2952A4"/>
                <w:w w:val="98"/>
              </w:rPr>
              <w:t>Bonnie</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2952A4"/>
                <w:w w:val="99"/>
              </w:rPr>
              <w:t>Michael</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2952A4"/>
                <w:w w:val="82"/>
              </w:rPr>
              <w:t>N.</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2952A4"/>
                <w:w w:val="99"/>
              </w:rPr>
              <w:t>Joseph</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2952A4"/>
                <w:w w:val="96"/>
              </w:rPr>
              <w:t>Leonard S.</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2952A4"/>
                <w:w w:val="96"/>
              </w:rPr>
              <w:t>P. Roy</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2952A4"/>
                <w:w w:val="97"/>
              </w:rPr>
              <w:t>George D.</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2952A4"/>
                <w:w w:val="93"/>
              </w:rPr>
              <w:t>Huda Y.</w:t>
            </w:r>
          </w:p>
        </w:tc>
        <w:tc>
          <w:tcPr>
            <w:tcW w:w="0" w:type="dxa"/>
            <w:vAlign w:val="bottom"/>
          </w:tcPr>
          <w:p>
            <w:pPr>
              <w:spacing w:after="0"/>
              <w:rPr>
                <w:sz w:val="1"/>
                <w:szCs w:val="1"/>
                <w:color w:val="auto"/>
              </w:rPr>
            </w:pPr>
          </w:p>
        </w:tc>
      </w:tr>
      <w:tr>
        <w:trPr>
          <w:trHeight w:val="135"/>
        </w:trPr>
        <w:tc>
          <w:tcPr>
            <w:tcW w:w="1360" w:type="dxa"/>
            <w:vAlign w:val="bottom"/>
          </w:tcPr>
          <w:p>
            <w:pPr>
              <w:ind w:left="80"/>
              <w:spacing w:after="0" w:line="135" w:lineRule="exact"/>
              <w:rPr>
                <w:sz w:val="20"/>
                <w:szCs w:val="20"/>
                <w:color w:val="auto"/>
              </w:rPr>
            </w:pPr>
            <w:r>
              <w:rPr>
                <w:rFonts w:ascii="Arial" w:cs="Arial" w:eastAsia="Arial" w:hAnsi="Arial"/>
                <w:sz w:val="12"/>
                <w:szCs w:val="12"/>
                <w:b w:val="1"/>
                <w:bCs w:val="1"/>
                <w:color w:val="2952A4"/>
              </w:rPr>
              <w:t>Experience,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L. Bassler,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S. Brown,</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4"/>
              </w:rPr>
              <w:t>Anthony</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L. Goldstein,</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Christine</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Arthur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Schleifer,</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George</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Marc Tessier-</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Vagelos,</w:t>
            </w: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Yancopoulos,</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Zoghbi,</w:t>
            </w:r>
          </w:p>
        </w:tc>
        <w:tc>
          <w:tcPr>
            <w:tcW w:w="0" w:type="dxa"/>
            <w:vAlign w:val="bottom"/>
          </w:tcPr>
          <w:p>
            <w:pPr>
              <w:spacing w:after="0"/>
              <w:rPr>
                <w:sz w:val="1"/>
                <w:szCs w:val="1"/>
                <w:color w:val="auto"/>
              </w:rPr>
            </w:pPr>
          </w:p>
        </w:tc>
      </w:tr>
      <w:tr>
        <w:trPr>
          <w:trHeight w:val="154"/>
        </w:trPr>
        <w:tc>
          <w:tcPr>
            <w:tcW w:w="1360" w:type="dxa"/>
            <w:vAlign w:val="bottom"/>
            <w:tcBorders>
              <w:bottom w:val="single" w:sz="8" w:color="2952A4"/>
            </w:tcBorders>
          </w:tcPr>
          <w:p>
            <w:pPr>
              <w:ind w:left="80"/>
              <w:spacing w:after="0"/>
              <w:rPr>
                <w:sz w:val="20"/>
                <w:szCs w:val="20"/>
                <w:color w:val="auto"/>
              </w:rPr>
            </w:pPr>
            <w:r>
              <w:rPr>
                <w:rFonts w:ascii="Arial" w:cs="Arial" w:eastAsia="Arial" w:hAnsi="Arial"/>
                <w:sz w:val="12"/>
                <w:szCs w:val="12"/>
                <w:b w:val="1"/>
                <w:bCs w:val="1"/>
                <w:color w:val="2952A4"/>
                <w:w w:val="99"/>
              </w:rPr>
              <w:t>Expertise, or Attribute</w:t>
            </w:r>
          </w:p>
        </w:tc>
        <w:tc>
          <w:tcPr>
            <w:tcW w:w="6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7"/>
              </w:rPr>
              <w:t>Ph.D.</w:t>
            </w:r>
          </w:p>
        </w:tc>
        <w:tc>
          <w:tcPr>
            <w:tcW w:w="6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4"/>
              </w:rPr>
              <w:t>M.D.</w:t>
            </w:r>
          </w:p>
        </w:tc>
        <w:tc>
          <w:tcPr>
            <w:tcW w:w="7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Coles, M.D.</w:t>
            </w:r>
          </w:p>
        </w:tc>
        <w:tc>
          <w:tcPr>
            <w:tcW w:w="7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M.D.</w:t>
            </w:r>
          </w:p>
        </w:tc>
        <w:tc>
          <w:tcPr>
            <w:tcW w:w="5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6"/>
              </w:rPr>
              <w:t>A. Poon</w:t>
            </w:r>
          </w:p>
        </w:tc>
        <w:tc>
          <w:tcPr>
            <w:tcW w:w="5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6"/>
              </w:rPr>
              <w:t>F. Ryan</w:t>
            </w:r>
          </w:p>
        </w:tc>
        <w:tc>
          <w:tcPr>
            <w:tcW w:w="6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M.D., Ph.D.</w:t>
            </w:r>
          </w:p>
        </w:tc>
        <w:tc>
          <w:tcPr>
            <w:tcW w:w="4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9"/>
              </w:rPr>
              <w:t>L. Sing</w:t>
            </w:r>
          </w:p>
        </w:tc>
        <w:tc>
          <w:tcPr>
            <w:tcW w:w="8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6"/>
              </w:rPr>
              <w:t>Lavigne, Ph.D.</w:t>
            </w:r>
          </w:p>
        </w:tc>
        <w:tc>
          <w:tcPr>
            <w:tcW w:w="5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4"/>
              </w:rPr>
              <w:t>M.D.</w:t>
            </w:r>
          </w:p>
        </w:tc>
        <w:tc>
          <w:tcPr>
            <w:tcW w:w="84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M.D., Ph.D.</w:t>
            </w:r>
          </w:p>
        </w:tc>
        <w:tc>
          <w:tcPr>
            <w:tcW w:w="5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4"/>
              </w:rPr>
              <w:t>M.D.</w:t>
            </w:r>
          </w:p>
        </w:tc>
        <w:tc>
          <w:tcPr>
            <w:tcW w:w="0" w:type="dxa"/>
            <w:vAlign w:val="bottom"/>
          </w:tcPr>
          <w:p>
            <w:pPr>
              <w:spacing w:after="0"/>
              <w:rPr>
                <w:sz w:val="1"/>
                <w:szCs w:val="1"/>
                <w:color w:val="auto"/>
              </w:rPr>
            </w:pPr>
          </w:p>
        </w:tc>
      </w:tr>
      <w:tr>
        <w:trPr>
          <w:trHeight w:val="223"/>
        </w:trPr>
        <w:tc>
          <w:tcPr>
            <w:tcW w:w="1360" w:type="dxa"/>
            <w:vAlign w:val="bottom"/>
          </w:tcPr>
          <w:p>
            <w:pPr>
              <w:ind w:left="80"/>
              <w:spacing w:after="0"/>
              <w:rPr>
                <w:sz w:val="20"/>
                <w:szCs w:val="20"/>
                <w:color w:val="auto"/>
              </w:rPr>
            </w:pPr>
            <w:r>
              <w:rPr>
                <w:rFonts w:ascii="Arial" w:cs="Arial" w:eastAsia="Arial" w:hAnsi="Arial"/>
                <w:sz w:val="12"/>
                <w:szCs w:val="12"/>
                <w:b w:val="1"/>
                <w:bCs w:val="1"/>
                <w:color w:val="231F20"/>
              </w:rPr>
              <w:t>Industry Experience</w:t>
            </w:r>
          </w:p>
        </w:tc>
        <w:tc>
          <w:tcPr>
            <w:tcW w:w="660" w:type="dxa"/>
            <w:vAlign w:val="bottom"/>
          </w:tcPr>
          <w:p>
            <w:pPr>
              <w:jc w:val="center"/>
              <w:spacing w:after="0"/>
              <w:rPr>
                <w:sz w:val="20"/>
                <w:szCs w:val="20"/>
                <w:color w:val="auto"/>
              </w:rPr>
            </w:pPr>
            <w:r>
              <w:rPr>
                <w:rFonts w:ascii="Arial" w:cs="Arial" w:eastAsia="Arial" w:hAnsi="Arial"/>
                <w:sz w:val="12"/>
                <w:szCs w:val="12"/>
                <w:color w:val="C04C57"/>
              </w:rPr>
              <w:t>●</w:t>
            </w:r>
          </w:p>
        </w:tc>
        <w:tc>
          <w:tcPr>
            <w:tcW w:w="600" w:type="dxa"/>
            <w:vAlign w:val="bottom"/>
          </w:tcPr>
          <w:p>
            <w:pPr>
              <w:jc w:val="center"/>
              <w:spacing w:after="0"/>
              <w:rPr>
                <w:sz w:val="20"/>
                <w:szCs w:val="20"/>
                <w:color w:val="auto"/>
              </w:rPr>
            </w:pPr>
            <w:r>
              <w:rPr>
                <w:rFonts w:ascii="Arial" w:cs="Arial" w:eastAsia="Arial" w:hAnsi="Arial"/>
                <w:sz w:val="12"/>
                <w:szCs w:val="12"/>
                <w:color w:val="C04C57"/>
              </w:rPr>
              <w:t>●</w:t>
            </w:r>
          </w:p>
        </w:tc>
        <w:tc>
          <w:tcPr>
            <w:tcW w:w="700" w:type="dxa"/>
            <w:vAlign w:val="bottom"/>
          </w:tcPr>
          <w:p>
            <w:pPr>
              <w:jc w:val="center"/>
              <w:spacing w:after="0"/>
              <w:rPr>
                <w:sz w:val="20"/>
                <w:szCs w:val="20"/>
                <w:color w:val="auto"/>
              </w:rPr>
            </w:pPr>
            <w:r>
              <w:rPr>
                <w:rFonts w:ascii="Arial" w:cs="Arial" w:eastAsia="Arial" w:hAnsi="Arial"/>
                <w:sz w:val="12"/>
                <w:szCs w:val="12"/>
                <w:color w:val="C04C57"/>
                <w:w w:val="82"/>
              </w:rPr>
              <w:t>●</w:t>
            </w:r>
          </w:p>
        </w:tc>
        <w:tc>
          <w:tcPr>
            <w:tcW w:w="780" w:type="dxa"/>
            <w:vAlign w:val="bottom"/>
          </w:tcPr>
          <w:p>
            <w:pPr>
              <w:jc w:val="center"/>
              <w:spacing w:after="0"/>
              <w:rPr>
                <w:sz w:val="20"/>
                <w:szCs w:val="20"/>
                <w:color w:val="auto"/>
              </w:rPr>
            </w:pPr>
            <w:r>
              <w:rPr>
                <w:rFonts w:ascii="Arial" w:cs="Arial" w:eastAsia="Arial" w:hAnsi="Arial"/>
                <w:sz w:val="12"/>
                <w:szCs w:val="12"/>
                <w:color w:val="C04C57"/>
                <w:w w:val="82"/>
              </w:rPr>
              <w:t>●</w:t>
            </w:r>
          </w:p>
        </w:tc>
        <w:tc>
          <w:tcPr>
            <w:tcW w:w="580" w:type="dxa"/>
            <w:vAlign w:val="bottom"/>
          </w:tcPr>
          <w:p>
            <w:pPr>
              <w:jc w:val="center"/>
              <w:spacing w:after="0"/>
              <w:rPr>
                <w:sz w:val="20"/>
                <w:szCs w:val="20"/>
                <w:color w:val="auto"/>
              </w:rPr>
            </w:pPr>
            <w:r>
              <w:rPr>
                <w:rFonts w:ascii="Arial" w:cs="Arial" w:eastAsia="Arial" w:hAnsi="Arial"/>
                <w:sz w:val="12"/>
                <w:szCs w:val="12"/>
                <w:color w:val="C04C57"/>
              </w:rPr>
              <w:t>●</w:t>
            </w:r>
          </w:p>
        </w:tc>
        <w:tc>
          <w:tcPr>
            <w:tcW w:w="500" w:type="dxa"/>
            <w:vAlign w:val="bottom"/>
          </w:tcPr>
          <w:p>
            <w:pPr>
              <w:jc w:val="center"/>
              <w:spacing w:after="0"/>
              <w:rPr>
                <w:sz w:val="20"/>
                <w:szCs w:val="20"/>
                <w:color w:val="auto"/>
              </w:rPr>
            </w:pPr>
            <w:r>
              <w:rPr>
                <w:rFonts w:ascii="Arial" w:cs="Arial" w:eastAsia="Arial" w:hAnsi="Arial"/>
                <w:sz w:val="12"/>
                <w:szCs w:val="12"/>
                <w:color w:val="C04C57"/>
                <w:w w:val="82"/>
              </w:rPr>
              <w:t>●</w:t>
            </w:r>
          </w:p>
        </w:tc>
        <w:tc>
          <w:tcPr>
            <w:tcW w:w="680" w:type="dxa"/>
            <w:vAlign w:val="bottom"/>
          </w:tcPr>
          <w:p>
            <w:pPr>
              <w:jc w:val="center"/>
              <w:spacing w:after="0"/>
              <w:rPr>
                <w:sz w:val="20"/>
                <w:szCs w:val="20"/>
                <w:color w:val="auto"/>
              </w:rPr>
            </w:pPr>
            <w:r>
              <w:rPr>
                <w:rFonts w:ascii="Arial" w:cs="Arial" w:eastAsia="Arial" w:hAnsi="Arial"/>
                <w:sz w:val="12"/>
                <w:szCs w:val="12"/>
                <w:color w:val="C04C57"/>
              </w:rPr>
              <w:t>●</w:t>
            </w:r>
          </w:p>
        </w:tc>
        <w:tc>
          <w:tcPr>
            <w:tcW w:w="480" w:type="dxa"/>
            <w:vAlign w:val="bottom"/>
          </w:tcPr>
          <w:p>
            <w:pPr>
              <w:jc w:val="center"/>
              <w:spacing w:after="0"/>
              <w:rPr>
                <w:sz w:val="20"/>
                <w:szCs w:val="20"/>
                <w:color w:val="auto"/>
              </w:rPr>
            </w:pPr>
            <w:r>
              <w:rPr>
                <w:rFonts w:ascii="Arial" w:cs="Arial" w:eastAsia="Arial" w:hAnsi="Arial"/>
                <w:sz w:val="12"/>
                <w:szCs w:val="12"/>
                <w:color w:val="C04C57"/>
              </w:rPr>
              <w:t>●</w:t>
            </w:r>
          </w:p>
        </w:tc>
        <w:tc>
          <w:tcPr>
            <w:tcW w:w="880" w:type="dxa"/>
            <w:vAlign w:val="bottom"/>
          </w:tcPr>
          <w:p>
            <w:pPr>
              <w:jc w:val="center"/>
              <w:spacing w:after="0"/>
              <w:rPr>
                <w:sz w:val="20"/>
                <w:szCs w:val="20"/>
                <w:color w:val="auto"/>
              </w:rPr>
            </w:pPr>
            <w:r>
              <w:rPr>
                <w:rFonts w:ascii="Arial" w:cs="Arial" w:eastAsia="Arial" w:hAnsi="Arial"/>
                <w:sz w:val="12"/>
                <w:szCs w:val="12"/>
                <w:color w:val="C04C57"/>
              </w:rPr>
              <w:t>●</w:t>
            </w:r>
          </w:p>
        </w:tc>
        <w:tc>
          <w:tcPr>
            <w:tcW w:w="560" w:type="dxa"/>
            <w:vAlign w:val="bottom"/>
          </w:tcPr>
          <w:p>
            <w:pPr>
              <w:jc w:val="center"/>
              <w:spacing w:after="0"/>
              <w:rPr>
                <w:sz w:val="20"/>
                <w:szCs w:val="20"/>
                <w:color w:val="auto"/>
              </w:rPr>
            </w:pPr>
            <w:r>
              <w:rPr>
                <w:rFonts w:ascii="Arial" w:cs="Arial" w:eastAsia="Arial" w:hAnsi="Arial"/>
                <w:sz w:val="12"/>
                <w:szCs w:val="12"/>
                <w:color w:val="C04C57"/>
              </w:rPr>
              <w:t>●</w:t>
            </w:r>
          </w:p>
        </w:tc>
        <w:tc>
          <w:tcPr>
            <w:tcW w:w="840" w:type="dxa"/>
            <w:vAlign w:val="bottom"/>
          </w:tcPr>
          <w:p>
            <w:pPr>
              <w:jc w:val="center"/>
              <w:spacing w:after="0"/>
              <w:rPr>
                <w:sz w:val="20"/>
                <w:szCs w:val="20"/>
                <w:color w:val="auto"/>
              </w:rPr>
            </w:pPr>
            <w:r>
              <w:rPr>
                <w:rFonts w:ascii="Arial" w:cs="Arial" w:eastAsia="Arial" w:hAnsi="Arial"/>
                <w:sz w:val="12"/>
                <w:szCs w:val="12"/>
                <w:color w:val="C04C57"/>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360" w:type="dxa"/>
            <w:vAlign w:val="bottom"/>
            <w:shd w:val="clear" w:color="auto" w:fill="EAEAEC"/>
          </w:tcPr>
          <w:p>
            <w:pPr>
              <w:ind w:left="80"/>
              <w:spacing w:after="0"/>
              <w:rPr>
                <w:sz w:val="20"/>
                <w:szCs w:val="20"/>
                <w:color w:val="auto"/>
              </w:rPr>
            </w:pPr>
            <w:r>
              <w:rPr>
                <w:rFonts w:ascii="Arial" w:cs="Arial" w:eastAsia="Arial" w:hAnsi="Arial"/>
                <w:sz w:val="12"/>
                <w:szCs w:val="12"/>
                <w:b w:val="1"/>
                <w:bCs w:val="1"/>
                <w:color w:val="231F20"/>
              </w:rPr>
              <w:t>Executive/Leadership</w:t>
            </w:r>
          </w:p>
        </w:tc>
        <w:tc>
          <w:tcPr>
            <w:tcW w:w="66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6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7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7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5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6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4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8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6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84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0" w:type="dxa"/>
            <w:vAlign w:val="bottom"/>
          </w:tcPr>
          <w:p>
            <w:pPr>
              <w:spacing w:after="0"/>
              <w:rPr>
                <w:sz w:val="1"/>
                <w:szCs w:val="1"/>
                <w:color w:val="auto"/>
              </w:rPr>
            </w:pPr>
          </w:p>
        </w:tc>
      </w:tr>
      <w:tr>
        <w:trPr>
          <w:trHeight w:val="86"/>
        </w:trPr>
        <w:tc>
          <w:tcPr>
            <w:tcW w:w="1360" w:type="dxa"/>
            <w:vAlign w:val="bottom"/>
            <w:vMerge w:val="restart"/>
            <w:shd w:val="clear" w:color="auto" w:fill="EAEAEC"/>
          </w:tcPr>
          <w:p>
            <w:pPr>
              <w:ind w:left="80"/>
              <w:spacing w:after="0"/>
              <w:rPr>
                <w:sz w:val="20"/>
                <w:szCs w:val="20"/>
                <w:color w:val="auto"/>
              </w:rPr>
            </w:pPr>
            <w:r>
              <w:rPr>
                <w:rFonts w:ascii="Arial" w:cs="Arial" w:eastAsia="Arial" w:hAnsi="Arial"/>
                <w:sz w:val="12"/>
                <w:szCs w:val="12"/>
                <w:b w:val="1"/>
                <w:bCs w:val="1"/>
                <w:color w:val="231F20"/>
              </w:rPr>
              <w:t>Experience</w:t>
            </w:r>
          </w:p>
        </w:tc>
        <w:tc>
          <w:tcPr>
            <w:tcW w:w="660" w:type="dxa"/>
            <w:vAlign w:val="bottom"/>
            <w:vMerge w:val="continue"/>
            <w:shd w:val="clear" w:color="auto" w:fill="EAEAEC"/>
          </w:tcPr>
          <w:p>
            <w:pPr>
              <w:spacing w:after="0"/>
              <w:rPr>
                <w:sz w:val="7"/>
                <w:szCs w:val="7"/>
                <w:color w:val="auto"/>
              </w:rPr>
            </w:pPr>
          </w:p>
        </w:tc>
        <w:tc>
          <w:tcPr>
            <w:tcW w:w="600" w:type="dxa"/>
            <w:vAlign w:val="bottom"/>
            <w:vMerge w:val="continue"/>
            <w:shd w:val="clear" w:color="auto" w:fill="EAEAEC"/>
          </w:tcPr>
          <w:p>
            <w:pPr>
              <w:spacing w:after="0"/>
              <w:rPr>
                <w:sz w:val="7"/>
                <w:szCs w:val="7"/>
                <w:color w:val="auto"/>
              </w:rPr>
            </w:pPr>
          </w:p>
        </w:tc>
        <w:tc>
          <w:tcPr>
            <w:tcW w:w="700" w:type="dxa"/>
            <w:vAlign w:val="bottom"/>
            <w:vMerge w:val="continue"/>
            <w:shd w:val="clear" w:color="auto" w:fill="EAEAEC"/>
          </w:tcPr>
          <w:p>
            <w:pPr>
              <w:spacing w:after="0"/>
              <w:rPr>
                <w:sz w:val="7"/>
                <w:szCs w:val="7"/>
                <w:color w:val="auto"/>
              </w:rPr>
            </w:pPr>
          </w:p>
        </w:tc>
        <w:tc>
          <w:tcPr>
            <w:tcW w:w="780" w:type="dxa"/>
            <w:vAlign w:val="bottom"/>
            <w:vMerge w:val="continue"/>
            <w:shd w:val="clear" w:color="auto" w:fill="EAEAEC"/>
          </w:tcPr>
          <w:p>
            <w:pPr>
              <w:spacing w:after="0"/>
              <w:rPr>
                <w:sz w:val="7"/>
                <w:szCs w:val="7"/>
                <w:color w:val="auto"/>
              </w:rPr>
            </w:pPr>
          </w:p>
        </w:tc>
        <w:tc>
          <w:tcPr>
            <w:tcW w:w="580" w:type="dxa"/>
            <w:vAlign w:val="bottom"/>
            <w:vMerge w:val="continue"/>
            <w:shd w:val="clear" w:color="auto" w:fill="EAEAEC"/>
          </w:tcPr>
          <w:p>
            <w:pPr>
              <w:spacing w:after="0"/>
              <w:rPr>
                <w:sz w:val="7"/>
                <w:szCs w:val="7"/>
                <w:color w:val="auto"/>
              </w:rPr>
            </w:pPr>
          </w:p>
        </w:tc>
        <w:tc>
          <w:tcPr>
            <w:tcW w:w="500" w:type="dxa"/>
            <w:vAlign w:val="bottom"/>
            <w:vMerge w:val="continue"/>
            <w:shd w:val="clear" w:color="auto" w:fill="EAEAEC"/>
          </w:tcPr>
          <w:p>
            <w:pPr>
              <w:spacing w:after="0"/>
              <w:rPr>
                <w:sz w:val="7"/>
                <w:szCs w:val="7"/>
                <w:color w:val="auto"/>
              </w:rPr>
            </w:pPr>
          </w:p>
        </w:tc>
        <w:tc>
          <w:tcPr>
            <w:tcW w:w="680" w:type="dxa"/>
            <w:vAlign w:val="bottom"/>
            <w:vMerge w:val="continue"/>
            <w:shd w:val="clear" w:color="auto" w:fill="EAEAEC"/>
          </w:tcPr>
          <w:p>
            <w:pPr>
              <w:spacing w:after="0"/>
              <w:rPr>
                <w:sz w:val="7"/>
                <w:szCs w:val="7"/>
                <w:color w:val="auto"/>
              </w:rPr>
            </w:pPr>
          </w:p>
        </w:tc>
        <w:tc>
          <w:tcPr>
            <w:tcW w:w="480" w:type="dxa"/>
            <w:vAlign w:val="bottom"/>
            <w:vMerge w:val="continue"/>
            <w:shd w:val="clear" w:color="auto" w:fill="EAEAEC"/>
          </w:tcPr>
          <w:p>
            <w:pPr>
              <w:spacing w:after="0"/>
              <w:rPr>
                <w:sz w:val="7"/>
                <w:szCs w:val="7"/>
                <w:color w:val="auto"/>
              </w:rPr>
            </w:pPr>
          </w:p>
        </w:tc>
        <w:tc>
          <w:tcPr>
            <w:tcW w:w="880" w:type="dxa"/>
            <w:vAlign w:val="bottom"/>
            <w:vMerge w:val="continue"/>
            <w:shd w:val="clear" w:color="auto" w:fill="EAEAEC"/>
          </w:tcPr>
          <w:p>
            <w:pPr>
              <w:spacing w:after="0"/>
              <w:rPr>
                <w:sz w:val="7"/>
                <w:szCs w:val="7"/>
                <w:color w:val="auto"/>
              </w:rPr>
            </w:pPr>
          </w:p>
        </w:tc>
        <w:tc>
          <w:tcPr>
            <w:tcW w:w="560" w:type="dxa"/>
            <w:vAlign w:val="bottom"/>
            <w:vMerge w:val="continue"/>
            <w:shd w:val="clear" w:color="auto" w:fill="EAEAEC"/>
          </w:tcPr>
          <w:p>
            <w:pPr>
              <w:spacing w:after="0"/>
              <w:rPr>
                <w:sz w:val="7"/>
                <w:szCs w:val="7"/>
                <w:color w:val="auto"/>
              </w:rPr>
            </w:pPr>
          </w:p>
        </w:tc>
        <w:tc>
          <w:tcPr>
            <w:tcW w:w="840" w:type="dxa"/>
            <w:vAlign w:val="bottom"/>
            <w:vMerge w:val="continue"/>
            <w:shd w:val="clear" w:color="auto" w:fill="EAEAEC"/>
          </w:tcPr>
          <w:p>
            <w:pPr>
              <w:spacing w:after="0"/>
              <w:rPr>
                <w:sz w:val="7"/>
                <w:szCs w:val="7"/>
                <w:color w:val="auto"/>
              </w:rPr>
            </w:pPr>
          </w:p>
        </w:tc>
        <w:tc>
          <w:tcPr>
            <w:tcW w:w="500" w:type="dxa"/>
            <w:vAlign w:val="bottom"/>
            <w:vMerge w:val="continue"/>
            <w:shd w:val="clear" w:color="auto" w:fill="EAEAE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shd w:val="clear" w:color="auto" w:fill="EAEAEC"/>
          </w:tcPr>
          <w:p>
            <w:pPr>
              <w:spacing w:after="0"/>
              <w:rPr>
                <w:sz w:val="5"/>
                <w:szCs w:val="5"/>
                <w:color w:val="auto"/>
              </w:rPr>
            </w:pPr>
          </w:p>
        </w:tc>
        <w:tc>
          <w:tcPr>
            <w:tcW w:w="660" w:type="dxa"/>
            <w:vAlign w:val="bottom"/>
            <w:shd w:val="clear" w:color="auto" w:fill="EAEAEC"/>
          </w:tcPr>
          <w:p>
            <w:pPr>
              <w:spacing w:after="0"/>
              <w:rPr>
                <w:sz w:val="5"/>
                <w:szCs w:val="5"/>
                <w:color w:val="auto"/>
              </w:rPr>
            </w:pPr>
          </w:p>
        </w:tc>
        <w:tc>
          <w:tcPr>
            <w:tcW w:w="600" w:type="dxa"/>
            <w:vAlign w:val="bottom"/>
            <w:shd w:val="clear" w:color="auto" w:fill="EAEAEC"/>
          </w:tcPr>
          <w:p>
            <w:pPr>
              <w:spacing w:after="0"/>
              <w:rPr>
                <w:sz w:val="5"/>
                <w:szCs w:val="5"/>
                <w:color w:val="auto"/>
              </w:rPr>
            </w:pPr>
          </w:p>
        </w:tc>
        <w:tc>
          <w:tcPr>
            <w:tcW w:w="700" w:type="dxa"/>
            <w:vAlign w:val="bottom"/>
            <w:shd w:val="clear" w:color="auto" w:fill="EAEAEC"/>
          </w:tcPr>
          <w:p>
            <w:pPr>
              <w:spacing w:after="0"/>
              <w:rPr>
                <w:sz w:val="5"/>
                <w:szCs w:val="5"/>
                <w:color w:val="auto"/>
              </w:rPr>
            </w:pPr>
          </w:p>
        </w:tc>
        <w:tc>
          <w:tcPr>
            <w:tcW w:w="780" w:type="dxa"/>
            <w:vAlign w:val="bottom"/>
            <w:shd w:val="clear" w:color="auto" w:fill="EAEAEC"/>
          </w:tcPr>
          <w:p>
            <w:pPr>
              <w:spacing w:after="0"/>
              <w:rPr>
                <w:sz w:val="5"/>
                <w:szCs w:val="5"/>
                <w:color w:val="auto"/>
              </w:rPr>
            </w:pPr>
          </w:p>
        </w:tc>
        <w:tc>
          <w:tcPr>
            <w:tcW w:w="580" w:type="dxa"/>
            <w:vAlign w:val="bottom"/>
            <w:shd w:val="clear" w:color="auto" w:fill="EAEAEC"/>
          </w:tcPr>
          <w:p>
            <w:pPr>
              <w:spacing w:after="0"/>
              <w:rPr>
                <w:sz w:val="5"/>
                <w:szCs w:val="5"/>
                <w:color w:val="auto"/>
              </w:rPr>
            </w:pPr>
          </w:p>
        </w:tc>
        <w:tc>
          <w:tcPr>
            <w:tcW w:w="500" w:type="dxa"/>
            <w:vAlign w:val="bottom"/>
            <w:shd w:val="clear" w:color="auto" w:fill="EAEAEC"/>
          </w:tcPr>
          <w:p>
            <w:pPr>
              <w:spacing w:after="0"/>
              <w:rPr>
                <w:sz w:val="5"/>
                <w:szCs w:val="5"/>
                <w:color w:val="auto"/>
              </w:rPr>
            </w:pPr>
          </w:p>
        </w:tc>
        <w:tc>
          <w:tcPr>
            <w:tcW w:w="680" w:type="dxa"/>
            <w:vAlign w:val="bottom"/>
            <w:shd w:val="clear" w:color="auto" w:fill="EAEAEC"/>
          </w:tcPr>
          <w:p>
            <w:pPr>
              <w:spacing w:after="0"/>
              <w:rPr>
                <w:sz w:val="5"/>
                <w:szCs w:val="5"/>
                <w:color w:val="auto"/>
              </w:rPr>
            </w:pPr>
          </w:p>
        </w:tc>
        <w:tc>
          <w:tcPr>
            <w:tcW w:w="480" w:type="dxa"/>
            <w:vAlign w:val="bottom"/>
            <w:shd w:val="clear" w:color="auto" w:fill="EAEAEC"/>
          </w:tcPr>
          <w:p>
            <w:pPr>
              <w:spacing w:after="0"/>
              <w:rPr>
                <w:sz w:val="5"/>
                <w:szCs w:val="5"/>
                <w:color w:val="auto"/>
              </w:rPr>
            </w:pPr>
          </w:p>
        </w:tc>
        <w:tc>
          <w:tcPr>
            <w:tcW w:w="880" w:type="dxa"/>
            <w:vAlign w:val="bottom"/>
            <w:shd w:val="clear" w:color="auto" w:fill="EAEAEC"/>
          </w:tcPr>
          <w:p>
            <w:pPr>
              <w:spacing w:after="0"/>
              <w:rPr>
                <w:sz w:val="5"/>
                <w:szCs w:val="5"/>
                <w:color w:val="auto"/>
              </w:rPr>
            </w:pPr>
          </w:p>
        </w:tc>
        <w:tc>
          <w:tcPr>
            <w:tcW w:w="560" w:type="dxa"/>
            <w:vAlign w:val="bottom"/>
            <w:shd w:val="clear" w:color="auto" w:fill="EAEAEC"/>
          </w:tcPr>
          <w:p>
            <w:pPr>
              <w:spacing w:after="0"/>
              <w:rPr>
                <w:sz w:val="5"/>
                <w:szCs w:val="5"/>
                <w:color w:val="auto"/>
              </w:rPr>
            </w:pPr>
          </w:p>
        </w:tc>
        <w:tc>
          <w:tcPr>
            <w:tcW w:w="840" w:type="dxa"/>
            <w:vAlign w:val="bottom"/>
            <w:shd w:val="clear" w:color="auto" w:fill="EAEAEC"/>
          </w:tcPr>
          <w:p>
            <w:pPr>
              <w:spacing w:after="0"/>
              <w:rPr>
                <w:sz w:val="5"/>
                <w:szCs w:val="5"/>
                <w:color w:val="auto"/>
              </w:rPr>
            </w:pPr>
          </w:p>
        </w:tc>
        <w:tc>
          <w:tcPr>
            <w:tcW w:w="500" w:type="dxa"/>
            <w:vAlign w:val="bottom"/>
            <w:shd w:val="clear" w:color="auto" w:fill="EAEAEC"/>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shd w:val="clear" w:color="auto" w:fill="EAEAEC"/>
          </w:tcPr>
          <w:p>
            <w:pPr>
              <w:spacing w:after="0"/>
              <w:rPr>
                <w:sz w:val="6"/>
                <w:szCs w:val="6"/>
                <w:color w:val="auto"/>
              </w:rPr>
            </w:pPr>
          </w:p>
        </w:tc>
        <w:tc>
          <w:tcPr>
            <w:tcW w:w="660" w:type="dxa"/>
            <w:vAlign w:val="bottom"/>
            <w:tcBorders>
              <w:bottom w:val="single" w:sz="8" w:color="auto"/>
            </w:tcBorders>
            <w:shd w:val="clear" w:color="auto" w:fill="EAEAEC"/>
          </w:tcPr>
          <w:p>
            <w:pPr>
              <w:spacing w:after="0"/>
              <w:rPr>
                <w:sz w:val="6"/>
                <w:szCs w:val="6"/>
                <w:color w:val="auto"/>
              </w:rPr>
            </w:pPr>
          </w:p>
        </w:tc>
        <w:tc>
          <w:tcPr>
            <w:tcW w:w="600" w:type="dxa"/>
            <w:vAlign w:val="bottom"/>
            <w:tcBorders>
              <w:bottom w:val="single" w:sz="8" w:color="auto"/>
            </w:tcBorders>
            <w:shd w:val="clear" w:color="auto" w:fill="EAEAEC"/>
          </w:tcPr>
          <w:p>
            <w:pPr>
              <w:spacing w:after="0"/>
              <w:rPr>
                <w:sz w:val="6"/>
                <w:szCs w:val="6"/>
                <w:color w:val="auto"/>
              </w:rPr>
            </w:pPr>
          </w:p>
        </w:tc>
        <w:tc>
          <w:tcPr>
            <w:tcW w:w="700" w:type="dxa"/>
            <w:vAlign w:val="bottom"/>
            <w:tcBorders>
              <w:bottom w:val="single" w:sz="8" w:color="auto"/>
            </w:tcBorders>
            <w:shd w:val="clear" w:color="auto" w:fill="EAEAEC"/>
          </w:tcPr>
          <w:p>
            <w:pPr>
              <w:spacing w:after="0"/>
              <w:rPr>
                <w:sz w:val="6"/>
                <w:szCs w:val="6"/>
                <w:color w:val="auto"/>
              </w:rPr>
            </w:pPr>
          </w:p>
        </w:tc>
        <w:tc>
          <w:tcPr>
            <w:tcW w:w="780" w:type="dxa"/>
            <w:vAlign w:val="bottom"/>
            <w:tcBorders>
              <w:bottom w:val="single" w:sz="8" w:color="auto"/>
            </w:tcBorders>
            <w:shd w:val="clear" w:color="auto" w:fill="EAEAEC"/>
          </w:tcPr>
          <w:p>
            <w:pPr>
              <w:spacing w:after="0"/>
              <w:rPr>
                <w:sz w:val="6"/>
                <w:szCs w:val="6"/>
                <w:color w:val="auto"/>
              </w:rPr>
            </w:pPr>
          </w:p>
        </w:tc>
        <w:tc>
          <w:tcPr>
            <w:tcW w:w="58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680" w:type="dxa"/>
            <w:vAlign w:val="bottom"/>
            <w:tcBorders>
              <w:bottom w:val="single" w:sz="8" w:color="auto"/>
            </w:tcBorders>
            <w:shd w:val="clear" w:color="auto" w:fill="EAEAEC"/>
          </w:tcPr>
          <w:p>
            <w:pPr>
              <w:spacing w:after="0"/>
              <w:rPr>
                <w:sz w:val="6"/>
                <w:szCs w:val="6"/>
                <w:color w:val="auto"/>
              </w:rPr>
            </w:pPr>
          </w:p>
        </w:tc>
        <w:tc>
          <w:tcPr>
            <w:tcW w:w="480" w:type="dxa"/>
            <w:vAlign w:val="bottom"/>
            <w:tcBorders>
              <w:bottom w:val="single" w:sz="8" w:color="auto"/>
            </w:tcBorders>
            <w:shd w:val="clear" w:color="auto" w:fill="EAEAEC"/>
          </w:tcPr>
          <w:p>
            <w:pPr>
              <w:spacing w:after="0"/>
              <w:rPr>
                <w:sz w:val="6"/>
                <w:szCs w:val="6"/>
                <w:color w:val="auto"/>
              </w:rPr>
            </w:pPr>
          </w:p>
        </w:tc>
        <w:tc>
          <w:tcPr>
            <w:tcW w:w="880" w:type="dxa"/>
            <w:vAlign w:val="bottom"/>
            <w:tcBorders>
              <w:bottom w:val="single" w:sz="8" w:color="auto"/>
            </w:tcBorders>
            <w:shd w:val="clear" w:color="auto" w:fill="EAEAEC"/>
          </w:tcPr>
          <w:p>
            <w:pPr>
              <w:spacing w:after="0"/>
              <w:rPr>
                <w:sz w:val="6"/>
                <w:szCs w:val="6"/>
                <w:color w:val="auto"/>
              </w:rPr>
            </w:pPr>
          </w:p>
        </w:tc>
        <w:tc>
          <w:tcPr>
            <w:tcW w:w="560" w:type="dxa"/>
            <w:vAlign w:val="bottom"/>
            <w:tcBorders>
              <w:bottom w:val="single" w:sz="8" w:color="auto"/>
            </w:tcBorders>
            <w:shd w:val="clear" w:color="auto" w:fill="EAEAEC"/>
          </w:tcPr>
          <w:p>
            <w:pPr>
              <w:spacing w:after="0"/>
              <w:rPr>
                <w:sz w:val="6"/>
                <w:szCs w:val="6"/>
                <w:color w:val="auto"/>
              </w:rPr>
            </w:pPr>
          </w:p>
        </w:tc>
        <w:tc>
          <w:tcPr>
            <w:tcW w:w="84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80"/>
              <w:spacing w:after="0"/>
              <w:rPr>
                <w:sz w:val="20"/>
                <w:szCs w:val="20"/>
                <w:color w:val="auto"/>
              </w:rPr>
            </w:pPr>
            <w:r>
              <w:rPr>
                <w:rFonts w:ascii="Arial" w:cs="Arial" w:eastAsia="Arial" w:hAnsi="Arial"/>
                <w:sz w:val="12"/>
                <w:szCs w:val="12"/>
                <w:b w:val="1"/>
                <w:bCs w:val="1"/>
                <w:color w:val="231F20"/>
              </w:rPr>
              <w:t>Science/Biotech</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C04C57"/>
                <w:w w:val="82"/>
              </w:rPr>
              <w:t>●</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C04C57"/>
                <w:w w:val="82"/>
              </w:rPr>
              <w:t>●</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500" w:type="dxa"/>
            <w:vAlign w:val="bottom"/>
          </w:tcPr>
          <w:p>
            <w:pPr>
              <w:spacing w:after="0"/>
              <w:rPr>
                <w:sz w:val="17"/>
                <w:szCs w:val="1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48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50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0" w:type="dxa"/>
            <w:vAlign w:val="bottom"/>
          </w:tcPr>
          <w:p>
            <w:pPr>
              <w:spacing w:after="0"/>
              <w:rPr>
                <w:sz w:val="1"/>
                <w:szCs w:val="1"/>
                <w:color w:val="auto"/>
              </w:rPr>
            </w:pPr>
          </w:p>
        </w:tc>
      </w:tr>
      <w:tr>
        <w:trPr>
          <w:trHeight w:val="86"/>
        </w:trPr>
        <w:tc>
          <w:tcPr>
            <w:tcW w:w="1360" w:type="dxa"/>
            <w:vAlign w:val="bottom"/>
            <w:vMerge w:val="restart"/>
          </w:tcPr>
          <w:p>
            <w:pPr>
              <w:ind w:left="80"/>
              <w:spacing w:after="0"/>
              <w:rPr>
                <w:sz w:val="20"/>
                <w:szCs w:val="20"/>
                <w:color w:val="auto"/>
              </w:rPr>
            </w:pPr>
            <w:r>
              <w:rPr>
                <w:rFonts w:ascii="Arial" w:cs="Arial" w:eastAsia="Arial" w:hAnsi="Arial"/>
                <w:sz w:val="12"/>
                <w:szCs w:val="12"/>
                <w:b w:val="1"/>
                <w:bCs w:val="1"/>
                <w:color w:val="231F20"/>
              </w:rPr>
              <w:t>Background</w:t>
            </w: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360" w:type="dxa"/>
            <w:vAlign w:val="bottom"/>
            <w:shd w:val="clear" w:color="auto" w:fill="EAEAEC"/>
          </w:tcPr>
          <w:p>
            <w:pPr>
              <w:ind w:left="80"/>
              <w:spacing w:after="0"/>
              <w:rPr>
                <w:sz w:val="20"/>
                <w:szCs w:val="20"/>
                <w:color w:val="auto"/>
              </w:rPr>
            </w:pPr>
            <w:r>
              <w:rPr>
                <w:rFonts w:ascii="Arial" w:cs="Arial" w:eastAsia="Arial" w:hAnsi="Arial"/>
                <w:sz w:val="12"/>
                <w:szCs w:val="12"/>
                <w:b w:val="1"/>
                <w:bCs w:val="1"/>
                <w:color w:val="231F20"/>
              </w:rPr>
              <w:t>Research/Academic</w:t>
            </w:r>
          </w:p>
        </w:tc>
        <w:tc>
          <w:tcPr>
            <w:tcW w:w="66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6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7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7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5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00" w:type="dxa"/>
            <w:vAlign w:val="bottom"/>
            <w:shd w:val="clear" w:color="auto" w:fill="EAEAEC"/>
          </w:tcPr>
          <w:p>
            <w:pPr>
              <w:spacing w:after="0"/>
              <w:rPr>
                <w:sz w:val="17"/>
                <w:szCs w:val="17"/>
                <w:color w:val="auto"/>
              </w:rPr>
            </w:pPr>
          </w:p>
        </w:tc>
        <w:tc>
          <w:tcPr>
            <w:tcW w:w="6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480" w:type="dxa"/>
            <w:vAlign w:val="bottom"/>
            <w:shd w:val="clear" w:color="auto" w:fill="EAEAEC"/>
          </w:tcPr>
          <w:p>
            <w:pPr>
              <w:spacing w:after="0"/>
              <w:rPr>
                <w:sz w:val="17"/>
                <w:szCs w:val="17"/>
                <w:color w:val="auto"/>
              </w:rPr>
            </w:pPr>
          </w:p>
        </w:tc>
        <w:tc>
          <w:tcPr>
            <w:tcW w:w="8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6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84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0" w:type="dxa"/>
            <w:vAlign w:val="bottom"/>
          </w:tcPr>
          <w:p>
            <w:pPr>
              <w:spacing w:after="0"/>
              <w:rPr>
                <w:sz w:val="1"/>
                <w:szCs w:val="1"/>
                <w:color w:val="auto"/>
              </w:rPr>
            </w:pPr>
          </w:p>
        </w:tc>
      </w:tr>
      <w:tr>
        <w:trPr>
          <w:trHeight w:val="86"/>
        </w:trPr>
        <w:tc>
          <w:tcPr>
            <w:tcW w:w="1360" w:type="dxa"/>
            <w:vAlign w:val="bottom"/>
            <w:vMerge w:val="restart"/>
            <w:shd w:val="clear" w:color="auto" w:fill="EAEAEC"/>
          </w:tcPr>
          <w:p>
            <w:pPr>
              <w:ind w:left="80"/>
              <w:spacing w:after="0"/>
              <w:rPr>
                <w:sz w:val="20"/>
                <w:szCs w:val="20"/>
                <w:color w:val="auto"/>
              </w:rPr>
            </w:pPr>
            <w:r>
              <w:rPr>
                <w:rFonts w:ascii="Arial" w:cs="Arial" w:eastAsia="Arial" w:hAnsi="Arial"/>
                <w:sz w:val="12"/>
                <w:szCs w:val="12"/>
                <w:b w:val="1"/>
                <w:bCs w:val="1"/>
                <w:color w:val="231F20"/>
              </w:rPr>
              <w:t>Experience</w:t>
            </w:r>
          </w:p>
        </w:tc>
        <w:tc>
          <w:tcPr>
            <w:tcW w:w="660" w:type="dxa"/>
            <w:vAlign w:val="bottom"/>
            <w:vMerge w:val="continue"/>
            <w:shd w:val="clear" w:color="auto" w:fill="EAEAEC"/>
          </w:tcPr>
          <w:p>
            <w:pPr>
              <w:spacing w:after="0"/>
              <w:rPr>
                <w:sz w:val="7"/>
                <w:szCs w:val="7"/>
                <w:color w:val="auto"/>
              </w:rPr>
            </w:pPr>
          </w:p>
        </w:tc>
        <w:tc>
          <w:tcPr>
            <w:tcW w:w="600" w:type="dxa"/>
            <w:vAlign w:val="bottom"/>
            <w:vMerge w:val="continue"/>
            <w:shd w:val="clear" w:color="auto" w:fill="EAEAEC"/>
          </w:tcPr>
          <w:p>
            <w:pPr>
              <w:spacing w:after="0"/>
              <w:rPr>
                <w:sz w:val="7"/>
                <w:szCs w:val="7"/>
                <w:color w:val="auto"/>
              </w:rPr>
            </w:pPr>
          </w:p>
        </w:tc>
        <w:tc>
          <w:tcPr>
            <w:tcW w:w="700" w:type="dxa"/>
            <w:vAlign w:val="bottom"/>
            <w:vMerge w:val="continue"/>
            <w:shd w:val="clear" w:color="auto" w:fill="EAEAEC"/>
          </w:tcPr>
          <w:p>
            <w:pPr>
              <w:spacing w:after="0"/>
              <w:rPr>
                <w:sz w:val="7"/>
                <w:szCs w:val="7"/>
                <w:color w:val="auto"/>
              </w:rPr>
            </w:pPr>
          </w:p>
        </w:tc>
        <w:tc>
          <w:tcPr>
            <w:tcW w:w="780" w:type="dxa"/>
            <w:vAlign w:val="bottom"/>
            <w:vMerge w:val="continue"/>
            <w:shd w:val="clear" w:color="auto" w:fill="EAEAEC"/>
          </w:tcPr>
          <w:p>
            <w:pPr>
              <w:spacing w:after="0"/>
              <w:rPr>
                <w:sz w:val="7"/>
                <w:szCs w:val="7"/>
                <w:color w:val="auto"/>
              </w:rPr>
            </w:pPr>
          </w:p>
        </w:tc>
        <w:tc>
          <w:tcPr>
            <w:tcW w:w="580" w:type="dxa"/>
            <w:vAlign w:val="bottom"/>
            <w:vMerge w:val="continue"/>
            <w:shd w:val="clear" w:color="auto" w:fill="EAEAEC"/>
          </w:tcPr>
          <w:p>
            <w:pPr>
              <w:spacing w:after="0"/>
              <w:rPr>
                <w:sz w:val="7"/>
                <w:szCs w:val="7"/>
                <w:color w:val="auto"/>
              </w:rPr>
            </w:pPr>
          </w:p>
        </w:tc>
        <w:tc>
          <w:tcPr>
            <w:tcW w:w="500" w:type="dxa"/>
            <w:vAlign w:val="bottom"/>
            <w:shd w:val="clear" w:color="auto" w:fill="EAEAEC"/>
          </w:tcPr>
          <w:p>
            <w:pPr>
              <w:spacing w:after="0"/>
              <w:rPr>
                <w:sz w:val="7"/>
                <w:szCs w:val="7"/>
                <w:color w:val="auto"/>
              </w:rPr>
            </w:pPr>
          </w:p>
        </w:tc>
        <w:tc>
          <w:tcPr>
            <w:tcW w:w="680" w:type="dxa"/>
            <w:vAlign w:val="bottom"/>
            <w:vMerge w:val="continue"/>
            <w:shd w:val="clear" w:color="auto" w:fill="EAEAEC"/>
          </w:tcPr>
          <w:p>
            <w:pPr>
              <w:spacing w:after="0"/>
              <w:rPr>
                <w:sz w:val="7"/>
                <w:szCs w:val="7"/>
                <w:color w:val="auto"/>
              </w:rPr>
            </w:pPr>
          </w:p>
        </w:tc>
        <w:tc>
          <w:tcPr>
            <w:tcW w:w="480" w:type="dxa"/>
            <w:vAlign w:val="bottom"/>
            <w:shd w:val="clear" w:color="auto" w:fill="EAEAEC"/>
          </w:tcPr>
          <w:p>
            <w:pPr>
              <w:spacing w:after="0"/>
              <w:rPr>
                <w:sz w:val="7"/>
                <w:szCs w:val="7"/>
                <w:color w:val="auto"/>
              </w:rPr>
            </w:pPr>
          </w:p>
        </w:tc>
        <w:tc>
          <w:tcPr>
            <w:tcW w:w="880" w:type="dxa"/>
            <w:vAlign w:val="bottom"/>
            <w:vMerge w:val="continue"/>
            <w:shd w:val="clear" w:color="auto" w:fill="EAEAEC"/>
          </w:tcPr>
          <w:p>
            <w:pPr>
              <w:spacing w:after="0"/>
              <w:rPr>
                <w:sz w:val="7"/>
                <w:szCs w:val="7"/>
                <w:color w:val="auto"/>
              </w:rPr>
            </w:pPr>
          </w:p>
        </w:tc>
        <w:tc>
          <w:tcPr>
            <w:tcW w:w="560" w:type="dxa"/>
            <w:vAlign w:val="bottom"/>
            <w:vMerge w:val="continue"/>
            <w:shd w:val="clear" w:color="auto" w:fill="EAEAEC"/>
          </w:tcPr>
          <w:p>
            <w:pPr>
              <w:spacing w:after="0"/>
              <w:rPr>
                <w:sz w:val="7"/>
                <w:szCs w:val="7"/>
                <w:color w:val="auto"/>
              </w:rPr>
            </w:pPr>
          </w:p>
        </w:tc>
        <w:tc>
          <w:tcPr>
            <w:tcW w:w="840" w:type="dxa"/>
            <w:vAlign w:val="bottom"/>
            <w:vMerge w:val="continue"/>
            <w:shd w:val="clear" w:color="auto" w:fill="EAEAEC"/>
          </w:tcPr>
          <w:p>
            <w:pPr>
              <w:spacing w:after="0"/>
              <w:rPr>
                <w:sz w:val="7"/>
                <w:szCs w:val="7"/>
                <w:color w:val="auto"/>
              </w:rPr>
            </w:pPr>
          </w:p>
        </w:tc>
        <w:tc>
          <w:tcPr>
            <w:tcW w:w="500" w:type="dxa"/>
            <w:vAlign w:val="bottom"/>
            <w:vMerge w:val="continue"/>
            <w:shd w:val="clear" w:color="auto" w:fill="EAEAE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shd w:val="clear" w:color="auto" w:fill="EAEAEC"/>
          </w:tcPr>
          <w:p>
            <w:pPr>
              <w:spacing w:after="0"/>
              <w:rPr>
                <w:sz w:val="5"/>
                <w:szCs w:val="5"/>
                <w:color w:val="auto"/>
              </w:rPr>
            </w:pPr>
          </w:p>
        </w:tc>
        <w:tc>
          <w:tcPr>
            <w:tcW w:w="660" w:type="dxa"/>
            <w:vAlign w:val="bottom"/>
            <w:shd w:val="clear" w:color="auto" w:fill="EAEAEC"/>
          </w:tcPr>
          <w:p>
            <w:pPr>
              <w:spacing w:after="0"/>
              <w:rPr>
                <w:sz w:val="5"/>
                <w:szCs w:val="5"/>
                <w:color w:val="auto"/>
              </w:rPr>
            </w:pPr>
          </w:p>
        </w:tc>
        <w:tc>
          <w:tcPr>
            <w:tcW w:w="600" w:type="dxa"/>
            <w:vAlign w:val="bottom"/>
            <w:shd w:val="clear" w:color="auto" w:fill="EAEAEC"/>
          </w:tcPr>
          <w:p>
            <w:pPr>
              <w:spacing w:after="0"/>
              <w:rPr>
                <w:sz w:val="5"/>
                <w:szCs w:val="5"/>
                <w:color w:val="auto"/>
              </w:rPr>
            </w:pPr>
          </w:p>
        </w:tc>
        <w:tc>
          <w:tcPr>
            <w:tcW w:w="700" w:type="dxa"/>
            <w:vAlign w:val="bottom"/>
            <w:shd w:val="clear" w:color="auto" w:fill="EAEAEC"/>
          </w:tcPr>
          <w:p>
            <w:pPr>
              <w:spacing w:after="0"/>
              <w:rPr>
                <w:sz w:val="5"/>
                <w:szCs w:val="5"/>
                <w:color w:val="auto"/>
              </w:rPr>
            </w:pPr>
          </w:p>
        </w:tc>
        <w:tc>
          <w:tcPr>
            <w:tcW w:w="780" w:type="dxa"/>
            <w:vAlign w:val="bottom"/>
            <w:shd w:val="clear" w:color="auto" w:fill="EAEAEC"/>
          </w:tcPr>
          <w:p>
            <w:pPr>
              <w:spacing w:after="0"/>
              <w:rPr>
                <w:sz w:val="5"/>
                <w:szCs w:val="5"/>
                <w:color w:val="auto"/>
              </w:rPr>
            </w:pPr>
          </w:p>
        </w:tc>
        <w:tc>
          <w:tcPr>
            <w:tcW w:w="580" w:type="dxa"/>
            <w:vAlign w:val="bottom"/>
            <w:shd w:val="clear" w:color="auto" w:fill="EAEAEC"/>
          </w:tcPr>
          <w:p>
            <w:pPr>
              <w:spacing w:after="0"/>
              <w:rPr>
                <w:sz w:val="5"/>
                <w:szCs w:val="5"/>
                <w:color w:val="auto"/>
              </w:rPr>
            </w:pPr>
          </w:p>
        </w:tc>
        <w:tc>
          <w:tcPr>
            <w:tcW w:w="500" w:type="dxa"/>
            <w:vAlign w:val="bottom"/>
            <w:shd w:val="clear" w:color="auto" w:fill="EAEAEC"/>
          </w:tcPr>
          <w:p>
            <w:pPr>
              <w:spacing w:after="0"/>
              <w:rPr>
                <w:sz w:val="5"/>
                <w:szCs w:val="5"/>
                <w:color w:val="auto"/>
              </w:rPr>
            </w:pPr>
          </w:p>
        </w:tc>
        <w:tc>
          <w:tcPr>
            <w:tcW w:w="680" w:type="dxa"/>
            <w:vAlign w:val="bottom"/>
            <w:shd w:val="clear" w:color="auto" w:fill="EAEAEC"/>
          </w:tcPr>
          <w:p>
            <w:pPr>
              <w:spacing w:after="0"/>
              <w:rPr>
                <w:sz w:val="5"/>
                <w:szCs w:val="5"/>
                <w:color w:val="auto"/>
              </w:rPr>
            </w:pPr>
          </w:p>
        </w:tc>
        <w:tc>
          <w:tcPr>
            <w:tcW w:w="480" w:type="dxa"/>
            <w:vAlign w:val="bottom"/>
            <w:shd w:val="clear" w:color="auto" w:fill="EAEAEC"/>
          </w:tcPr>
          <w:p>
            <w:pPr>
              <w:spacing w:after="0"/>
              <w:rPr>
                <w:sz w:val="5"/>
                <w:szCs w:val="5"/>
                <w:color w:val="auto"/>
              </w:rPr>
            </w:pPr>
          </w:p>
        </w:tc>
        <w:tc>
          <w:tcPr>
            <w:tcW w:w="880" w:type="dxa"/>
            <w:vAlign w:val="bottom"/>
            <w:shd w:val="clear" w:color="auto" w:fill="EAEAEC"/>
          </w:tcPr>
          <w:p>
            <w:pPr>
              <w:spacing w:after="0"/>
              <w:rPr>
                <w:sz w:val="5"/>
                <w:szCs w:val="5"/>
                <w:color w:val="auto"/>
              </w:rPr>
            </w:pPr>
          </w:p>
        </w:tc>
        <w:tc>
          <w:tcPr>
            <w:tcW w:w="560" w:type="dxa"/>
            <w:vAlign w:val="bottom"/>
            <w:shd w:val="clear" w:color="auto" w:fill="EAEAEC"/>
          </w:tcPr>
          <w:p>
            <w:pPr>
              <w:spacing w:after="0"/>
              <w:rPr>
                <w:sz w:val="5"/>
                <w:szCs w:val="5"/>
                <w:color w:val="auto"/>
              </w:rPr>
            </w:pPr>
          </w:p>
        </w:tc>
        <w:tc>
          <w:tcPr>
            <w:tcW w:w="840" w:type="dxa"/>
            <w:vAlign w:val="bottom"/>
            <w:shd w:val="clear" w:color="auto" w:fill="EAEAEC"/>
          </w:tcPr>
          <w:p>
            <w:pPr>
              <w:spacing w:after="0"/>
              <w:rPr>
                <w:sz w:val="5"/>
                <w:szCs w:val="5"/>
                <w:color w:val="auto"/>
              </w:rPr>
            </w:pPr>
          </w:p>
        </w:tc>
        <w:tc>
          <w:tcPr>
            <w:tcW w:w="500" w:type="dxa"/>
            <w:vAlign w:val="bottom"/>
            <w:shd w:val="clear" w:color="auto" w:fill="EAEAEC"/>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shd w:val="clear" w:color="auto" w:fill="EAEAEC"/>
          </w:tcPr>
          <w:p>
            <w:pPr>
              <w:spacing w:after="0"/>
              <w:rPr>
                <w:sz w:val="6"/>
                <w:szCs w:val="6"/>
                <w:color w:val="auto"/>
              </w:rPr>
            </w:pPr>
          </w:p>
        </w:tc>
        <w:tc>
          <w:tcPr>
            <w:tcW w:w="660" w:type="dxa"/>
            <w:vAlign w:val="bottom"/>
            <w:tcBorders>
              <w:bottom w:val="single" w:sz="8" w:color="auto"/>
            </w:tcBorders>
            <w:shd w:val="clear" w:color="auto" w:fill="EAEAEC"/>
          </w:tcPr>
          <w:p>
            <w:pPr>
              <w:spacing w:after="0"/>
              <w:rPr>
                <w:sz w:val="6"/>
                <w:szCs w:val="6"/>
                <w:color w:val="auto"/>
              </w:rPr>
            </w:pPr>
          </w:p>
        </w:tc>
        <w:tc>
          <w:tcPr>
            <w:tcW w:w="600" w:type="dxa"/>
            <w:vAlign w:val="bottom"/>
            <w:tcBorders>
              <w:bottom w:val="single" w:sz="8" w:color="auto"/>
            </w:tcBorders>
            <w:shd w:val="clear" w:color="auto" w:fill="EAEAEC"/>
          </w:tcPr>
          <w:p>
            <w:pPr>
              <w:spacing w:after="0"/>
              <w:rPr>
                <w:sz w:val="6"/>
                <w:szCs w:val="6"/>
                <w:color w:val="auto"/>
              </w:rPr>
            </w:pPr>
          </w:p>
        </w:tc>
        <w:tc>
          <w:tcPr>
            <w:tcW w:w="700" w:type="dxa"/>
            <w:vAlign w:val="bottom"/>
            <w:tcBorders>
              <w:bottom w:val="single" w:sz="8" w:color="auto"/>
            </w:tcBorders>
            <w:shd w:val="clear" w:color="auto" w:fill="EAEAEC"/>
          </w:tcPr>
          <w:p>
            <w:pPr>
              <w:spacing w:after="0"/>
              <w:rPr>
                <w:sz w:val="6"/>
                <w:szCs w:val="6"/>
                <w:color w:val="auto"/>
              </w:rPr>
            </w:pPr>
          </w:p>
        </w:tc>
        <w:tc>
          <w:tcPr>
            <w:tcW w:w="780" w:type="dxa"/>
            <w:vAlign w:val="bottom"/>
            <w:tcBorders>
              <w:bottom w:val="single" w:sz="8" w:color="auto"/>
            </w:tcBorders>
            <w:shd w:val="clear" w:color="auto" w:fill="EAEAEC"/>
          </w:tcPr>
          <w:p>
            <w:pPr>
              <w:spacing w:after="0"/>
              <w:rPr>
                <w:sz w:val="6"/>
                <w:szCs w:val="6"/>
                <w:color w:val="auto"/>
              </w:rPr>
            </w:pPr>
          </w:p>
        </w:tc>
        <w:tc>
          <w:tcPr>
            <w:tcW w:w="58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680" w:type="dxa"/>
            <w:vAlign w:val="bottom"/>
            <w:tcBorders>
              <w:bottom w:val="single" w:sz="8" w:color="auto"/>
            </w:tcBorders>
            <w:shd w:val="clear" w:color="auto" w:fill="EAEAEC"/>
          </w:tcPr>
          <w:p>
            <w:pPr>
              <w:spacing w:after="0"/>
              <w:rPr>
                <w:sz w:val="6"/>
                <w:szCs w:val="6"/>
                <w:color w:val="auto"/>
              </w:rPr>
            </w:pPr>
          </w:p>
        </w:tc>
        <w:tc>
          <w:tcPr>
            <w:tcW w:w="480" w:type="dxa"/>
            <w:vAlign w:val="bottom"/>
            <w:tcBorders>
              <w:bottom w:val="single" w:sz="8" w:color="auto"/>
            </w:tcBorders>
            <w:shd w:val="clear" w:color="auto" w:fill="EAEAEC"/>
          </w:tcPr>
          <w:p>
            <w:pPr>
              <w:spacing w:after="0"/>
              <w:rPr>
                <w:sz w:val="6"/>
                <w:szCs w:val="6"/>
                <w:color w:val="auto"/>
              </w:rPr>
            </w:pPr>
          </w:p>
        </w:tc>
        <w:tc>
          <w:tcPr>
            <w:tcW w:w="880" w:type="dxa"/>
            <w:vAlign w:val="bottom"/>
            <w:tcBorders>
              <w:bottom w:val="single" w:sz="8" w:color="auto"/>
            </w:tcBorders>
            <w:shd w:val="clear" w:color="auto" w:fill="EAEAEC"/>
          </w:tcPr>
          <w:p>
            <w:pPr>
              <w:spacing w:after="0"/>
              <w:rPr>
                <w:sz w:val="6"/>
                <w:szCs w:val="6"/>
                <w:color w:val="auto"/>
              </w:rPr>
            </w:pPr>
          </w:p>
        </w:tc>
        <w:tc>
          <w:tcPr>
            <w:tcW w:w="560" w:type="dxa"/>
            <w:vAlign w:val="bottom"/>
            <w:tcBorders>
              <w:bottom w:val="single" w:sz="8" w:color="auto"/>
            </w:tcBorders>
            <w:shd w:val="clear" w:color="auto" w:fill="EAEAEC"/>
          </w:tcPr>
          <w:p>
            <w:pPr>
              <w:spacing w:after="0"/>
              <w:rPr>
                <w:sz w:val="6"/>
                <w:szCs w:val="6"/>
                <w:color w:val="auto"/>
              </w:rPr>
            </w:pPr>
          </w:p>
        </w:tc>
        <w:tc>
          <w:tcPr>
            <w:tcW w:w="84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80"/>
              <w:spacing w:after="0"/>
              <w:rPr>
                <w:sz w:val="20"/>
                <w:szCs w:val="20"/>
                <w:color w:val="auto"/>
              </w:rPr>
            </w:pPr>
            <w:r>
              <w:rPr>
                <w:rFonts w:ascii="Arial" w:cs="Arial" w:eastAsia="Arial" w:hAnsi="Arial"/>
                <w:sz w:val="12"/>
                <w:szCs w:val="12"/>
                <w:b w:val="1"/>
                <w:bCs w:val="1"/>
                <w:color w:val="231F20"/>
              </w:rPr>
              <w:t>Business Strategy/</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80"/>
              <w:spacing w:after="0" w:line="135" w:lineRule="exact"/>
              <w:rPr>
                <w:sz w:val="20"/>
                <w:szCs w:val="20"/>
                <w:color w:val="auto"/>
              </w:rPr>
            </w:pPr>
            <w:r>
              <w:rPr>
                <w:rFonts w:ascii="Arial" w:cs="Arial" w:eastAsia="Arial" w:hAnsi="Arial"/>
                <w:sz w:val="12"/>
                <w:szCs w:val="12"/>
                <w:b w:val="1"/>
                <w:bCs w:val="1"/>
                <w:color w:val="231F20"/>
              </w:rPr>
              <w:t>Operations</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C04C57"/>
                <w:w w:val="82"/>
              </w:rPr>
              <w:t>●</w:t>
            </w:r>
          </w:p>
        </w:tc>
        <w:tc>
          <w:tcPr>
            <w:tcW w:w="7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C04C57"/>
              </w:rPr>
              <w:t>●</w:t>
            </w:r>
          </w:p>
        </w:tc>
        <w:tc>
          <w:tcPr>
            <w:tcW w:w="500" w:type="dxa"/>
            <w:vAlign w:val="bottom"/>
          </w:tcPr>
          <w:p>
            <w:pPr>
              <w:jc w:val="center"/>
              <w:spacing w:after="0" w:line="135" w:lineRule="exact"/>
              <w:rPr>
                <w:sz w:val="20"/>
                <w:szCs w:val="20"/>
                <w:color w:val="auto"/>
              </w:rPr>
            </w:pPr>
            <w:r>
              <w:rPr>
                <w:rFonts w:ascii="Arial" w:cs="Arial" w:eastAsia="Arial" w:hAnsi="Arial"/>
                <w:sz w:val="12"/>
                <w:szCs w:val="12"/>
                <w:color w:val="C04C57"/>
                <w:w w:val="82"/>
              </w:rPr>
              <w:t>●</w:t>
            </w:r>
          </w:p>
        </w:tc>
        <w:tc>
          <w:tcPr>
            <w:tcW w:w="680" w:type="dxa"/>
            <w:vAlign w:val="bottom"/>
          </w:tcPr>
          <w:p>
            <w:pPr>
              <w:jc w:val="center"/>
              <w:spacing w:after="0" w:line="135" w:lineRule="exact"/>
              <w:rPr>
                <w:sz w:val="20"/>
                <w:szCs w:val="20"/>
                <w:color w:val="auto"/>
              </w:rPr>
            </w:pPr>
            <w:r>
              <w:rPr>
                <w:rFonts w:ascii="Arial" w:cs="Arial" w:eastAsia="Arial" w:hAnsi="Arial"/>
                <w:sz w:val="12"/>
                <w:szCs w:val="12"/>
                <w:color w:val="C04C57"/>
              </w:rPr>
              <w:t>●</w:t>
            </w:r>
          </w:p>
        </w:tc>
        <w:tc>
          <w:tcPr>
            <w:tcW w:w="480" w:type="dxa"/>
            <w:vAlign w:val="bottom"/>
          </w:tcPr>
          <w:p>
            <w:pPr>
              <w:jc w:val="center"/>
              <w:spacing w:after="0" w:line="135" w:lineRule="exact"/>
              <w:rPr>
                <w:sz w:val="20"/>
                <w:szCs w:val="20"/>
                <w:color w:val="auto"/>
              </w:rPr>
            </w:pPr>
            <w:r>
              <w:rPr>
                <w:rFonts w:ascii="Arial" w:cs="Arial" w:eastAsia="Arial" w:hAnsi="Arial"/>
                <w:sz w:val="12"/>
                <w:szCs w:val="12"/>
                <w:color w:val="C04C57"/>
              </w:rPr>
              <w:t>●</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C04C57"/>
              </w:rPr>
              <w:t>●</w:t>
            </w: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C04C57"/>
              </w:rPr>
              <w:t>●</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C04C57"/>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60" w:type="dxa"/>
            <w:vAlign w:val="bottom"/>
          </w:tcPr>
          <w:p>
            <w:pPr>
              <w:ind w:left="80"/>
              <w:spacing w:after="0"/>
              <w:rPr>
                <w:sz w:val="20"/>
                <w:szCs w:val="20"/>
                <w:color w:val="auto"/>
              </w:rPr>
            </w:pPr>
            <w:r>
              <w:rPr>
                <w:rFonts w:ascii="Arial" w:cs="Arial" w:eastAsia="Arial" w:hAnsi="Arial"/>
                <w:sz w:val="12"/>
                <w:szCs w:val="12"/>
                <w:b w:val="1"/>
                <w:bCs w:val="1"/>
                <w:color w:val="231F20"/>
              </w:rPr>
              <w:t>Experience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360" w:type="dxa"/>
            <w:vAlign w:val="bottom"/>
            <w:shd w:val="clear" w:color="auto" w:fill="EAEAEC"/>
          </w:tcPr>
          <w:p>
            <w:pPr>
              <w:ind w:left="80"/>
              <w:spacing w:after="0"/>
              <w:rPr>
                <w:sz w:val="20"/>
                <w:szCs w:val="20"/>
                <w:color w:val="auto"/>
              </w:rPr>
            </w:pPr>
            <w:r>
              <w:rPr>
                <w:rFonts w:ascii="Arial" w:cs="Arial" w:eastAsia="Arial" w:hAnsi="Arial"/>
                <w:sz w:val="12"/>
                <w:szCs w:val="12"/>
                <w:b w:val="1"/>
                <w:bCs w:val="1"/>
                <w:color w:val="231F20"/>
              </w:rPr>
              <w:t>Financial Expertise</w:t>
            </w:r>
          </w:p>
        </w:tc>
        <w:tc>
          <w:tcPr>
            <w:tcW w:w="660" w:type="dxa"/>
            <w:vAlign w:val="bottom"/>
            <w:shd w:val="clear" w:color="auto" w:fill="EAEAEC"/>
          </w:tcPr>
          <w:p>
            <w:pPr>
              <w:spacing w:after="0"/>
              <w:rPr>
                <w:sz w:val="18"/>
                <w:szCs w:val="18"/>
                <w:color w:val="auto"/>
              </w:rPr>
            </w:pPr>
          </w:p>
        </w:tc>
        <w:tc>
          <w:tcPr>
            <w:tcW w:w="600" w:type="dxa"/>
            <w:vAlign w:val="bottom"/>
            <w:shd w:val="clear" w:color="auto" w:fill="EAEAEC"/>
          </w:tcPr>
          <w:p>
            <w:pPr>
              <w:spacing w:after="0"/>
              <w:rPr>
                <w:sz w:val="18"/>
                <w:szCs w:val="18"/>
                <w:color w:val="auto"/>
              </w:rPr>
            </w:pPr>
          </w:p>
        </w:tc>
        <w:tc>
          <w:tcPr>
            <w:tcW w:w="700" w:type="dxa"/>
            <w:vAlign w:val="bottom"/>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780" w:type="dxa"/>
            <w:vAlign w:val="bottom"/>
            <w:shd w:val="clear" w:color="auto" w:fill="EAEAEC"/>
          </w:tcPr>
          <w:p>
            <w:pPr>
              <w:spacing w:after="0"/>
              <w:rPr>
                <w:sz w:val="18"/>
                <w:szCs w:val="18"/>
                <w:color w:val="auto"/>
              </w:rPr>
            </w:pPr>
          </w:p>
        </w:tc>
        <w:tc>
          <w:tcPr>
            <w:tcW w:w="580" w:type="dxa"/>
            <w:vAlign w:val="bottom"/>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00" w:type="dxa"/>
            <w:vAlign w:val="bottom"/>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680" w:type="dxa"/>
            <w:vAlign w:val="bottom"/>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480" w:type="dxa"/>
            <w:vAlign w:val="bottom"/>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880" w:type="dxa"/>
            <w:vAlign w:val="bottom"/>
            <w:shd w:val="clear" w:color="auto" w:fill="EAEAEC"/>
          </w:tcPr>
          <w:p>
            <w:pPr>
              <w:spacing w:after="0"/>
              <w:rPr>
                <w:sz w:val="18"/>
                <w:szCs w:val="18"/>
                <w:color w:val="auto"/>
              </w:rPr>
            </w:pPr>
          </w:p>
        </w:tc>
        <w:tc>
          <w:tcPr>
            <w:tcW w:w="560" w:type="dxa"/>
            <w:vAlign w:val="bottom"/>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840" w:type="dxa"/>
            <w:vAlign w:val="bottom"/>
            <w:shd w:val="clear" w:color="auto" w:fill="EAEAEC"/>
          </w:tcPr>
          <w:p>
            <w:pPr>
              <w:spacing w:after="0"/>
              <w:rPr>
                <w:sz w:val="18"/>
                <w:szCs w:val="18"/>
                <w:color w:val="auto"/>
              </w:rPr>
            </w:pPr>
          </w:p>
        </w:tc>
        <w:tc>
          <w:tcPr>
            <w:tcW w:w="500" w:type="dxa"/>
            <w:vAlign w:val="bottom"/>
            <w:shd w:val="clear" w:color="auto" w:fill="EAEAEC"/>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shd w:val="clear" w:color="auto" w:fill="EAEAEC"/>
          </w:tcPr>
          <w:p>
            <w:pPr>
              <w:spacing w:after="0"/>
              <w:rPr>
                <w:sz w:val="6"/>
                <w:szCs w:val="6"/>
                <w:color w:val="auto"/>
              </w:rPr>
            </w:pPr>
          </w:p>
        </w:tc>
        <w:tc>
          <w:tcPr>
            <w:tcW w:w="660" w:type="dxa"/>
            <w:vAlign w:val="bottom"/>
            <w:tcBorders>
              <w:bottom w:val="single" w:sz="8" w:color="auto"/>
            </w:tcBorders>
            <w:shd w:val="clear" w:color="auto" w:fill="EAEAEC"/>
          </w:tcPr>
          <w:p>
            <w:pPr>
              <w:spacing w:after="0"/>
              <w:rPr>
                <w:sz w:val="6"/>
                <w:szCs w:val="6"/>
                <w:color w:val="auto"/>
              </w:rPr>
            </w:pPr>
          </w:p>
        </w:tc>
        <w:tc>
          <w:tcPr>
            <w:tcW w:w="600" w:type="dxa"/>
            <w:vAlign w:val="bottom"/>
            <w:tcBorders>
              <w:bottom w:val="single" w:sz="8" w:color="auto"/>
            </w:tcBorders>
            <w:shd w:val="clear" w:color="auto" w:fill="EAEAEC"/>
          </w:tcPr>
          <w:p>
            <w:pPr>
              <w:spacing w:after="0"/>
              <w:rPr>
                <w:sz w:val="6"/>
                <w:szCs w:val="6"/>
                <w:color w:val="auto"/>
              </w:rPr>
            </w:pPr>
          </w:p>
        </w:tc>
        <w:tc>
          <w:tcPr>
            <w:tcW w:w="700" w:type="dxa"/>
            <w:vAlign w:val="bottom"/>
            <w:tcBorders>
              <w:bottom w:val="single" w:sz="8" w:color="auto"/>
            </w:tcBorders>
            <w:shd w:val="clear" w:color="auto" w:fill="EAEAEC"/>
          </w:tcPr>
          <w:p>
            <w:pPr>
              <w:spacing w:after="0"/>
              <w:rPr>
                <w:sz w:val="6"/>
                <w:szCs w:val="6"/>
                <w:color w:val="auto"/>
              </w:rPr>
            </w:pPr>
          </w:p>
        </w:tc>
        <w:tc>
          <w:tcPr>
            <w:tcW w:w="780" w:type="dxa"/>
            <w:vAlign w:val="bottom"/>
            <w:tcBorders>
              <w:bottom w:val="single" w:sz="8" w:color="auto"/>
            </w:tcBorders>
            <w:shd w:val="clear" w:color="auto" w:fill="EAEAEC"/>
          </w:tcPr>
          <w:p>
            <w:pPr>
              <w:spacing w:after="0"/>
              <w:rPr>
                <w:sz w:val="6"/>
                <w:szCs w:val="6"/>
                <w:color w:val="auto"/>
              </w:rPr>
            </w:pPr>
          </w:p>
        </w:tc>
        <w:tc>
          <w:tcPr>
            <w:tcW w:w="58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680" w:type="dxa"/>
            <w:vAlign w:val="bottom"/>
            <w:tcBorders>
              <w:bottom w:val="single" w:sz="8" w:color="auto"/>
            </w:tcBorders>
            <w:shd w:val="clear" w:color="auto" w:fill="EAEAEC"/>
          </w:tcPr>
          <w:p>
            <w:pPr>
              <w:spacing w:after="0"/>
              <w:rPr>
                <w:sz w:val="6"/>
                <w:szCs w:val="6"/>
                <w:color w:val="auto"/>
              </w:rPr>
            </w:pPr>
          </w:p>
        </w:tc>
        <w:tc>
          <w:tcPr>
            <w:tcW w:w="480" w:type="dxa"/>
            <w:vAlign w:val="bottom"/>
            <w:tcBorders>
              <w:bottom w:val="single" w:sz="8" w:color="auto"/>
            </w:tcBorders>
            <w:shd w:val="clear" w:color="auto" w:fill="EAEAEC"/>
          </w:tcPr>
          <w:p>
            <w:pPr>
              <w:spacing w:after="0"/>
              <w:rPr>
                <w:sz w:val="6"/>
                <w:szCs w:val="6"/>
                <w:color w:val="auto"/>
              </w:rPr>
            </w:pPr>
          </w:p>
        </w:tc>
        <w:tc>
          <w:tcPr>
            <w:tcW w:w="880" w:type="dxa"/>
            <w:vAlign w:val="bottom"/>
            <w:tcBorders>
              <w:bottom w:val="single" w:sz="8" w:color="auto"/>
            </w:tcBorders>
            <w:shd w:val="clear" w:color="auto" w:fill="EAEAEC"/>
          </w:tcPr>
          <w:p>
            <w:pPr>
              <w:spacing w:after="0"/>
              <w:rPr>
                <w:sz w:val="6"/>
                <w:szCs w:val="6"/>
                <w:color w:val="auto"/>
              </w:rPr>
            </w:pPr>
          </w:p>
        </w:tc>
        <w:tc>
          <w:tcPr>
            <w:tcW w:w="560" w:type="dxa"/>
            <w:vAlign w:val="bottom"/>
            <w:tcBorders>
              <w:bottom w:val="single" w:sz="8" w:color="auto"/>
            </w:tcBorders>
            <w:shd w:val="clear" w:color="auto" w:fill="EAEAEC"/>
          </w:tcPr>
          <w:p>
            <w:pPr>
              <w:spacing w:after="0"/>
              <w:rPr>
                <w:sz w:val="6"/>
                <w:szCs w:val="6"/>
                <w:color w:val="auto"/>
              </w:rPr>
            </w:pPr>
          </w:p>
        </w:tc>
        <w:tc>
          <w:tcPr>
            <w:tcW w:w="84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80"/>
              <w:spacing w:after="0"/>
              <w:rPr>
                <w:sz w:val="20"/>
                <w:szCs w:val="20"/>
                <w:color w:val="auto"/>
              </w:rPr>
            </w:pPr>
            <w:r>
              <w:rPr>
                <w:rFonts w:ascii="Arial" w:cs="Arial" w:eastAsia="Arial" w:hAnsi="Arial"/>
                <w:sz w:val="12"/>
                <w:szCs w:val="12"/>
                <w:b w:val="1"/>
                <w:bCs w:val="1"/>
                <w:color w:val="231F20"/>
              </w:rPr>
              <w:t>Public Company CEO</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C04C57"/>
                <w:w w:val="82"/>
              </w:rPr>
              <w:t>●</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color w:val="C04C57"/>
                <w:w w:val="82"/>
              </w:rPr>
              <w:t>●</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C04C57"/>
              </w:rPr>
              <w:t>●</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1360" w:type="dxa"/>
            <w:vAlign w:val="bottom"/>
            <w:vMerge w:val="restart"/>
          </w:tcPr>
          <w:p>
            <w:pPr>
              <w:ind w:left="80"/>
              <w:spacing w:after="0"/>
              <w:rPr>
                <w:sz w:val="20"/>
                <w:szCs w:val="20"/>
                <w:color w:val="auto"/>
              </w:rPr>
            </w:pPr>
            <w:r>
              <w:rPr>
                <w:rFonts w:ascii="Arial" w:cs="Arial" w:eastAsia="Arial" w:hAnsi="Arial"/>
                <w:sz w:val="12"/>
                <w:szCs w:val="12"/>
                <w:b w:val="1"/>
                <w:bCs w:val="1"/>
                <w:color w:val="231F20"/>
              </w:rPr>
              <w:t>Experience</w:t>
            </w: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360" w:type="dxa"/>
            <w:vAlign w:val="bottom"/>
            <w:shd w:val="clear" w:color="auto" w:fill="EAEAEC"/>
          </w:tcPr>
          <w:p>
            <w:pPr>
              <w:ind w:left="80"/>
              <w:spacing w:after="0"/>
              <w:rPr>
                <w:sz w:val="20"/>
                <w:szCs w:val="20"/>
                <w:color w:val="auto"/>
              </w:rPr>
            </w:pPr>
            <w:r>
              <w:rPr>
                <w:rFonts w:ascii="Arial" w:cs="Arial" w:eastAsia="Arial" w:hAnsi="Arial"/>
                <w:sz w:val="12"/>
                <w:szCs w:val="12"/>
                <w:b w:val="1"/>
                <w:bCs w:val="1"/>
                <w:color w:val="231F20"/>
              </w:rPr>
              <w:t>National Academy of</w:t>
            </w:r>
          </w:p>
        </w:tc>
        <w:tc>
          <w:tcPr>
            <w:tcW w:w="66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6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700" w:type="dxa"/>
            <w:vAlign w:val="bottom"/>
            <w:shd w:val="clear" w:color="auto" w:fill="EAEAEC"/>
          </w:tcPr>
          <w:p>
            <w:pPr>
              <w:spacing w:after="0"/>
              <w:rPr>
                <w:sz w:val="17"/>
                <w:szCs w:val="17"/>
                <w:color w:val="auto"/>
              </w:rPr>
            </w:pPr>
          </w:p>
        </w:tc>
        <w:tc>
          <w:tcPr>
            <w:tcW w:w="7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w w:val="82"/>
              </w:rPr>
              <w:t>●</w:t>
            </w:r>
          </w:p>
        </w:tc>
        <w:tc>
          <w:tcPr>
            <w:tcW w:w="580" w:type="dxa"/>
            <w:vAlign w:val="bottom"/>
            <w:shd w:val="clear" w:color="auto" w:fill="EAEAEC"/>
          </w:tcPr>
          <w:p>
            <w:pPr>
              <w:spacing w:after="0"/>
              <w:rPr>
                <w:sz w:val="17"/>
                <w:szCs w:val="17"/>
                <w:color w:val="auto"/>
              </w:rPr>
            </w:pPr>
          </w:p>
        </w:tc>
        <w:tc>
          <w:tcPr>
            <w:tcW w:w="500" w:type="dxa"/>
            <w:vAlign w:val="bottom"/>
            <w:shd w:val="clear" w:color="auto" w:fill="EAEAEC"/>
          </w:tcPr>
          <w:p>
            <w:pPr>
              <w:spacing w:after="0"/>
              <w:rPr>
                <w:sz w:val="17"/>
                <w:szCs w:val="17"/>
                <w:color w:val="auto"/>
              </w:rPr>
            </w:pPr>
          </w:p>
        </w:tc>
        <w:tc>
          <w:tcPr>
            <w:tcW w:w="680" w:type="dxa"/>
            <w:vAlign w:val="bottom"/>
            <w:shd w:val="clear" w:color="auto" w:fill="EAEAEC"/>
          </w:tcPr>
          <w:p>
            <w:pPr>
              <w:spacing w:after="0"/>
              <w:rPr>
                <w:sz w:val="17"/>
                <w:szCs w:val="17"/>
                <w:color w:val="auto"/>
              </w:rPr>
            </w:pPr>
          </w:p>
        </w:tc>
        <w:tc>
          <w:tcPr>
            <w:tcW w:w="480" w:type="dxa"/>
            <w:vAlign w:val="bottom"/>
            <w:shd w:val="clear" w:color="auto" w:fill="EAEAEC"/>
          </w:tcPr>
          <w:p>
            <w:pPr>
              <w:spacing w:after="0"/>
              <w:rPr>
                <w:sz w:val="17"/>
                <w:szCs w:val="17"/>
                <w:color w:val="auto"/>
              </w:rPr>
            </w:pPr>
          </w:p>
        </w:tc>
        <w:tc>
          <w:tcPr>
            <w:tcW w:w="88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6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84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500" w:type="dxa"/>
            <w:vAlign w:val="bottom"/>
            <w:vMerge w:val="restart"/>
            <w:shd w:val="clear" w:color="auto" w:fill="EAEAEC"/>
          </w:tcPr>
          <w:p>
            <w:pPr>
              <w:jc w:val="center"/>
              <w:spacing w:after="0"/>
              <w:rPr>
                <w:sz w:val="20"/>
                <w:szCs w:val="20"/>
                <w:color w:val="auto"/>
              </w:rPr>
            </w:pPr>
            <w:r>
              <w:rPr>
                <w:rFonts w:ascii="Arial" w:cs="Arial" w:eastAsia="Arial" w:hAnsi="Arial"/>
                <w:sz w:val="12"/>
                <w:szCs w:val="12"/>
                <w:color w:val="C04C57"/>
              </w:rPr>
              <w:t>●</w:t>
            </w:r>
          </w:p>
        </w:tc>
        <w:tc>
          <w:tcPr>
            <w:tcW w:w="0" w:type="dxa"/>
            <w:vAlign w:val="bottom"/>
          </w:tcPr>
          <w:p>
            <w:pPr>
              <w:spacing w:after="0"/>
              <w:rPr>
                <w:sz w:val="1"/>
                <w:szCs w:val="1"/>
                <w:color w:val="auto"/>
              </w:rPr>
            </w:pPr>
          </w:p>
        </w:tc>
      </w:tr>
      <w:tr>
        <w:trPr>
          <w:trHeight w:val="86"/>
        </w:trPr>
        <w:tc>
          <w:tcPr>
            <w:tcW w:w="1360" w:type="dxa"/>
            <w:vAlign w:val="bottom"/>
            <w:vMerge w:val="restart"/>
            <w:shd w:val="clear" w:color="auto" w:fill="EAEAEC"/>
          </w:tcPr>
          <w:p>
            <w:pPr>
              <w:ind w:left="80"/>
              <w:spacing w:after="0"/>
              <w:rPr>
                <w:sz w:val="20"/>
                <w:szCs w:val="20"/>
                <w:color w:val="auto"/>
              </w:rPr>
            </w:pPr>
            <w:r>
              <w:rPr>
                <w:rFonts w:ascii="Arial" w:cs="Arial" w:eastAsia="Arial" w:hAnsi="Arial"/>
                <w:sz w:val="12"/>
                <w:szCs w:val="12"/>
                <w:b w:val="1"/>
                <w:bCs w:val="1"/>
                <w:color w:val="231F20"/>
                <w:w w:val="99"/>
              </w:rPr>
              <w:t>Sciences Membership</w:t>
            </w:r>
          </w:p>
        </w:tc>
        <w:tc>
          <w:tcPr>
            <w:tcW w:w="660" w:type="dxa"/>
            <w:vAlign w:val="bottom"/>
            <w:vMerge w:val="continue"/>
            <w:shd w:val="clear" w:color="auto" w:fill="EAEAEC"/>
          </w:tcPr>
          <w:p>
            <w:pPr>
              <w:spacing w:after="0"/>
              <w:rPr>
                <w:sz w:val="7"/>
                <w:szCs w:val="7"/>
                <w:color w:val="auto"/>
              </w:rPr>
            </w:pPr>
          </w:p>
        </w:tc>
        <w:tc>
          <w:tcPr>
            <w:tcW w:w="600" w:type="dxa"/>
            <w:vAlign w:val="bottom"/>
            <w:vMerge w:val="continue"/>
            <w:shd w:val="clear" w:color="auto" w:fill="EAEAEC"/>
          </w:tcPr>
          <w:p>
            <w:pPr>
              <w:spacing w:after="0"/>
              <w:rPr>
                <w:sz w:val="7"/>
                <w:szCs w:val="7"/>
                <w:color w:val="auto"/>
              </w:rPr>
            </w:pPr>
          </w:p>
        </w:tc>
        <w:tc>
          <w:tcPr>
            <w:tcW w:w="700" w:type="dxa"/>
            <w:vAlign w:val="bottom"/>
            <w:shd w:val="clear" w:color="auto" w:fill="EAEAEC"/>
          </w:tcPr>
          <w:p>
            <w:pPr>
              <w:spacing w:after="0"/>
              <w:rPr>
                <w:sz w:val="7"/>
                <w:szCs w:val="7"/>
                <w:color w:val="auto"/>
              </w:rPr>
            </w:pPr>
          </w:p>
        </w:tc>
        <w:tc>
          <w:tcPr>
            <w:tcW w:w="780" w:type="dxa"/>
            <w:vAlign w:val="bottom"/>
            <w:vMerge w:val="continue"/>
            <w:shd w:val="clear" w:color="auto" w:fill="EAEAEC"/>
          </w:tcPr>
          <w:p>
            <w:pPr>
              <w:spacing w:after="0"/>
              <w:rPr>
                <w:sz w:val="7"/>
                <w:szCs w:val="7"/>
                <w:color w:val="auto"/>
              </w:rPr>
            </w:pPr>
          </w:p>
        </w:tc>
        <w:tc>
          <w:tcPr>
            <w:tcW w:w="580" w:type="dxa"/>
            <w:vAlign w:val="bottom"/>
            <w:shd w:val="clear" w:color="auto" w:fill="EAEAEC"/>
          </w:tcPr>
          <w:p>
            <w:pPr>
              <w:spacing w:after="0"/>
              <w:rPr>
                <w:sz w:val="7"/>
                <w:szCs w:val="7"/>
                <w:color w:val="auto"/>
              </w:rPr>
            </w:pPr>
          </w:p>
        </w:tc>
        <w:tc>
          <w:tcPr>
            <w:tcW w:w="500" w:type="dxa"/>
            <w:vAlign w:val="bottom"/>
            <w:shd w:val="clear" w:color="auto" w:fill="EAEAEC"/>
          </w:tcPr>
          <w:p>
            <w:pPr>
              <w:spacing w:after="0"/>
              <w:rPr>
                <w:sz w:val="7"/>
                <w:szCs w:val="7"/>
                <w:color w:val="auto"/>
              </w:rPr>
            </w:pPr>
          </w:p>
        </w:tc>
        <w:tc>
          <w:tcPr>
            <w:tcW w:w="680" w:type="dxa"/>
            <w:vAlign w:val="bottom"/>
            <w:shd w:val="clear" w:color="auto" w:fill="EAEAEC"/>
          </w:tcPr>
          <w:p>
            <w:pPr>
              <w:spacing w:after="0"/>
              <w:rPr>
                <w:sz w:val="7"/>
                <w:szCs w:val="7"/>
                <w:color w:val="auto"/>
              </w:rPr>
            </w:pPr>
          </w:p>
        </w:tc>
        <w:tc>
          <w:tcPr>
            <w:tcW w:w="480" w:type="dxa"/>
            <w:vAlign w:val="bottom"/>
            <w:shd w:val="clear" w:color="auto" w:fill="EAEAEC"/>
          </w:tcPr>
          <w:p>
            <w:pPr>
              <w:spacing w:after="0"/>
              <w:rPr>
                <w:sz w:val="7"/>
                <w:szCs w:val="7"/>
                <w:color w:val="auto"/>
              </w:rPr>
            </w:pPr>
          </w:p>
        </w:tc>
        <w:tc>
          <w:tcPr>
            <w:tcW w:w="880" w:type="dxa"/>
            <w:vAlign w:val="bottom"/>
            <w:vMerge w:val="continue"/>
            <w:shd w:val="clear" w:color="auto" w:fill="EAEAEC"/>
          </w:tcPr>
          <w:p>
            <w:pPr>
              <w:spacing w:after="0"/>
              <w:rPr>
                <w:sz w:val="7"/>
                <w:szCs w:val="7"/>
                <w:color w:val="auto"/>
              </w:rPr>
            </w:pPr>
          </w:p>
        </w:tc>
        <w:tc>
          <w:tcPr>
            <w:tcW w:w="560" w:type="dxa"/>
            <w:vAlign w:val="bottom"/>
            <w:vMerge w:val="continue"/>
            <w:shd w:val="clear" w:color="auto" w:fill="EAEAEC"/>
          </w:tcPr>
          <w:p>
            <w:pPr>
              <w:spacing w:after="0"/>
              <w:rPr>
                <w:sz w:val="7"/>
                <w:szCs w:val="7"/>
                <w:color w:val="auto"/>
              </w:rPr>
            </w:pPr>
          </w:p>
        </w:tc>
        <w:tc>
          <w:tcPr>
            <w:tcW w:w="840" w:type="dxa"/>
            <w:vAlign w:val="bottom"/>
            <w:vMerge w:val="continue"/>
            <w:shd w:val="clear" w:color="auto" w:fill="EAEAEC"/>
          </w:tcPr>
          <w:p>
            <w:pPr>
              <w:spacing w:after="0"/>
              <w:rPr>
                <w:sz w:val="7"/>
                <w:szCs w:val="7"/>
                <w:color w:val="auto"/>
              </w:rPr>
            </w:pPr>
          </w:p>
        </w:tc>
        <w:tc>
          <w:tcPr>
            <w:tcW w:w="500" w:type="dxa"/>
            <w:vAlign w:val="bottom"/>
            <w:vMerge w:val="continue"/>
            <w:shd w:val="clear" w:color="auto" w:fill="EAEAE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shd w:val="clear" w:color="auto" w:fill="EAEAEC"/>
          </w:tcPr>
          <w:p>
            <w:pPr>
              <w:spacing w:after="0"/>
              <w:rPr>
                <w:sz w:val="5"/>
                <w:szCs w:val="5"/>
                <w:color w:val="auto"/>
              </w:rPr>
            </w:pPr>
          </w:p>
        </w:tc>
        <w:tc>
          <w:tcPr>
            <w:tcW w:w="660" w:type="dxa"/>
            <w:vAlign w:val="bottom"/>
            <w:shd w:val="clear" w:color="auto" w:fill="EAEAEC"/>
          </w:tcPr>
          <w:p>
            <w:pPr>
              <w:spacing w:after="0"/>
              <w:rPr>
                <w:sz w:val="5"/>
                <w:szCs w:val="5"/>
                <w:color w:val="auto"/>
              </w:rPr>
            </w:pPr>
          </w:p>
        </w:tc>
        <w:tc>
          <w:tcPr>
            <w:tcW w:w="600" w:type="dxa"/>
            <w:vAlign w:val="bottom"/>
            <w:shd w:val="clear" w:color="auto" w:fill="EAEAEC"/>
          </w:tcPr>
          <w:p>
            <w:pPr>
              <w:spacing w:after="0"/>
              <w:rPr>
                <w:sz w:val="5"/>
                <w:szCs w:val="5"/>
                <w:color w:val="auto"/>
              </w:rPr>
            </w:pPr>
          </w:p>
        </w:tc>
        <w:tc>
          <w:tcPr>
            <w:tcW w:w="700" w:type="dxa"/>
            <w:vAlign w:val="bottom"/>
            <w:shd w:val="clear" w:color="auto" w:fill="EAEAEC"/>
          </w:tcPr>
          <w:p>
            <w:pPr>
              <w:spacing w:after="0"/>
              <w:rPr>
                <w:sz w:val="5"/>
                <w:szCs w:val="5"/>
                <w:color w:val="auto"/>
              </w:rPr>
            </w:pPr>
          </w:p>
        </w:tc>
        <w:tc>
          <w:tcPr>
            <w:tcW w:w="780" w:type="dxa"/>
            <w:vAlign w:val="bottom"/>
            <w:shd w:val="clear" w:color="auto" w:fill="EAEAEC"/>
          </w:tcPr>
          <w:p>
            <w:pPr>
              <w:spacing w:after="0"/>
              <w:rPr>
                <w:sz w:val="5"/>
                <w:szCs w:val="5"/>
                <w:color w:val="auto"/>
              </w:rPr>
            </w:pPr>
          </w:p>
        </w:tc>
        <w:tc>
          <w:tcPr>
            <w:tcW w:w="580" w:type="dxa"/>
            <w:vAlign w:val="bottom"/>
            <w:shd w:val="clear" w:color="auto" w:fill="EAEAEC"/>
          </w:tcPr>
          <w:p>
            <w:pPr>
              <w:spacing w:after="0"/>
              <w:rPr>
                <w:sz w:val="5"/>
                <w:szCs w:val="5"/>
                <w:color w:val="auto"/>
              </w:rPr>
            </w:pPr>
          </w:p>
        </w:tc>
        <w:tc>
          <w:tcPr>
            <w:tcW w:w="500" w:type="dxa"/>
            <w:vAlign w:val="bottom"/>
            <w:shd w:val="clear" w:color="auto" w:fill="EAEAEC"/>
          </w:tcPr>
          <w:p>
            <w:pPr>
              <w:spacing w:after="0"/>
              <w:rPr>
                <w:sz w:val="5"/>
                <w:szCs w:val="5"/>
                <w:color w:val="auto"/>
              </w:rPr>
            </w:pPr>
          </w:p>
        </w:tc>
        <w:tc>
          <w:tcPr>
            <w:tcW w:w="680" w:type="dxa"/>
            <w:vAlign w:val="bottom"/>
            <w:shd w:val="clear" w:color="auto" w:fill="EAEAEC"/>
          </w:tcPr>
          <w:p>
            <w:pPr>
              <w:spacing w:after="0"/>
              <w:rPr>
                <w:sz w:val="5"/>
                <w:szCs w:val="5"/>
                <w:color w:val="auto"/>
              </w:rPr>
            </w:pPr>
          </w:p>
        </w:tc>
        <w:tc>
          <w:tcPr>
            <w:tcW w:w="480" w:type="dxa"/>
            <w:vAlign w:val="bottom"/>
            <w:shd w:val="clear" w:color="auto" w:fill="EAEAEC"/>
          </w:tcPr>
          <w:p>
            <w:pPr>
              <w:spacing w:after="0"/>
              <w:rPr>
                <w:sz w:val="5"/>
                <w:szCs w:val="5"/>
                <w:color w:val="auto"/>
              </w:rPr>
            </w:pPr>
          </w:p>
        </w:tc>
        <w:tc>
          <w:tcPr>
            <w:tcW w:w="880" w:type="dxa"/>
            <w:vAlign w:val="bottom"/>
            <w:shd w:val="clear" w:color="auto" w:fill="EAEAEC"/>
          </w:tcPr>
          <w:p>
            <w:pPr>
              <w:spacing w:after="0"/>
              <w:rPr>
                <w:sz w:val="5"/>
                <w:szCs w:val="5"/>
                <w:color w:val="auto"/>
              </w:rPr>
            </w:pPr>
          </w:p>
        </w:tc>
        <w:tc>
          <w:tcPr>
            <w:tcW w:w="560" w:type="dxa"/>
            <w:vAlign w:val="bottom"/>
            <w:shd w:val="clear" w:color="auto" w:fill="EAEAEC"/>
          </w:tcPr>
          <w:p>
            <w:pPr>
              <w:spacing w:after="0"/>
              <w:rPr>
                <w:sz w:val="5"/>
                <w:szCs w:val="5"/>
                <w:color w:val="auto"/>
              </w:rPr>
            </w:pPr>
          </w:p>
        </w:tc>
        <w:tc>
          <w:tcPr>
            <w:tcW w:w="840" w:type="dxa"/>
            <w:vAlign w:val="bottom"/>
            <w:shd w:val="clear" w:color="auto" w:fill="EAEAEC"/>
          </w:tcPr>
          <w:p>
            <w:pPr>
              <w:spacing w:after="0"/>
              <w:rPr>
                <w:sz w:val="5"/>
                <w:szCs w:val="5"/>
                <w:color w:val="auto"/>
              </w:rPr>
            </w:pPr>
          </w:p>
        </w:tc>
        <w:tc>
          <w:tcPr>
            <w:tcW w:w="500" w:type="dxa"/>
            <w:vAlign w:val="bottom"/>
            <w:shd w:val="clear" w:color="auto" w:fill="EAEAEC"/>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uto"/>
            </w:tcBorders>
            <w:shd w:val="clear" w:color="auto" w:fill="EAEAEC"/>
          </w:tcPr>
          <w:p>
            <w:pPr>
              <w:spacing w:after="0"/>
              <w:rPr>
                <w:sz w:val="6"/>
                <w:szCs w:val="6"/>
                <w:color w:val="auto"/>
              </w:rPr>
            </w:pPr>
          </w:p>
        </w:tc>
        <w:tc>
          <w:tcPr>
            <w:tcW w:w="660" w:type="dxa"/>
            <w:vAlign w:val="bottom"/>
            <w:tcBorders>
              <w:bottom w:val="single" w:sz="8" w:color="auto"/>
            </w:tcBorders>
            <w:shd w:val="clear" w:color="auto" w:fill="EAEAEC"/>
          </w:tcPr>
          <w:p>
            <w:pPr>
              <w:spacing w:after="0"/>
              <w:rPr>
                <w:sz w:val="6"/>
                <w:szCs w:val="6"/>
                <w:color w:val="auto"/>
              </w:rPr>
            </w:pPr>
          </w:p>
        </w:tc>
        <w:tc>
          <w:tcPr>
            <w:tcW w:w="600" w:type="dxa"/>
            <w:vAlign w:val="bottom"/>
            <w:tcBorders>
              <w:bottom w:val="single" w:sz="8" w:color="auto"/>
            </w:tcBorders>
            <w:shd w:val="clear" w:color="auto" w:fill="EAEAEC"/>
          </w:tcPr>
          <w:p>
            <w:pPr>
              <w:spacing w:after="0"/>
              <w:rPr>
                <w:sz w:val="6"/>
                <w:szCs w:val="6"/>
                <w:color w:val="auto"/>
              </w:rPr>
            </w:pPr>
          </w:p>
        </w:tc>
        <w:tc>
          <w:tcPr>
            <w:tcW w:w="700" w:type="dxa"/>
            <w:vAlign w:val="bottom"/>
            <w:tcBorders>
              <w:bottom w:val="single" w:sz="8" w:color="auto"/>
            </w:tcBorders>
            <w:shd w:val="clear" w:color="auto" w:fill="EAEAEC"/>
          </w:tcPr>
          <w:p>
            <w:pPr>
              <w:spacing w:after="0"/>
              <w:rPr>
                <w:sz w:val="6"/>
                <w:szCs w:val="6"/>
                <w:color w:val="auto"/>
              </w:rPr>
            </w:pPr>
          </w:p>
        </w:tc>
        <w:tc>
          <w:tcPr>
            <w:tcW w:w="780" w:type="dxa"/>
            <w:vAlign w:val="bottom"/>
            <w:tcBorders>
              <w:bottom w:val="single" w:sz="8" w:color="auto"/>
            </w:tcBorders>
            <w:shd w:val="clear" w:color="auto" w:fill="EAEAEC"/>
          </w:tcPr>
          <w:p>
            <w:pPr>
              <w:spacing w:after="0"/>
              <w:rPr>
                <w:sz w:val="6"/>
                <w:szCs w:val="6"/>
                <w:color w:val="auto"/>
              </w:rPr>
            </w:pPr>
          </w:p>
        </w:tc>
        <w:tc>
          <w:tcPr>
            <w:tcW w:w="58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680" w:type="dxa"/>
            <w:vAlign w:val="bottom"/>
            <w:tcBorders>
              <w:bottom w:val="single" w:sz="8" w:color="auto"/>
            </w:tcBorders>
            <w:shd w:val="clear" w:color="auto" w:fill="EAEAEC"/>
          </w:tcPr>
          <w:p>
            <w:pPr>
              <w:spacing w:after="0"/>
              <w:rPr>
                <w:sz w:val="6"/>
                <w:szCs w:val="6"/>
                <w:color w:val="auto"/>
              </w:rPr>
            </w:pPr>
          </w:p>
        </w:tc>
        <w:tc>
          <w:tcPr>
            <w:tcW w:w="480" w:type="dxa"/>
            <w:vAlign w:val="bottom"/>
            <w:tcBorders>
              <w:bottom w:val="single" w:sz="8" w:color="auto"/>
            </w:tcBorders>
            <w:shd w:val="clear" w:color="auto" w:fill="EAEAEC"/>
          </w:tcPr>
          <w:p>
            <w:pPr>
              <w:spacing w:after="0"/>
              <w:rPr>
                <w:sz w:val="6"/>
                <w:szCs w:val="6"/>
                <w:color w:val="auto"/>
              </w:rPr>
            </w:pPr>
          </w:p>
        </w:tc>
        <w:tc>
          <w:tcPr>
            <w:tcW w:w="880" w:type="dxa"/>
            <w:vAlign w:val="bottom"/>
            <w:tcBorders>
              <w:bottom w:val="single" w:sz="8" w:color="auto"/>
            </w:tcBorders>
            <w:shd w:val="clear" w:color="auto" w:fill="EAEAEC"/>
          </w:tcPr>
          <w:p>
            <w:pPr>
              <w:spacing w:after="0"/>
              <w:rPr>
                <w:sz w:val="6"/>
                <w:szCs w:val="6"/>
                <w:color w:val="auto"/>
              </w:rPr>
            </w:pPr>
          </w:p>
        </w:tc>
        <w:tc>
          <w:tcPr>
            <w:tcW w:w="560" w:type="dxa"/>
            <w:vAlign w:val="bottom"/>
            <w:tcBorders>
              <w:bottom w:val="single" w:sz="8" w:color="auto"/>
            </w:tcBorders>
            <w:shd w:val="clear" w:color="auto" w:fill="EAEAEC"/>
          </w:tcPr>
          <w:p>
            <w:pPr>
              <w:spacing w:after="0"/>
              <w:rPr>
                <w:sz w:val="6"/>
                <w:szCs w:val="6"/>
                <w:color w:val="auto"/>
              </w:rPr>
            </w:pPr>
          </w:p>
        </w:tc>
        <w:tc>
          <w:tcPr>
            <w:tcW w:w="840" w:type="dxa"/>
            <w:vAlign w:val="bottom"/>
            <w:tcBorders>
              <w:bottom w:val="single" w:sz="8" w:color="auto"/>
            </w:tcBorders>
            <w:shd w:val="clear" w:color="auto" w:fill="EAEAEC"/>
          </w:tcPr>
          <w:p>
            <w:pPr>
              <w:spacing w:after="0"/>
              <w:rPr>
                <w:sz w:val="6"/>
                <w:szCs w:val="6"/>
                <w:color w:val="auto"/>
              </w:rPr>
            </w:pPr>
          </w:p>
        </w:tc>
        <w:tc>
          <w:tcPr>
            <w:tcW w:w="500" w:type="dxa"/>
            <w:vAlign w:val="bottom"/>
            <w:tcBorders>
              <w:bottom w:val="single" w:sz="8" w:color="auto"/>
            </w:tcBorders>
            <w:shd w:val="clear" w:color="auto" w:fill="EAEAEC"/>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199" w:right="339" w:bottom="1440" w:gutter="0" w:footer="0" w:header="0"/>
        </w:sectPr>
      </w:pPr>
    </w:p>
    <w:bookmarkStart w:id="20" w:name="page21"/>
    <w:bookmarkEnd w:id="20"/>
    <w:p>
      <w:pPr>
        <w:ind w:left="46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NOMINEES FOR CLASS II DIRECTORS</w:t>
      </w:r>
    </w:p>
    <w:p>
      <w:pPr>
        <w:spacing w:after="0" w:line="40" w:lineRule="exact"/>
        <w:rPr>
          <w:sz w:val="20"/>
          <w:szCs w:val="20"/>
          <w:color w:val="auto"/>
        </w:rPr>
      </w:pPr>
    </w:p>
    <w:p>
      <w:pPr>
        <w:ind w:left="460" w:right="939"/>
        <w:spacing w:after="0" w:line="270" w:lineRule="auto"/>
        <w:rPr>
          <w:sz w:val="20"/>
          <w:szCs w:val="20"/>
          <w:color w:val="auto"/>
        </w:rPr>
      </w:pPr>
      <w:r>
        <w:rPr>
          <w:rFonts w:ascii="Arial" w:cs="Arial" w:eastAsia="Arial" w:hAnsi="Arial"/>
          <w:sz w:val="29"/>
          <w:szCs w:val="29"/>
          <w:b w:val="1"/>
          <w:bCs w:val="1"/>
          <w:color w:val="C04C57"/>
        </w:rPr>
        <w:t>FOR ELECTION AT THE 2020 ANNUAL MEETING FOR A TERM EXPIRING AT THE 2023 ANNUAL MEETING</w:t>
      </w:r>
      <w:r>
        <w:rPr>
          <w:rFonts w:ascii="Arial" w:cs="Arial" w:eastAsia="Arial" w:hAnsi="Arial"/>
          <w:sz w:val="47"/>
          <w:szCs w:val="47"/>
          <w:b w:val="1"/>
          <w:bCs w:val="1"/>
          <w:color w:val="C04C57"/>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5083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8317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-38100</wp:posOffset>
            </wp:positionV>
            <wp:extent cx="5083175"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5"/>
          <w:szCs w:val="25"/>
          <w:b w:val="1"/>
          <w:bCs w:val="1"/>
          <w:color w:val="FFFFFF"/>
        </w:rPr>
        <w:t>JOSEPH L. GOLDSTEIN, M.D.</w:t>
      </w:r>
    </w:p>
    <w:p>
      <w:pPr>
        <w:sectPr>
          <w:pgSz w:w="11900" w:h="16838" w:orient="portrait"/>
          <w:cols w:equalWidth="0" w:num="1">
            <w:col w:w="9019"/>
          </w:cols>
          <w:pgMar w:left="1440" w:top="4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-1564005</wp:posOffset>
            </wp:positionV>
            <wp:extent cx="1080135" cy="1080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79</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620" w:right="400" w:hanging="166"/>
        <w:spacing w:after="0" w:line="236" w:lineRule="auto"/>
        <w:tabs>
          <w:tab w:leader="none" w:pos="620" w:val="left"/>
        </w:tabs>
        <w:numPr>
          <w:ilvl w:val="0"/>
          <w:numId w:val="24"/>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620" w:right="400" w:hanging="166"/>
        <w:spacing w:after="0" w:line="236" w:lineRule="auto"/>
        <w:tabs>
          <w:tab w:leader="none" w:pos="620" w:val="left"/>
        </w:tabs>
        <w:numPr>
          <w:ilvl w:val="0"/>
          <w:numId w:val="24"/>
        </w:numPr>
        <w:rPr>
          <w:rFonts w:ascii="Arial" w:cs="Arial" w:eastAsia="Arial" w:hAnsi="Arial"/>
          <w:sz w:val="15"/>
          <w:szCs w:val="15"/>
          <w:color w:val="2952A4"/>
        </w:rPr>
      </w:pPr>
      <w:r>
        <w:rPr>
          <w:rFonts w:ascii="Arial" w:cs="Arial" w:eastAsia="Arial" w:hAnsi="Arial"/>
          <w:sz w:val="15"/>
          <w:szCs w:val="15"/>
          <w:color w:val="231F20"/>
        </w:rPr>
        <w:t>The National Academy of Medicine</w:t>
      </w:r>
    </w:p>
    <w:p>
      <w:pPr>
        <w:spacing w:after="0" w:line="52" w:lineRule="exact"/>
        <w:rPr>
          <w:rFonts w:ascii="Arial" w:cs="Arial" w:eastAsia="Arial" w:hAnsi="Arial"/>
          <w:sz w:val="15"/>
          <w:szCs w:val="15"/>
          <w:color w:val="2952A4"/>
        </w:rPr>
      </w:pPr>
    </w:p>
    <w:p>
      <w:pPr>
        <w:ind w:left="620" w:hanging="166"/>
        <w:spacing w:after="0"/>
        <w:tabs>
          <w:tab w:leader="none" w:pos="620" w:val="left"/>
        </w:tabs>
        <w:numPr>
          <w:ilvl w:val="0"/>
          <w:numId w:val="24"/>
        </w:numPr>
        <w:rPr>
          <w:rFonts w:ascii="Arial" w:cs="Arial" w:eastAsia="Arial" w:hAnsi="Arial"/>
          <w:sz w:val="15"/>
          <w:szCs w:val="15"/>
          <w:color w:val="2952A4"/>
        </w:rPr>
      </w:pPr>
      <w:r>
        <w:rPr>
          <w:rFonts w:ascii="Arial" w:cs="Arial" w:eastAsia="Arial" w:hAnsi="Arial"/>
          <w:sz w:val="15"/>
          <w:szCs w:val="15"/>
          <w:color w:val="231F20"/>
        </w:rPr>
        <w:t>The Royal Society of London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619"/>
        <w:spacing w:after="0" w:line="227" w:lineRule="auto"/>
        <w:rPr>
          <w:sz w:val="20"/>
          <w:szCs w:val="20"/>
          <w:color w:val="auto"/>
        </w:rPr>
      </w:pPr>
      <w:r>
        <w:rPr>
          <w:rFonts w:ascii="Arial" w:cs="Arial" w:eastAsia="Arial" w:hAnsi="Arial"/>
          <w:sz w:val="15"/>
          <w:szCs w:val="15"/>
          <w:color w:val="231F20"/>
        </w:rPr>
        <w:t>Dr. Goldstein has been a Professor of Molecular Genetics and Internal Medicine and the Chairman of the Department of Molecular Genetics at The University of Texas Southwestern Medical Center at Dallas since 1977. Dr. Goldstein is a member of the National Academy of Sciences, the National Academy of Medicine, and the Royal Society of London. He also serves on the Boards of Trustees of The Rockefeller University and the Howard Hughes Medical Institute. Drs. Goldstein and Brown jointly received the Nobel Prize for Physiology or Medicine in 1985 and the U.S. National Medal of Science in 1988.</w:t>
      </w:r>
    </w:p>
    <w:p>
      <w:pPr>
        <w:spacing w:after="0" w:line="152" w:lineRule="exact"/>
        <w:rPr>
          <w:sz w:val="20"/>
          <w:szCs w:val="20"/>
          <w:color w:val="auto"/>
        </w:rPr>
      </w:pPr>
    </w:p>
    <w:p>
      <w:pPr>
        <w:ind w:right="779"/>
        <w:spacing w:after="0" w:line="247" w:lineRule="auto"/>
        <w:rPr>
          <w:sz w:val="20"/>
          <w:szCs w:val="20"/>
          <w:color w:val="auto"/>
        </w:rPr>
      </w:pPr>
      <w:r>
        <w:rPr>
          <w:rFonts w:ascii="Arial" w:cs="Arial" w:eastAsia="Arial" w:hAnsi="Arial"/>
          <w:sz w:val="14"/>
          <w:szCs w:val="14"/>
          <w:color w:val="231F20"/>
        </w:rPr>
        <w:t>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to the board’s decision to nominate Dr. Goldstein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3197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20"/>
                <w:szCs w:val="20"/>
                <w:color w:val="auto"/>
              </w:rPr>
            </w:pPr>
            <w:r>
              <w:rPr>
                <w:rFonts w:ascii="Arial" w:cs="Arial" w:eastAsia="Arial" w:hAnsi="Arial"/>
                <w:sz w:val="15"/>
                <w:szCs w:val="15"/>
                <w:color w:val="231F20"/>
              </w:rPr>
              <w:t>Board of Directors</w:t>
            </w:r>
          </w:p>
        </w:tc>
        <w:tc>
          <w:tcPr>
            <w:tcW w:w="380" w:type="dxa"/>
            <w:vAlign w:val="bottom"/>
          </w:tcPr>
          <w:p>
            <w:pPr>
              <w:ind w:left="120"/>
              <w:spacing w:after="0"/>
              <w:rPr>
                <w:sz w:val="20"/>
                <w:szCs w:val="20"/>
                <w:color w:val="auto"/>
              </w:rPr>
            </w:pPr>
            <w:r>
              <w:rPr>
                <w:rFonts w:ascii="Arial" w:cs="Arial" w:eastAsia="Arial" w:hAnsi="Arial"/>
                <w:sz w:val="15"/>
                <w:szCs w:val="15"/>
                <w:b w:val="1"/>
                <w:bCs w:val="1"/>
                <w:color w:val="2952A4"/>
              </w:rPr>
              <w:t>6/6</w:t>
            </w:r>
          </w:p>
        </w:tc>
      </w:tr>
      <w:tr>
        <w:trPr>
          <w:trHeight w:val="324"/>
        </w:trPr>
        <w:tc>
          <w:tcPr>
            <w:tcW w:w="3520" w:type="dxa"/>
            <w:vAlign w:val="bottom"/>
          </w:tcPr>
          <w:p>
            <w:pPr>
              <w:spacing w:after="0"/>
              <w:rPr>
                <w:sz w:val="20"/>
                <w:szCs w:val="20"/>
                <w:color w:val="auto"/>
              </w:rPr>
            </w:pPr>
            <w:r>
              <w:rPr>
                <w:rFonts w:ascii="Arial" w:cs="Arial" w:eastAsia="Arial" w:hAnsi="Arial"/>
                <w:sz w:val="15"/>
                <w:szCs w:val="15"/>
                <w:color w:val="231F20"/>
              </w:rPr>
              <w:t>Compensation Committee</w:t>
            </w:r>
          </w:p>
        </w:tc>
        <w:tc>
          <w:tcPr>
            <w:tcW w:w="380" w:type="dxa"/>
            <w:vAlign w:val="bottom"/>
          </w:tcPr>
          <w:p>
            <w:pPr>
              <w:ind w:left="120"/>
              <w:spacing w:after="0"/>
              <w:rPr>
                <w:sz w:val="20"/>
                <w:szCs w:val="20"/>
                <w:color w:val="auto"/>
              </w:rPr>
            </w:pPr>
            <w:r>
              <w:rPr>
                <w:rFonts w:ascii="Arial" w:cs="Arial" w:eastAsia="Arial" w:hAnsi="Arial"/>
                <w:sz w:val="15"/>
                <w:szCs w:val="15"/>
                <w:b w:val="1"/>
                <w:bCs w:val="1"/>
                <w:color w:val="2952A4"/>
                <w:w w:val="89"/>
              </w:rPr>
              <w:t>5/6*</w:t>
            </w:r>
          </w:p>
        </w:tc>
      </w:tr>
      <w:tr>
        <w:trPr>
          <w:trHeight w:val="324"/>
        </w:trPr>
        <w:tc>
          <w:tcPr>
            <w:tcW w:w="3520" w:type="dxa"/>
            <w:vAlign w:val="bottom"/>
          </w:tcPr>
          <w:p>
            <w:pPr>
              <w:spacing w:after="0"/>
              <w:rPr>
                <w:sz w:val="20"/>
                <w:szCs w:val="20"/>
                <w:color w:val="auto"/>
              </w:rPr>
            </w:pPr>
            <w:r>
              <w:rPr>
                <w:rFonts w:ascii="Arial" w:cs="Arial" w:eastAsia="Arial" w:hAnsi="Arial"/>
                <w:sz w:val="15"/>
                <w:szCs w:val="15"/>
                <w:color w:val="231F20"/>
              </w:rPr>
              <w:t>Corporate Governance and Compliance Committee</w:t>
            </w:r>
          </w:p>
        </w:tc>
        <w:tc>
          <w:tcPr>
            <w:tcW w:w="380" w:type="dxa"/>
            <w:vAlign w:val="bottom"/>
          </w:tcPr>
          <w:p>
            <w:pPr>
              <w:ind w:left="120"/>
              <w:spacing w:after="0"/>
              <w:rPr>
                <w:sz w:val="20"/>
                <w:szCs w:val="20"/>
                <w:color w:val="auto"/>
              </w:rPr>
            </w:pPr>
            <w:r>
              <w:rPr>
                <w:rFonts w:ascii="Arial" w:cs="Arial" w:eastAsia="Arial" w:hAnsi="Arial"/>
                <w:sz w:val="15"/>
                <w:szCs w:val="15"/>
                <w:b w:val="1"/>
                <w:bCs w:val="1"/>
                <w:color w:val="2952A4"/>
                <w:w w:val="89"/>
              </w:rPr>
              <w:t>2/2*</w:t>
            </w:r>
          </w:p>
        </w:tc>
      </w:tr>
      <w:tr>
        <w:trPr>
          <w:trHeight w:val="324"/>
        </w:trPr>
        <w:tc>
          <w:tcPr>
            <w:tcW w:w="3520" w:type="dxa"/>
            <w:vAlign w:val="bottom"/>
          </w:tcPr>
          <w:p>
            <w:pPr>
              <w:spacing w:after="0"/>
              <w:rPr>
                <w:sz w:val="20"/>
                <w:szCs w:val="20"/>
                <w:color w:val="auto"/>
              </w:rPr>
            </w:pPr>
            <w:r>
              <w:rPr>
                <w:rFonts w:ascii="Arial" w:cs="Arial" w:eastAsia="Arial" w:hAnsi="Arial"/>
                <w:sz w:val="15"/>
                <w:szCs w:val="15"/>
                <w:color w:val="231F20"/>
              </w:rPr>
              <w:t>Technology Committee</w:t>
            </w:r>
          </w:p>
        </w:tc>
        <w:tc>
          <w:tcPr>
            <w:tcW w:w="380" w:type="dxa"/>
            <w:vAlign w:val="bottom"/>
          </w:tcPr>
          <w:p>
            <w:pPr>
              <w:ind w:left="120"/>
              <w:spacing w:after="0"/>
              <w:rPr>
                <w:sz w:val="20"/>
                <w:szCs w:val="20"/>
                <w:color w:val="auto"/>
              </w:rPr>
            </w:pPr>
            <w:r>
              <w:rPr>
                <w:rFonts w:ascii="Arial" w:cs="Arial" w:eastAsia="Arial" w:hAnsi="Arial"/>
                <w:sz w:val="15"/>
                <w:szCs w:val="15"/>
                <w:b w:val="1"/>
                <w:bCs w:val="1"/>
                <w:color w:val="2952A4"/>
              </w:rPr>
              <w:t>4/4</w:t>
            </w:r>
          </w:p>
        </w:tc>
      </w:tr>
    </w:tbl>
    <w:p>
      <w:pPr>
        <w:spacing w:after="0" w:line="150" w:lineRule="exact"/>
        <w:rPr>
          <w:sz w:val="20"/>
          <w:szCs w:val="20"/>
          <w:color w:val="auto"/>
        </w:rPr>
      </w:pPr>
    </w:p>
    <w:p>
      <w:pPr>
        <w:ind w:left="80" w:right="499" w:hanging="76"/>
        <w:spacing w:after="0" w:line="249" w:lineRule="auto"/>
        <w:tabs>
          <w:tab w:leader="none" w:pos="80" w:val="left"/>
        </w:tabs>
        <w:numPr>
          <w:ilvl w:val="0"/>
          <w:numId w:val="25"/>
        </w:numPr>
        <w:rPr>
          <w:rFonts w:ascii="Arial" w:cs="Arial" w:eastAsia="Arial" w:hAnsi="Arial"/>
          <w:sz w:val="14"/>
          <w:szCs w:val="14"/>
          <w:color w:val="2952A4"/>
        </w:rPr>
      </w:pPr>
      <w:r>
        <w:rPr>
          <w:rFonts w:ascii="Arial" w:cs="Arial" w:eastAsia="Arial" w:hAnsi="Arial"/>
          <w:sz w:val="14"/>
          <w:szCs w:val="14"/>
          <w:color w:val="231F20"/>
        </w:rPr>
        <w:t>Dr. Goldstein was elected as a member of the Corporate Governance and Compliance Committee on June 14, 2019 and ceased to serve as a member of the Compensation Committee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31972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Results—2017</w:t>
      </w:r>
    </w:p>
    <w:p>
      <w:pPr>
        <w:spacing w:after="0" w:line="159"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84.6%</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5599"/>
          </w:cols>
          <w:pgMar w:left="1440" w:top="405" w:right="1440" w:bottom="1440" w:gutter="0" w:footer="0" w:header="0"/>
          <w:type w:val="continuous"/>
        </w:sectPr>
      </w:pPr>
    </w:p>
    <w:p>
      <w:pPr>
        <w:spacing w:after="0" w:line="13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C04C57"/>
        </w:rPr>
        <w:t>Regeneron Securities Beneficially Owned as of April 14, 2020</w:t>
      </w:r>
    </w:p>
    <w:p>
      <w:pPr>
        <w:spacing w:after="0" w:line="159" w:lineRule="exact"/>
        <w:rPr>
          <w:sz w:val="20"/>
          <w:szCs w:val="20"/>
          <w:color w:val="auto"/>
        </w:rPr>
      </w:pPr>
    </w:p>
    <w:tbl>
      <w:tblPr>
        <w:tblLayout w:type="fixed"/>
        <w:tblInd w:w="3420" w:type="dxa"/>
        <w:tblCellMar>
          <w:top w:w="0" w:type="dxa"/>
          <w:left w:w="0" w:type="dxa"/>
          <w:bottom w:w="0" w:type="dxa"/>
          <w:right w:w="0" w:type="dxa"/>
        </w:tblCellMar>
      </w:tblPr>
      <w:tr>
        <w:trPr>
          <w:trHeight w:val="196"/>
        </w:trPr>
        <w:tc>
          <w:tcPr>
            <w:tcW w:w="2340" w:type="dxa"/>
            <w:vAlign w:val="bottom"/>
          </w:tcPr>
          <w:p>
            <w:pPr>
              <w:spacing w:after="0"/>
              <w:rPr>
                <w:sz w:val="20"/>
                <w:szCs w:val="20"/>
                <w:color w:val="auto"/>
              </w:rPr>
            </w:pPr>
            <w:r>
              <w:rPr>
                <w:rFonts w:ascii="Arial" w:cs="Arial" w:eastAsia="Arial" w:hAnsi="Arial"/>
                <w:sz w:val="15"/>
                <w:szCs w:val="15"/>
                <w:color w:val="231F20"/>
              </w:rPr>
              <w:t>Common Stock</w:t>
            </w:r>
          </w:p>
        </w:tc>
        <w:tc>
          <w:tcPr>
            <w:tcW w:w="720" w:type="dxa"/>
            <w:vAlign w:val="bottom"/>
          </w:tcPr>
          <w:p>
            <w:pPr>
              <w:ind w:left="260"/>
              <w:spacing w:after="0"/>
              <w:rPr>
                <w:sz w:val="20"/>
                <w:szCs w:val="20"/>
                <w:color w:val="auto"/>
              </w:rPr>
            </w:pPr>
            <w:r>
              <w:rPr>
                <w:rFonts w:ascii="Arial" w:cs="Arial" w:eastAsia="Arial" w:hAnsi="Arial"/>
                <w:sz w:val="15"/>
                <w:szCs w:val="15"/>
                <w:b w:val="1"/>
                <w:bCs w:val="1"/>
                <w:color w:val="2952A4"/>
              </w:rPr>
              <w:t>9,000</w:t>
            </w:r>
          </w:p>
        </w:tc>
      </w:tr>
      <w:tr>
        <w:trPr>
          <w:trHeight w:val="324"/>
        </w:trPr>
        <w:tc>
          <w:tcPr>
            <w:tcW w:w="2340" w:type="dxa"/>
            <w:vAlign w:val="bottom"/>
          </w:tcPr>
          <w:p>
            <w:pPr>
              <w:spacing w:after="0"/>
              <w:rPr>
                <w:sz w:val="20"/>
                <w:szCs w:val="20"/>
                <w:color w:val="auto"/>
              </w:rPr>
            </w:pPr>
            <w:r>
              <w:rPr>
                <w:rFonts w:ascii="Arial" w:cs="Arial" w:eastAsia="Arial" w:hAnsi="Arial"/>
                <w:sz w:val="15"/>
                <w:szCs w:val="15"/>
                <w:color w:val="231F20"/>
              </w:rPr>
              <w:t>Options</w:t>
            </w:r>
          </w:p>
        </w:tc>
        <w:tc>
          <w:tcPr>
            <w:tcW w:w="720" w:type="dxa"/>
            <w:vAlign w:val="bottom"/>
          </w:tcPr>
          <w:p>
            <w:pPr>
              <w:ind w:left="260"/>
              <w:spacing w:after="0"/>
              <w:rPr>
                <w:sz w:val="20"/>
                <w:szCs w:val="20"/>
                <w:color w:val="auto"/>
              </w:rPr>
            </w:pPr>
            <w:r>
              <w:rPr>
                <w:rFonts w:ascii="Arial" w:cs="Arial" w:eastAsia="Arial" w:hAnsi="Arial"/>
                <w:sz w:val="15"/>
                <w:szCs w:val="15"/>
                <w:b w:val="1"/>
                <w:bCs w:val="1"/>
                <w:color w:val="2952A4"/>
                <w:w w:val="95"/>
              </w:rPr>
              <w:t>38,554</w:t>
            </w:r>
          </w:p>
        </w:tc>
      </w:tr>
      <w:tr>
        <w:trPr>
          <w:trHeight w:val="324"/>
        </w:trPr>
        <w:tc>
          <w:tcPr>
            <w:tcW w:w="2340" w:type="dxa"/>
            <w:vAlign w:val="bottom"/>
          </w:tcPr>
          <w:p>
            <w:pPr>
              <w:spacing w:after="0"/>
              <w:rPr>
                <w:sz w:val="20"/>
                <w:szCs w:val="20"/>
                <w:color w:val="auto"/>
              </w:rPr>
            </w:pPr>
            <w:r>
              <w:rPr>
                <w:rFonts w:ascii="Arial" w:cs="Arial" w:eastAsia="Arial" w:hAnsi="Arial"/>
                <w:sz w:val="15"/>
                <w:szCs w:val="15"/>
                <w:color w:val="231F20"/>
              </w:rPr>
              <w:t>Restricted Stock Units (“RSUs”)</w:t>
            </w:r>
          </w:p>
        </w:tc>
        <w:tc>
          <w:tcPr>
            <w:tcW w:w="720" w:type="dxa"/>
            <w:vAlign w:val="bottom"/>
          </w:tcPr>
          <w:p>
            <w:pPr>
              <w:ind w:left="260"/>
              <w:spacing w:after="0"/>
              <w:rPr>
                <w:sz w:val="20"/>
                <w:szCs w:val="20"/>
                <w:color w:val="auto"/>
              </w:rPr>
            </w:pPr>
            <w:r>
              <w:rPr>
                <w:rFonts w:ascii="Arial" w:cs="Arial" w:eastAsia="Arial" w:hAnsi="Arial"/>
                <w:sz w:val="15"/>
                <w:szCs w:val="15"/>
                <w:b w:val="1"/>
                <w:bCs w:val="1"/>
                <w:color w:val="2952A4"/>
              </w:rPr>
              <w:t>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126365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59" w:lineRule="exact"/>
        <w:rPr>
          <w:sz w:val="20"/>
          <w:szCs w:val="20"/>
          <w:color w:val="auto"/>
        </w:rPr>
      </w:pPr>
    </w:p>
    <w:p>
      <w:pPr>
        <w:ind w:left="620" w:right="639" w:hanging="166"/>
        <w:spacing w:after="0" w:line="247" w:lineRule="auto"/>
        <w:tabs>
          <w:tab w:leader="none" w:pos="620" w:val="left"/>
        </w:tabs>
        <w:numPr>
          <w:ilvl w:val="0"/>
          <w:numId w:val="26"/>
        </w:numPr>
        <w:rPr>
          <w:rFonts w:ascii="Arial" w:cs="Arial" w:eastAsia="Arial" w:hAnsi="Arial"/>
          <w:sz w:val="14"/>
          <w:szCs w:val="14"/>
          <w:b w:val="1"/>
          <w:bCs w:val="1"/>
          <w:color w:val="2952A4"/>
        </w:rPr>
      </w:pPr>
      <w:r>
        <w:rPr>
          <w:rFonts w:ascii="Arial" w:cs="Arial" w:eastAsia="Arial" w:hAnsi="Arial"/>
          <w:sz w:val="14"/>
          <w:szCs w:val="14"/>
          <w:color w:val="231F20"/>
        </w:rPr>
        <w:t>Biographical information is given, as of April 14, 2020, for each nominee and for each of the other directors whose term of office will continue after the 2020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10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21" w:name="page22"/>
    <w:bookmarkEnd w:id="21"/>
    <w:p>
      <w:pPr>
        <w:ind w:left="604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160655</wp:posOffset>
            </wp:positionV>
            <wp:extent cx="514350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7"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FFFFFF"/>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187960</wp:posOffset>
            </wp:positionV>
            <wp:extent cx="1080135" cy="1080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2010</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67</w:t>
      </w:r>
    </w:p>
    <w:p>
      <w:pPr>
        <w:spacing w:after="0" w:line="5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2952A4"/>
        </w:rPr>
        <w:t>Other Public Boards</w:t>
      </w:r>
    </w:p>
    <w:p>
      <w:pPr>
        <w:spacing w:after="0" w:line="118" w:lineRule="exact"/>
        <w:rPr>
          <w:sz w:val="20"/>
          <w:szCs w:val="20"/>
          <w:color w:val="auto"/>
        </w:rPr>
      </w:pPr>
    </w:p>
    <w:p>
      <w:pPr>
        <w:ind w:left="1740" w:hanging="166"/>
        <w:spacing w:after="0"/>
        <w:tabs>
          <w:tab w:leader="none" w:pos="1740" w:val="left"/>
        </w:tabs>
        <w:numPr>
          <w:ilvl w:val="0"/>
          <w:numId w:val="27"/>
        </w:numPr>
        <w:rPr>
          <w:rFonts w:ascii="Arial" w:cs="Arial" w:eastAsia="Arial" w:hAnsi="Arial"/>
          <w:sz w:val="14"/>
          <w:szCs w:val="14"/>
          <w:color w:val="2952A4"/>
        </w:rPr>
      </w:pPr>
      <w:r>
        <w:rPr>
          <w:rFonts w:ascii="Arial" w:cs="Arial" w:eastAsia="Arial" w:hAnsi="Arial"/>
          <w:sz w:val="14"/>
          <w:szCs w:val="14"/>
          <w:color w:val="231F20"/>
        </w:rPr>
        <w:t>Prudential Financial, Inc.</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27"/>
        </w:numPr>
        <w:rPr>
          <w:rFonts w:ascii="Arial" w:cs="Arial" w:eastAsia="Arial" w:hAnsi="Arial"/>
          <w:sz w:val="14"/>
          <w:szCs w:val="14"/>
          <w:color w:val="2952A4"/>
        </w:rPr>
      </w:pPr>
      <w:r>
        <w:rPr>
          <w:rFonts w:ascii="Arial" w:cs="Arial" w:eastAsia="Arial" w:hAnsi="Arial"/>
          <w:sz w:val="14"/>
          <w:szCs w:val="14"/>
          <w:color w:val="231F20"/>
        </w:rPr>
        <w:t>The Sherwin-Williams Company</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27"/>
        </w:numPr>
        <w:rPr>
          <w:rFonts w:ascii="Arial" w:cs="Arial" w:eastAsia="Arial" w:hAnsi="Arial"/>
          <w:sz w:val="14"/>
          <w:szCs w:val="14"/>
          <w:color w:val="2952A4"/>
        </w:rPr>
      </w:pPr>
      <w:r>
        <w:rPr>
          <w:rFonts w:ascii="Arial" w:cs="Arial" w:eastAsia="Arial" w:hAnsi="Arial"/>
          <w:sz w:val="14"/>
          <w:szCs w:val="14"/>
          <w:color w:val="231F20"/>
        </w:rPr>
        <w:t>Royal Philips Electronics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00"/>
        <w:spacing w:after="0" w:line="227" w:lineRule="auto"/>
        <w:rPr>
          <w:sz w:val="20"/>
          <w:szCs w:val="20"/>
          <w:color w:val="auto"/>
        </w:rPr>
      </w:pPr>
      <w:r>
        <w:rPr>
          <w:rFonts w:ascii="Arial" w:cs="Arial" w:eastAsia="Arial" w:hAnsi="Arial"/>
          <w:sz w:val="15"/>
          <w:szCs w:val="15"/>
          <w:color w:val="231F20"/>
        </w:rPr>
        <w:t>Ms. Poon is an Executive-in-Residence in the Department of Management and Human Resources at The Max M. Fisher College of Business at The Ohio State University, where she served as Dean and the John W. Berry, Sr. Chair in Business from 2009 to 2014.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 Ms. Poon serves on the boards of directors of Prudential Financial, Inc. and The Sherwin-Williams Company and the Supervisory Board of Royal Philips Electronics.</w:t>
      </w:r>
    </w:p>
    <w:p>
      <w:pPr>
        <w:spacing w:after="0" w:line="146" w:lineRule="exact"/>
        <w:rPr>
          <w:sz w:val="20"/>
          <w:szCs w:val="20"/>
          <w:color w:val="auto"/>
        </w:rPr>
      </w:pPr>
    </w:p>
    <w:p>
      <w:pPr>
        <w:ind w:right="1800"/>
        <w:spacing w:after="0" w:line="229" w:lineRule="auto"/>
        <w:rPr>
          <w:sz w:val="20"/>
          <w:szCs w:val="20"/>
          <w:color w:val="auto"/>
        </w:rPr>
      </w:pPr>
      <w:r>
        <w:rPr>
          <w:rFonts w:ascii="Arial" w:cs="Arial" w:eastAsia="Arial" w:hAnsi="Arial"/>
          <w:sz w:val="15"/>
          <w:szCs w:val="15"/>
          <w:color w:val="231F20"/>
        </w:rPr>
        <w:t>Ms. Poon’s extensive expertise in domestic and international business operations, including sales and marketing and commercial operations, and her deep strategic and operational knowledge of the pharmaceutical industry, led to the board’s decision to nominate Ms. Poon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1972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Pr>
          <w:p>
            <w:pPr>
              <w:spacing w:after="0"/>
              <w:rPr>
                <w:sz w:val="20"/>
                <w:szCs w:val="20"/>
                <w:color w:val="auto"/>
              </w:rPr>
            </w:pPr>
            <w:r>
              <w:rPr>
                <w:rFonts w:ascii="Arial" w:cs="Arial" w:eastAsia="Arial" w:hAnsi="Arial"/>
                <w:sz w:val="15"/>
                <w:szCs w:val="15"/>
                <w:color w:val="231F20"/>
              </w:rPr>
              <w:t>Board of Directors</w:t>
            </w:r>
          </w:p>
        </w:tc>
        <w:tc>
          <w:tcPr>
            <w:tcW w:w="2140" w:type="dxa"/>
            <w:vAlign w:val="bottom"/>
          </w:tcPr>
          <w:p>
            <w:pPr>
              <w:spacing w:after="0"/>
              <w:rPr>
                <w:sz w:val="17"/>
                <w:szCs w:val="17"/>
                <w:color w:val="auto"/>
              </w:rPr>
            </w:pPr>
          </w:p>
        </w:tc>
        <w:tc>
          <w:tcPr>
            <w:tcW w:w="1520" w:type="dxa"/>
            <w:vAlign w:val="bottom"/>
          </w:tcPr>
          <w:p>
            <w:pPr>
              <w:ind w:left="120"/>
              <w:spacing w:after="0"/>
              <w:rPr>
                <w:sz w:val="20"/>
                <w:szCs w:val="20"/>
                <w:color w:val="auto"/>
              </w:rPr>
            </w:pPr>
            <w:r>
              <w:rPr>
                <w:rFonts w:ascii="Arial" w:cs="Arial" w:eastAsia="Arial" w:hAnsi="Arial"/>
                <w:sz w:val="15"/>
                <w:szCs w:val="15"/>
                <w:b w:val="1"/>
                <w:bCs w:val="1"/>
                <w:color w:val="2952A4"/>
              </w:rPr>
              <w:t>6/6</w:t>
            </w:r>
          </w:p>
        </w:tc>
      </w:tr>
      <w:tr>
        <w:trPr>
          <w:trHeight w:val="324"/>
        </w:trPr>
        <w:tc>
          <w:tcPr>
            <w:tcW w:w="3520" w:type="dxa"/>
            <w:vAlign w:val="bottom"/>
            <w:gridSpan w:val="2"/>
          </w:tcPr>
          <w:p>
            <w:pPr>
              <w:spacing w:after="0"/>
              <w:rPr>
                <w:sz w:val="20"/>
                <w:szCs w:val="20"/>
                <w:color w:val="auto"/>
              </w:rPr>
            </w:pPr>
            <w:r>
              <w:rPr>
                <w:rFonts w:ascii="Arial" w:cs="Arial" w:eastAsia="Arial" w:hAnsi="Arial"/>
                <w:sz w:val="15"/>
                <w:szCs w:val="15"/>
                <w:color w:val="231F20"/>
              </w:rPr>
              <w:t>Compensation Committee (Chairperson)</w:t>
            </w:r>
          </w:p>
        </w:tc>
        <w:tc>
          <w:tcPr>
            <w:tcW w:w="1520" w:type="dxa"/>
            <w:vAlign w:val="bottom"/>
          </w:tcPr>
          <w:p>
            <w:pPr>
              <w:ind w:left="120"/>
              <w:spacing w:after="0"/>
              <w:rPr>
                <w:sz w:val="20"/>
                <w:szCs w:val="20"/>
                <w:color w:val="auto"/>
              </w:rPr>
            </w:pPr>
            <w:r>
              <w:rPr>
                <w:rFonts w:ascii="Arial" w:cs="Arial" w:eastAsia="Arial" w:hAnsi="Arial"/>
                <w:sz w:val="15"/>
                <w:szCs w:val="15"/>
                <w:b w:val="1"/>
                <w:bCs w:val="1"/>
                <w:color w:val="2952A4"/>
              </w:rPr>
              <w:t>14/14</w:t>
            </w:r>
          </w:p>
        </w:tc>
      </w:tr>
      <w:tr>
        <w:trPr>
          <w:trHeight w:val="324"/>
        </w:trPr>
        <w:tc>
          <w:tcPr>
            <w:tcW w:w="3520" w:type="dxa"/>
            <w:vAlign w:val="bottom"/>
            <w:gridSpan w:val="2"/>
          </w:tcPr>
          <w:p>
            <w:pPr>
              <w:spacing w:after="0"/>
              <w:rPr>
                <w:sz w:val="20"/>
                <w:szCs w:val="20"/>
                <w:color w:val="auto"/>
              </w:rPr>
            </w:pPr>
            <w:r>
              <w:rPr>
                <w:rFonts w:ascii="Arial" w:cs="Arial" w:eastAsia="Arial" w:hAnsi="Arial"/>
                <w:sz w:val="15"/>
                <w:szCs w:val="15"/>
                <w:color w:val="231F20"/>
              </w:rPr>
              <w:t>Corporate Governance and Compliance Committee</w:t>
            </w:r>
          </w:p>
        </w:tc>
        <w:tc>
          <w:tcPr>
            <w:tcW w:w="1520" w:type="dxa"/>
            <w:vAlign w:val="bottom"/>
          </w:tcPr>
          <w:p>
            <w:pPr>
              <w:ind w:left="120"/>
              <w:spacing w:after="0"/>
              <w:rPr>
                <w:sz w:val="20"/>
                <w:szCs w:val="20"/>
                <w:color w:val="auto"/>
              </w:rPr>
            </w:pPr>
            <w:r>
              <w:rPr>
                <w:rFonts w:ascii="Arial" w:cs="Arial" w:eastAsia="Arial" w:hAnsi="Arial"/>
                <w:sz w:val="15"/>
                <w:szCs w:val="15"/>
                <w:b w:val="1"/>
                <w:bCs w:val="1"/>
                <w:color w:val="2952A4"/>
              </w:rPr>
              <w:t>5/5</w:t>
            </w:r>
          </w:p>
        </w:tc>
      </w:tr>
      <w:tr>
        <w:trPr>
          <w:trHeight w:val="145"/>
        </w:trPr>
        <w:tc>
          <w:tcPr>
            <w:tcW w:w="3520" w:type="dxa"/>
            <w:vAlign w:val="bottom"/>
            <w:tcBorders>
              <w:bottom w:val="single" w:sz="8" w:color="auto"/>
            </w:tcBorders>
            <w:gridSpan w:val="2"/>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333"/>
        </w:trPr>
        <w:tc>
          <w:tcPr>
            <w:tcW w:w="352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Results—2017</w:t>
            </w:r>
          </w:p>
        </w:tc>
        <w:tc>
          <w:tcPr>
            <w:tcW w:w="1520" w:type="dxa"/>
            <w:vAlign w:val="bottom"/>
          </w:tcPr>
          <w:p>
            <w:pPr>
              <w:spacing w:after="0"/>
              <w:rPr>
                <w:sz w:val="24"/>
                <w:szCs w:val="24"/>
                <w:color w:val="auto"/>
              </w:rPr>
            </w:pPr>
          </w:p>
        </w:tc>
      </w:tr>
      <w:tr>
        <w:trPr>
          <w:trHeight w:val="326"/>
        </w:trPr>
        <w:tc>
          <w:tcPr>
            <w:tcW w:w="1380" w:type="dxa"/>
            <w:vAlign w:val="bottom"/>
          </w:tcPr>
          <w:p>
            <w:pPr>
              <w:spacing w:after="0"/>
              <w:rPr>
                <w:sz w:val="20"/>
                <w:szCs w:val="20"/>
                <w:color w:val="auto"/>
              </w:rPr>
            </w:pPr>
            <w:r>
              <w:rPr>
                <w:rFonts w:ascii="Arial" w:cs="Arial" w:eastAsia="Arial" w:hAnsi="Arial"/>
                <w:sz w:val="15"/>
                <w:szCs w:val="15"/>
                <w:color w:val="231F20"/>
              </w:rPr>
              <w:t>For</w:t>
            </w:r>
          </w:p>
        </w:tc>
        <w:tc>
          <w:tcPr>
            <w:tcW w:w="2140" w:type="dxa"/>
            <w:vAlign w:val="bottom"/>
          </w:tcPr>
          <w:p>
            <w:pPr>
              <w:jc w:val="right"/>
              <w:ind w:right="1446"/>
              <w:spacing w:after="0"/>
              <w:rPr>
                <w:sz w:val="20"/>
                <w:szCs w:val="20"/>
                <w:color w:val="auto"/>
              </w:rPr>
            </w:pPr>
            <w:r>
              <w:rPr>
                <w:rFonts w:ascii="Arial" w:cs="Arial" w:eastAsia="Arial" w:hAnsi="Arial"/>
                <w:sz w:val="15"/>
                <w:szCs w:val="15"/>
                <w:b w:val="1"/>
                <w:bCs w:val="1"/>
                <w:color w:val="2952A4"/>
              </w:rPr>
              <w:t>84.0%</w:t>
            </w:r>
          </w:p>
        </w:tc>
        <w:tc>
          <w:tcPr>
            <w:tcW w:w="1520" w:type="dxa"/>
            <w:vAlign w:val="bottom"/>
          </w:tcPr>
          <w:p>
            <w:pPr>
              <w:spacing w:after="0"/>
              <w:rPr>
                <w:sz w:val="24"/>
                <w:szCs w:val="24"/>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5"/>
                <w:szCs w:val="15"/>
                <w:color w:val="231F20"/>
              </w:rPr>
              <w:t>Against</w:t>
            </w:r>
          </w:p>
        </w:tc>
        <w:tc>
          <w:tcPr>
            <w:tcW w:w="2140" w:type="dxa"/>
            <w:vAlign w:val="bottom"/>
          </w:tcPr>
          <w:p>
            <w:pPr>
              <w:jc w:val="right"/>
              <w:ind w:right="1446"/>
              <w:spacing w:after="0"/>
              <w:rPr>
                <w:sz w:val="20"/>
                <w:szCs w:val="20"/>
                <w:color w:val="auto"/>
              </w:rPr>
            </w:pPr>
            <w:r>
              <w:rPr>
                <w:rFonts w:ascii="Arial" w:cs="Arial" w:eastAsia="Arial" w:hAnsi="Arial"/>
                <w:sz w:val="15"/>
                <w:szCs w:val="15"/>
                <w:b w:val="1"/>
                <w:bCs w:val="1"/>
                <w:color w:val="2952A4"/>
              </w:rPr>
              <w:t>16.0%</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Regeneron Securities Beneficially Owned as of April 14,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20"/>
                <w:szCs w:val="20"/>
                <w:color w:val="auto"/>
              </w:rPr>
            </w:pPr>
            <w:r>
              <w:rPr>
                <w:rFonts w:ascii="Arial" w:cs="Arial" w:eastAsia="Arial" w:hAnsi="Arial"/>
                <w:sz w:val="15"/>
                <w:szCs w:val="15"/>
                <w:color w:val="231F20"/>
              </w:rPr>
              <w:t>Common Stock</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2952A4"/>
              </w:rPr>
              <w:t>790</w:t>
            </w:r>
          </w:p>
        </w:tc>
      </w:tr>
    </w:tbl>
    <w:p>
      <w:pPr>
        <w:spacing w:after="0" w:line="128"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Options</w:t>
      </w:r>
      <w:r>
        <w:rPr>
          <w:sz w:val="20"/>
          <w:szCs w:val="20"/>
          <w:color w:val="auto"/>
        </w:rPr>
        <w:tab/>
      </w:r>
      <w:r>
        <w:rPr>
          <w:rFonts w:ascii="Arial" w:cs="Arial" w:eastAsia="Arial" w:hAnsi="Arial"/>
          <w:sz w:val="15"/>
          <w:szCs w:val="15"/>
          <w:b w:val="1"/>
          <w:bCs w:val="1"/>
          <w:color w:val="2952A4"/>
        </w:rPr>
        <w:t>120,834</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RSUs</w:t>
      </w:r>
      <w:r>
        <w:rPr>
          <w:sz w:val="20"/>
          <w:szCs w:val="20"/>
          <w:color w:val="auto"/>
        </w:rPr>
        <w:tab/>
      </w:r>
      <w:r>
        <w:rPr>
          <w:rFonts w:ascii="Arial" w:cs="Arial" w:eastAsia="Arial" w:hAnsi="Arial"/>
          <w:sz w:val="15"/>
          <w:szCs w:val="15"/>
          <w:b w:val="1"/>
          <w:bCs w:val="1"/>
          <w:color w:val="2952A4"/>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141605</wp:posOffset>
            </wp:positionV>
            <wp:extent cx="771525"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480"/>
            <w:col w:w="6700"/>
          </w:cols>
          <w:pgMar w:left="320" w:top="405" w:right="33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2" w:name="page23"/>
    <w:bookmarkEnd w:id="22"/>
    <w:p>
      <w:pPr>
        <w:ind w:left="158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160655</wp:posOffset>
            </wp:positionV>
            <wp:extent cx="5083175"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7" w:lineRule="exact"/>
        <w:rPr>
          <w:sz w:val="20"/>
          <w:szCs w:val="20"/>
          <w:color w:val="auto"/>
        </w:rPr>
      </w:pPr>
    </w:p>
    <w:p>
      <w:pPr>
        <w:ind w:left="1660"/>
        <w:spacing w:after="0"/>
        <w:rPr>
          <w:sz w:val="20"/>
          <w:szCs w:val="20"/>
          <w:color w:val="auto"/>
        </w:rPr>
      </w:pPr>
      <w:r>
        <w:rPr>
          <w:rFonts w:ascii="Arial" w:cs="Arial" w:eastAsia="Arial" w:hAnsi="Arial"/>
          <w:sz w:val="24"/>
          <w:szCs w:val="24"/>
          <w:b w:val="1"/>
          <w:bCs w:val="1"/>
          <w:color w:val="FFFFFF"/>
        </w:rPr>
        <w:t>P. ROY VAGELOS, M.D.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-1537970</wp:posOffset>
            </wp:positionV>
            <wp:extent cx="1080135" cy="1080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90</w:t>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6" w:lineRule="exact"/>
        <w:rPr>
          <w:sz w:val="20"/>
          <w:szCs w:val="20"/>
          <w:color w:val="auto"/>
        </w:rPr>
      </w:pPr>
    </w:p>
    <w:p>
      <w:pPr>
        <w:ind w:left="1740" w:hanging="166"/>
        <w:spacing w:after="0"/>
        <w:tabs>
          <w:tab w:leader="none" w:pos="1740" w:val="left"/>
        </w:tabs>
        <w:numPr>
          <w:ilvl w:val="0"/>
          <w:numId w:val="28"/>
        </w:numPr>
        <w:rPr>
          <w:rFonts w:ascii="Arial" w:cs="Arial" w:eastAsia="Arial" w:hAnsi="Arial"/>
          <w:sz w:val="14"/>
          <w:szCs w:val="14"/>
          <w:color w:val="2952A4"/>
        </w:rPr>
      </w:pPr>
      <w:r>
        <w:rPr>
          <w:rFonts w:ascii="Arial" w:cs="Arial" w:eastAsia="Arial" w:hAnsi="Arial"/>
          <w:sz w:val="14"/>
          <w:szCs w:val="14"/>
          <w:color w:val="231F20"/>
        </w:rPr>
        <w:t>The National Academy of Sciences</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28"/>
        </w:numPr>
        <w:rPr>
          <w:rFonts w:ascii="Arial" w:cs="Arial" w:eastAsia="Arial" w:hAnsi="Arial"/>
          <w:sz w:val="14"/>
          <w:szCs w:val="14"/>
          <w:color w:val="2952A4"/>
        </w:rPr>
      </w:pPr>
      <w:r>
        <w:rPr>
          <w:rFonts w:ascii="Arial" w:cs="Arial" w:eastAsia="Arial" w:hAnsi="Arial"/>
          <w:sz w:val="14"/>
          <w:szCs w:val="14"/>
          <w:color w:val="231F20"/>
        </w:rPr>
        <w:t>The National Academy of Medicine</w:t>
      </w:r>
    </w:p>
    <w:p>
      <w:pPr>
        <w:spacing w:after="0" w:line="68" w:lineRule="exact"/>
        <w:rPr>
          <w:rFonts w:ascii="Arial" w:cs="Arial" w:eastAsia="Arial" w:hAnsi="Arial"/>
          <w:sz w:val="14"/>
          <w:szCs w:val="14"/>
          <w:color w:val="2952A4"/>
        </w:rPr>
      </w:pPr>
    </w:p>
    <w:p>
      <w:pPr>
        <w:ind w:left="1740" w:right="440" w:hanging="166"/>
        <w:spacing w:after="0" w:line="258" w:lineRule="auto"/>
        <w:tabs>
          <w:tab w:leader="none" w:pos="1740" w:val="left"/>
        </w:tabs>
        <w:numPr>
          <w:ilvl w:val="0"/>
          <w:numId w:val="28"/>
        </w:numPr>
        <w:rPr>
          <w:rFonts w:ascii="Arial" w:cs="Arial" w:eastAsia="Arial" w:hAnsi="Arial"/>
          <w:sz w:val="14"/>
          <w:szCs w:val="14"/>
          <w:color w:val="2952A4"/>
        </w:rPr>
      </w:pPr>
      <w:r>
        <w:rPr>
          <w:rFonts w:ascii="Arial" w:cs="Arial" w:eastAsia="Arial" w:hAnsi="Arial"/>
          <w:sz w:val="14"/>
          <w:szCs w:val="14"/>
          <w:color w:val="231F20"/>
        </w:rPr>
        <w:t>The American Philosophical Society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20"/>
        <w:spacing w:after="0" w:line="227" w:lineRule="auto"/>
        <w:rPr>
          <w:sz w:val="20"/>
          <w:szCs w:val="20"/>
          <w:color w:val="auto"/>
        </w:rPr>
      </w:pPr>
      <w:r>
        <w:rPr>
          <w:rFonts w:ascii="Arial" w:cs="Arial" w:eastAsia="Arial" w:hAnsi="Arial"/>
          <w:sz w:val="15"/>
          <w:szCs w:val="15"/>
          <w:color w:val="231F20"/>
        </w:rPr>
        <w:t>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served on the board of directors of Theravance, Inc. from 1996 to 2010. Dr. Vagelos is a member of the National Academy of Sciences, the National Academy of Medicine, and the American Philosophical Society. During his tenure as Chairman of Regeneron and previously as Chairman and Chief Executive Officer of Merck, Dr. Vagelos developed an extensive understanding of the complex business, operational, scientific, regulatory, and commercial issues facing the pharmaceutical industry.</w:t>
      </w:r>
    </w:p>
    <w:p>
      <w:pPr>
        <w:spacing w:after="0" w:line="148" w:lineRule="exact"/>
        <w:rPr>
          <w:sz w:val="20"/>
          <w:szCs w:val="20"/>
          <w:color w:val="auto"/>
        </w:rPr>
      </w:pPr>
    </w:p>
    <w:p>
      <w:pPr>
        <w:ind w:right="1660"/>
        <w:spacing w:after="0" w:line="250" w:lineRule="auto"/>
        <w:rPr>
          <w:sz w:val="20"/>
          <w:szCs w:val="20"/>
          <w:color w:val="auto"/>
        </w:rPr>
      </w:pPr>
      <w:r>
        <w:rPr>
          <w:rFonts w:ascii="Arial" w:cs="Arial" w:eastAsia="Arial" w:hAnsi="Arial"/>
          <w:sz w:val="14"/>
          <w:szCs w:val="14"/>
          <w:color w:val="231F20"/>
        </w:rPr>
        <w:t>Dr. Vagelos’s tenure and experience with the Company and Merck, his extensive knowledge of the pharmaceutical industry, his substantial leadership experience, and his significant understanding of the Company led to the board’s decision to nominate Dr. Vagelos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31972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20"/>
                <w:szCs w:val="20"/>
                <w:color w:val="auto"/>
              </w:rPr>
            </w:pPr>
            <w:r>
              <w:rPr>
                <w:rFonts w:ascii="Arial" w:cs="Arial" w:eastAsia="Arial" w:hAnsi="Arial"/>
                <w:sz w:val="15"/>
                <w:szCs w:val="15"/>
                <w:color w:val="231F20"/>
              </w:rPr>
              <w:t>Board of Directors</w:t>
            </w:r>
          </w:p>
        </w:tc>
        <w:tc>
          <w:tcPr>
            <w:tcW w:w="3500" w:type="dxa"/>
            <w:vAlign w:val="bottom"/>
          </w:tcPr>
          <w:p>
            <w:pPr>
              <w:jc w:val="right"/>
              <w:ind w:right="1646"/>
              <w:spacing w:after="0"/>
              <w:rPr>
                <w:sz w:val="20"/>
                <w:szCs w:val="20"/>
                <w:color w:val="auto"/>
              </w:rPr>
            </w:pPr>
            <w:r>
              <w:rPr>
                <w:rFonts w:ascii="Arial" w:cs="Arial" w:eastAsia="Arial" w:hAnsi="Arial"/>
                <w:sz w:val="15"/>
                <w:szCs w:val="15"/>
                <w:b w:val="1"/>
                <w:bCs w:val="1"/>
                <w:color w:val="2952A4"/>
              </w:rPr>
              <w:t>6/6</w:t>
            </w:r>
          </w:p>
        </w:tc>
      </w:tr>
      <w:tr>
        <w:trPr>
          <w:trHeight w:val="324"/>
        </w:trPr>
        <w:tc>
          <w:tcPr>
            <w:tcW w:w="1540" w:type="dxa"/>
            <w:vAlign w:val="bottom"/>
          </w:tcPr>
          <w:p>
            <w:pPr>
              <w:spacing w:after="0"/>
              <w:rPr>
                <w:sz w:val="20"/>
                <w:szCs w:val="20"/>
                <w:color w:val="auto"/>
              </w:rPr>
            </w:pPr>
            <w:r>
              <w:rPr>
                <w:rFonts w:ascii="Arial" w:cs="Arial" w:eastAsia="Arial" w:hAnsi="Arial"/>
                <w:sz w:val="15"/>
                <w:szCs w:val="15"/>
                <w:color w:val="231F20"/>
                <w:w w:val="98"/>
              </w:rPr>
              <w:t>Technology Committee</w:t>
            </w:r>
          </w:p>
        </w:tc>
        <w:tc>
          <w:tcPr>
            <w:tcW w:w="3500" w:type="dxa"/>
            <w:vAlign w:val="bottom"/>
          </w:tcPr>
          <w:p>
            <w:pPr>
              <w:jc w:val="right"/>
              <w:ind w:right="1646"/>
              <w:spacing w:after="0"/>
              <w:rPr>
                <w:sz w:val="20"/>
                <w:szCs w:val="20"/>
                <w:color w:val="auto"/>
              </w:rPr>
            </w:pPr>
            <w:r>
              <w:rPr>
                <w:rFonts w:ascii="Arial" w:cs="Arial" w:eastAsia="Arial" w:hAnsi="Arial"/>
                <w:sz w:val="15"/>
                <w:szCs w:val="15"/>
                <w:b w:val="1"/>
                <w:bCs w:val="1"/>
                <w:color w:val="2952A4"/>
              </w:rPr>
              <w:t>4/4</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Results—2017</w:t>
            </w:r>
          </w:p>
        </w:tc>
      </w:tr>
      <w:tr>
        <w:trPr>
          <w:trHeight w:val="326"/>
        </w:trPr>
        <w:tc>
          <w:tcPr>
            <w:tcW w:w="1540" w:type="dxa"/>
            <w:vAlign w:val="bottom"/>
          </w:tcPr>
          <w:p>
            <w:pPr>
              <w:spacing w:after="0"/>
              <w:rPr>
                <w:sz w:val="20"/>
                <w:szCs w:val="20"/>
                <w:color w:val="auto"/>
              </w:rPr>
            </w:pPr>
            <w:r>
              <w:rPr>
                <w:rFonts w:ascii="Arial" w:cs="Arial" w:eastAsia="Arial" w:hAnsi="Arial"/>
                <w:sz w:val="15"/>
                <w:szCs w:val="15"/>
                <w:color w:val="231F20"/>
              </w:rPr>
              <w:t>For</w:t>
            </w:r>
          </w:p>
        </w:tc>
        <w:tc>
          <w:tcPr>
            <w:tcW w:w="3500" w:type="dxa"/>
            <w:vAlign w:val="bottom"/>
          </w:tcPr>
          <w:p>
            <w:pPr>
              <w:ind w:left="40"/>
              <w:spacing w:after="0"/>
              <w:rPr>
                <w:sz w:val="20"/>
                <w:szCs w:val="20"/>
                <w:color w:val="auto"/>
              </w:rPr>
            </w:pPr>
            <w:r>
              <w:rPr>
                <w:rFonts w:ascii="Arial" w:cs="Arial" w:eastAsia="Arial" w:hAnsi="Arial"/>
                <w:sz w:val="15"/>
                <w:szCs w:val="15"/>
                <w:b w:val="1"/>
                <w:bCs w:val="1"/>
                <w:color w:val="2952A4"/>
              </w:rPr>
              <w:t>99.5%</w:t>
            </w:r>
          </w:p>
        </w:tc>
      </w:tr>
      <w:tr>
        <w:trPr>
          <w:trHeight w:val="324"/>
        </w:trPr>
        <w:tc>
          <w:tcPr>
            <w:tcW w:w="1540" w:type="dxa"/>
            <w:vAlign w:val="bottom"/>
          </w:tcPr>
          <w:p>
            <w:pPr>
              <w:spacing w:after="0"/>
              <w:rPr>
                <w:sz w:val="20"/>
                <w:szCs w:val="20"/>
                <w:color w:val="auto"/>
              </w:rPr>
            </w:pPr>
            <w:r>
              <w:rPr>
                <w:rFonts w:ascii="Arial" w:cs="Arial" w:eastAsia="Arial" w:hAnsi="Arial"/>
                <w:sz w:val="15"/>
                <w:szCs w:val="15"/>
                <w:color w:val="231F20"/>
              </w:rPr>
              <w:t>Against</w:t>
            </w:r>
          </w:p>
        </w:tc>
        <w:tc>
          <w:tcPr>
            <w:tcW w:w="3500" w:type="dxa"/>
            <w:vAlign w:val="bottom"/>
          </w:tcPr>
          <w:p>
            <w:pPr>
              <w:ind w:left="40"/>
              <w:spacing w:after="0"/>
              <w:rPr>
                <w:sz w:val="20"/>
                <w:szCs w:val="20"/>
                <w:color w:val="auto"/>
              </w:rPr>
            </w:pPr>
            <w:r>
              <w:rPr>
                <w:rFonts w:ascii="Arial" w:cs="Arial" w:eastAsia="Arial" w:hAnsi="Arial"/>
                <w:sz w:val="15"/>
                <w:szCs w:val="15"/>
                <w:b w:val="1"/>
                <w:bCs w:val="1"/>
                <w:color w:val="2952A4"/>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8180" w:type="dxa"/>
            <w:vAlign w:val="bottom"/>
            <w:gridSpan w:val="2"/>
          </w:tcPr>
          <w:p>
            <w:pPr>
              <w:ind w:left="1480"/>
              <w:spacing w:after="0"/>
              <w:rPr>
                <w:sz w:val="20"/>
                <w:szCs w:val="20"/>
                <w:color w:val="auto"/>
              </w:rPr>
            </w:pPr>
            <w:r>
              <w:rPr>
                <w:rFonts w:ascii="Arial" w:cs="Arial" w:eastAsia="Arial" w:hAnsi="Arial"/>
                <w:sz w:val="14"/>
                <w:szCs w:val="14"/>
                <w:b w:val="1"/>
                <w:bCs w:val="1"/>
                <w:color w:val="C04C57"/>
              </w:rPr>
              <w:t>Regeneron Securities Beneficially Owned as of April 14, 2020</w:t>
            </w:r>
          </w:p>
        </w:tc>
      </w:tr>
      <w:tr>
        <w:trPr>
          <w:trHeight w:val="326"/>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Common Stock</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675,911</w:t>
            </w:r>
          </w:p>
        </w:tc>
      </w:tr>
      <w:tr>
        <w:trPr>
          <w:trHeight w:val="324"/>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Options</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1,145,495</w:t>
            </w:r>
          </w:p>
        </w:tc>
      </w:tr>
      <w:tr>
        <w:trPr>
          <w:trHeight w:val="403"/>
        </w:trPr>
        <w:tc>
          <w:tcPr>
            <w:tcW w:w="3060" w:type="dxa"/>
            <w:vAlign w:val="bottom"/>
          </w:tcPr>
          <w:p>
            <w:pPr>
              <w:jc w:val="right"/>
              <w:ind w:right="1408"/>
              <w:spacing w:after="0"/>
              <w:rPr>
                <w:sz w:val="20"/>
                <w:szCs w:val="20"/>
                <w:color w:val="auto"/>
              </w:rPr>
            </w:pPr>
            <w:r>
              <w:rPr>
                <w:rFonts w:ascii="Arial" w:cs="Arial" w:eastAsia="Arial" w:hAnsi="Arial"/>
                <w:sz w:val="14"/>
                <w:szCs w:val="14"/>
                <w:b w:val="1"/>
                <w:bCs w:val="1"/>
                <w:color w:val="00A5EC"/>
              </w:rPr>
              <w:t xml:space="preserve">12  </w:t>
            </w:r>
            <w:r>
              <w:rPr>
                <w:rFonts w:ascii="Arial" w:cs="Arial" w:eastAsia="Arial" w:hAnsi="Arial"/>
                <w:sz w:val="14"/>
                <w:szCs w:val="14"/>
                <w:color w:val="00A5EC"/>
              </w:rPr>
              <w:t>/</w:t>
            </w:r>
          </w:p>
        </w:tc>
        <w:tc>
          <w:tcPr>
            <w:tcW w:w="8180" w:type="dxa"/>
            <w:vAlign w:val="bottom"/>
            <w:gridSpan w:val="2"/>
          </w:tcPr>
          <w:p>
            <w:pPr>
              <w:ind w:left="186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r>
      <w:tr>
        <w:trPr>
          <w:trHeight w:val="262"/>
        </w:trPr>
        <w:tc>
          <w:tcPr>
            <w:tcW w:w="3060" w:type="dxa"/>
            <w:vAlign w:val="bottom"/>
            <w:tcBorders>
              <w:bottom w:val="single" w:sz="8" w:color="C0C0C0"/>
            </w:tcBorders>
          </w:tcPr>
          <w:p>
            <w:pPr>
              <w:spacing w:after="0"/>
              <w:rPr>
                <w:sz w:val="22"/>
                <w:szCs w:val="22"/>
                <w:color w:val="auto"/>
              </w:rPr>
            </w:pPr>
          </w:p>
        </w:tc>
        <w:tc>
          <w:tcPr>
            <w:tcW w:w="2780" w:type="dxa"/>
            <w:vAlign w:val="bottom"/>
            <w:tcBorders>
              <w:bottom w:val="single" w:sz="8" w:color="C0C0C0"/>
            </w:tcBorders>
          </w:tcPr>
          <w:p>
            <w:pPr>
              <w:spacing w:after="0"/>
              <w:rPr>
                <w:sz w:val="22"/>
                <w:szCs w:val="22"/>
                <w:color w:val="auto"/>
              </w:rPr>
            </w:pPr>
          </w:p>
        </w:tc>
        <w:tc>
          <w:tcPr>
            <w:tcW w:w="54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-307975</wp:posOffset>
            </wp:positionV>
            <wp:extent cx="771525"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23" w:name="page24"/>
    <w:bookmarkEnd w:id="23"/>
    <w:p>
      <w:pPr>
        <w:ind w:left="604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160655</wp:posOffset>
            </wp:positionV>
            <wp:extent cx="5083175"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7"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HUDA Y. ZOGHBI, M.D.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-1537970</wp:posOffset>
            </wp:positionV>
            <wp:extent cx="1080135" cy="1080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132"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65</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6" w:lineRule="exact"/>
        <w:rPr>
          <w:sz w:val="20"/>
          <w:szCs w:val="20"/>
          <w:color w:val="auto"/>
        </w:rPr>
      </w:pPr>
    </w:p>
    <w:p>
      <w:pPr>
        <w:ind w:left="1740" w:hanging="166"/>
        <w:spacing w:after="0"/>
        <w:tabs>
          <w:tab w:leader="none" w:pos="1740" w:val="left"/>
        </w:tabs>
        <w:numPr>
          <w:ilvl w:val="0"/>
          <w:numId w:val="29"/>
        </w:numPr>
        <w:rPr>
          <w:rFonts w:ascii="Arial" w:cs="Arial" w:eastAsia="Arial" w:hAnsi="Arial"/>
          <w:sz w:val="14"/>
          <w:szCs w:val="14"/>
          <w:color w:val="2952A4"/>
        </w:rPr>
      </w:pPr>
      <w:r>
        <w:rPr>
          <w:rFonts w:ascii="Arial" w:cs="Arial" w:eastAsia="Arial" w:hAnsi="Arial"/>
          <w:sz w:val="14"/>
          <w:szCs w:val="14"/>
          <w:color w:val="231F20"/>
        </w:rPr>
        <w:t>The National Academy of Sciences</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29"/>
        </w:numPr>
        <w:rPr>
          <w:rFonts w:ascii="Arial" w:cs="Arial" w:eastAsia="Arial" w:hAnsi="Arial"/>
          <w:sz w:val="14"/>
          <w:szCs w:val="14"/>
          <w:color w:val="2952A4"/>
        </w:rPr>
      </w:pPr>
      <w:r>
        <w:rPr>
          <w:rFonts w:ascii="Arial" w:cs="Arial" w:eastAsia="Arial" w:hAnsi="Arial"/>
          <w:sz w:val="14"/>
          <w:szCs w:val="14"/>
          <w:color w:val="231F20"/>
        </w:rPr>
        <w:t>The Institute of Medicine</w:t>
      </w:r>
    </w:p>
    <w:p>
      <w:pPr>
        <w:spacing w:after="0" w:line="68" w:lineRule="exact"/>
        <w:rPr>
          <w:rFonts w:ascii="Arial" w:cs="Arial" w:eastAsia="Arial" w:hAnsi="Arial"/>
          <w:sz w:val="14"/>
          <w:szCs w:val="14"/>
          <w:color w:val="2952A4"/>
        </w:rPr>
      </w:pPr>
    </w:p>
    <w:p>
      <w:pPr>
        <w:ind w:left="1740" w:right="120" w:hanging="166"/>
        <w:spacing w:after="0" w:line="258" w:lineRule="auto"/>
        <w:tabs>
          <w:tab w:leader="none" w:pos="1740" w:val="left"/>
        </w:tabs>
        <w:numPr>
          <w:ilvl w:val="0"/>
          <w:numId w:val="29"/>
        </w:numPr>
        <w:rPr>
          <w:rFonts w:ascii="Arial" w:cs="Arial" w:eastAsia="Arial" w:hAnsi="Arial"/>
          <w:sz w:val="14"/>
          <w:szCs w:val="14"/>
          <w:color w:val="2952A4"/>
        </w:rPr>
      </w:pPr>
      <w:r>
        <w:rPr>
          <w:rFonts w:ascii="Arial" w:cs="Arial" w:eastAsia="Arial" w:hAnsi="Arial"/>
          <w:sz w:val="14"/>
          <w:szCs w:val="14"/>
          <w:color w:val="231F20"/>
        </w:rPr>
        <w:t>The American Association for the Advancement of Science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00"/>
        <w:spacing w:after="0" w:line="227" w:lineRule="auto"/>
        <w:rPr>
          <w:sz w:val="20"/>
          <w:szCs w:val="20"/>
          <w:color w:val="auto"/>
        </w:rPr>
      </w:pPr>
      <w:r>
        <w:rPr>
          <w:rFonts w:ascii="Arial" w:cs="Arial" w:eastAsia="Arial" w:hAnsi="Arial"/>
          <w:sz w:val="15"/>
          <w:szCs w:val="15"/>
          <w:color w:val="231F20"/>
        </w:rPr>
        <w:t>Dr. Zoghbi is currently a professor in the departments of Pediatrics, Molecular and Human Genetics, and Neurology and Neuroscience at Baylor College of Medicine, the director of the Jan and Dan Duncan Neurological Research Institute at Texas Children’s Hospital, and an investigator of the Howard Hughes Medical Institute. She has been elected to the National Academy of Sciences, the Institute of Medicine, and the American Association for the Advancement of Science, and has been awarded numerous recognitions for her work, including the Pearl Meister Greengard Prize, the March of Dimes Prize in Developmental Biology, and the Vanderbilt Prize in Biomedical Science.</w:t>
      </w:r>
    </w:p>
    <w:p>
      <w:pPr>
        <w:spacing w:after="0" w:line="151" w:lineRule="exact"/>
        <w:rPr>
          <w:sz w:val="20"/>
          <w:szCs w:val="20"/>
          <w:color w:val="auto"/>
        </w:rPr>
      </w:pPr>
    </w:p>
    <w:p>
      <w:pPr>
        <w:ind w:right="1660"/>
        <w:spacing w:after="0" w:line="229" w:lineRule="auto"/>
        <w:rPr>
          <w:sz w:val="20"/>
          <w:szCs w:val="20"/>
          <w:color w:val="auto"/>
        </w:rPr>
      </w:pPr>
      <w:r>
        <w:rPr>
          <w:rFonts w:ascii="Arial" w:cs="Arial" w:eastAsia="Arial" w:hAnsi="Arial"/>
          <w:sz w:val="15"/>
          <w:szCs w:val="15"/>
          <w:color w:val="231F20"/>
        </w:rPr>
        <w:t>Dr. Zoghbi earned her B.Sc. from the American University of Beirut, received her M.D. from Meharry Medical College in Nashville, Tennessee, and completed her pediatrics residency and a joint residency in neurology and pediatric neurology at Baylor College of Medicine, where she then pursued postdoctoral research training in molecular genetics.</w:t>
      </w:r>
    </w:p>
    <w:p>
      <w:pPr>
        <w:spacing w:after="0" w:line="149" w:lineRule="exact"/>
        <w:rPr>
          <w:sz w:val="20"/>
          <w:szCs w:val="20"/>
          <w:color w:val="auto"/>
        </w:rPr>
      </w:pPr>
    </w:p>
    <w:p>
      <w:pPr>
        <w:ind w:right="1740"/>
        <w:spacing w:after="0" w:line="233" w:lineRule="auto"/>
        <w:rPr>
          <w:sz w:val="20"/>
          <w:szCs w:val="20"/>
          <w:color w:val="auto"/>
        </w:rPr>
      </w:pPr>
      <w:r>
        <w:rPr>
          <w:rFonts w:ascii="Arial" w:cs="Arial" w:eastAsia="Arial" w:hAnsi="Arial"/>
          <w:sz w:val="15"/>
          <w:szCs w:val="15"/>
          <w:color w:val="231F20"/>
        </w:rPr>
        <w:t>Dr. Zoghbi’s extensive research experience and her scientific and academic career and accomplishments led to the board’s decision to nominate Dr. Zoghbi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20"/>
                <w:szCs w:val="20"/>
                <w:color w:val="auto"/>
              </w:rPr>
            </w:pPr>
            <w:r>
              <w:rPr>
                <w:rFonts w:ascii="Arial" w:cs="Arial" w:eastAsia="Arial" w:hAnsi="Arial"/>
                <w:sz w:val="14"/>
                <w:szCs w:val="14"/>
                <w:color w:val="231F20"/>
              </w:rPr>
              <w:t>Board of Directors</w:t>
            </w:r>
          </w:p>
        </w:tc>
        <w:tc>
          <w:tcPr>
            <w:tcW w:w="1300" w:type="dxa"/>
            <w:vAlign w:val="bottom"/>
          </w:tcPr>
          <w:p>
            <w:pPr>
              <w:spacing w:after="0"/>
              <w:rPr>
                <w:sz w:val="16"/>
                <w:szCs w:val="16"/>
                <w:color w:val="auto"/>
              </w:rPr>
            </w:pPr>
          </w:p>
        </w:tc>
        <w:tc>
          <w:tcPr>
            <w:tcW w:w="2220" w:type="dxa"/>
            <w:vAlign w:val="bottom"/>
          </w:tcPr>
          <w:p>
            <w:pPr>
              <w:ind w:left="820"/>
              <w:spacing w:after="0"/>
              <w:rPr>
                <w:sz w:val="20"/>
                <w:szCs w:val="20"/>
                <w:color w:val="auto"/>
              </w:rPr>
            </w:pPr>
            <w:r>
              <w:rPr>
                <w:rFonts w:ascii="Arial" w:cs="Arial" w:eastAsia="Arial" w:hAnsi="Arial"/>
                <w:sz w:val="14"/>
                <w:szCs w:val="14"/>
                <w:b w:val="1"/>
                <w:bCs w:val="1"/>
                <w:color w:val="2952A4"/>
              </w:rPr>
              <w:t>6/6</w:t>
            </w:r>
          </w:p>
        </w:tc>
      </w:tr>
      <w:tr>
        <w:trPr>
          <w:trHeight w:val="310"/>
        </w:trPr>
        <w:tc>
          <w:tcPr>
            <w:tcW w:w="2820" w:type="dxa"/>
            <w:vAlign w:val="bottom"/>
            <w:gridSpan w:val="2"/>
          </w:tcPr>
          <w:p>
            <w:pPr>
              <w:spacing w:after="0"/>
              <w:rPr>
                <w:sz w:val="20"/>
                <w:szCs w:val="20"/>
                <w:color w:val="auto"/>
              </w:rPr>
            </w:pPr>
            <w:r>
              <w:rPr>
                <w:rFonts w:ascii="Arial" w:cs="Arial" w:eastAsia="Arial" w:hAnsi="Arial"/>
                <w:sz w:val="14"/>
                <w:szCs w:val="14"/>
                <w:color w:val="231F20"/>
              </w:rPr>
              <w:t>Compensation Committee</w:t>
            </w:r>
          </w:p>
        </w:tc>
        <w:tc>
          <w:tcPr>
            <w:tcW w:w="2220" w:type="dxa"/>
            <w:vAlign w:val="bottom"/>
          </w:tcPr>
          <w:p>
            <w:pPr>
              <w:ind w:left="820"/>
              <w:spacing w:after="0"/>
              <w:rPr>
                <w:sz w:val="20"/>
                <w:szCs w:val="20"/>
                <w:color w:val="auto"/>
              </w:rPr>
            </w:pPr>
            <w:r>
              <w:rPr>
                <w:rFonts w:ascii="Arial" w:cs="Arial" w:eastAsia="Arial" w:hAnsi="Arial"/>
                <w:sz w:val="14"/>
                <w:szCs w:val="14"/>
                <w:b w:val="1"/>
                <w:bCs w:val="1"/>
                <w:color w:val="2952A4"/>
              </w:rPr>
              <w:t>14/14</w:t>
            </w:r>
          </w:p>
        </w:tc>
      </w:tr>
      <w:tr>
        <w:trPr>
          <w:trHeight w:val="311"/>
        </w:trPr>
        <w:tc>
          <w:tcPr>
            <w:tcW w:w="1520" w:type="dxa"/>
            <w:vAlign w:val="bottom"/>
          </w:tcPr>
          <w:p>
            <w:pPr>
              <w:spacing w:after="0"/>
              <w:rPr>
                <w:sz w:val="20"/>
                <w:szCs w:val="20"/>
                <w:color w:val="auto"/>
              </w:rPr>
            </w:pPr>
            <w:r>
              <w:rPr>
                <w:rFonts w:ascii="Arial" w:cs="Arial" w:eastAsia="Arial" w:hAnsi="Arial"/>
                <w:sz w:val="14"/>
                <w:szCs w:val="14"/>
                <w:color w:val="231F20"/>
              </w:rPr>
              <w:t>Technology Committee</w:t>
            </w:r>
          </w:p>
        </w:tc>
        <w:tc>
          <w:tcPr>
            <w:tcW w:w="1300" w:type="dxa"/>
            <w:vAlign w:val="bottom"/>
          </w:tcPr>
          <w:p>
            <w:pPr>
              <w:spacing w:after="0"/>
              <w:rPr>
                <w:sz w:val="24"/>
                <w:szCs w:val="24"/>
                <w:color w:val="auto"/>
              </w:rPr>
            </w:pPr>
          </w:p>
        </w:tc>
        <w:tc>
          <w:tcPr>
            <w:tcW w:w="2220" w:type="dxa"/>
            <w:vAlign w:val="bottom"/>
          </w:tcPr>
          <w:p>
            <w:pPr>
              <w:ind w:left="820"/>
              <w:spacing w:after="0"/>
              <w:rPr>
                <w:sz w:val="20"/>
                <w:szCs w:val="20"/>
                <w:color w:val="auto"/>
              </w:rPr>
            </w:pPr>
            <w:r>
              <w:rPr>
                <w:rFonts w:ascii="Arial" w:cs="Arial" w:eastAsia="Arial" w:hAnsi="Arial"/>
                <w:sz w:val="14"/>
                <w:szCs w:val="14"/>
                <w:b w:val="1"/>
                <w:bCs w:val="1"/>
                <w:color w:val="2952A4"/>
              </w:rPr>
              <w:t>4/4</w:t>
            </w:r>
          </w:p>
        </w:tc>
      </w:tr>
      <w:tr>
        <w:trPr>
          <w:trHeight w:val="147"/>
        </w:trPr>
        <w:tc>
          <w:tcPr>
            <w:tcW w:w="282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r>
      <w:tr>
        <w:trPr>
          <w:trHeight w:val="333"/>
        </w:trPr>
        <w:tc>
          <w:tcPr>
            <w:tcW w:w="282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Results—2017</w:t>
            </w:r>
          </w:p>
        </w:tc>
        <w:tc>
          <w:tcPr>
            <w:tcW w:w="22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4"/>
                <w:szCs w:val="14"/>
                <w:color w:val="231F20"/>
              </w:rPr>
              <w:t>For</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2952A4"/>
              </w:rPr>
              <w:t>97.7%</w:t>
            </w:r>
          </w:p>
        </w:tc>
        <w:tc>
          <w:tcPr>
            <w:tcW w:w="222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4"/>
                <w:szCs w:val="14"/>
                <w:color w:val="231F20"/>
              </w:rPr>
              <w:t>Against</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2952A4"/>
              </w:rPr>
              <w:t>2.3%</w:t>
            </w:r>
          </w:p>
        </w:tc>
        <w:tc>
          <w:tcPr>
            <w:tcW w:w="2220" w:type="dxa"/>
            <w:vAlign w:val="bottom"/>
          </w:tcPr>
          <w:p>
            <w:pPr>
              <w:spacing w:after="0"/>
              <w:rPr>
                <w:sz w:val="24"/>
                <w:szCs w:val="24"/>
                <w:color w:val="auto"/>
              </w:rPr>
            </w:pPr>
          </w:p>
        </w:tc>
      </w:tr>
      <w:tr>
        <w:trPr>
          <w:trHeight w:val="147"/>
        </w:trPr>
        <w:tc>
          <w:tcPr>
            <w:tcW w:w="5040" w:type="dxa"/>
            <w:vAlign w:val="bottom"/>
            <w:tcBorders>
              <w:bottom w:val="single" w:sz="8" w:color="auto"/>
            </w:tcBorders>
            <w:gridSpan w:val="3"/>
          </w:tcPr>
          <w:p>
            <w:pPr>
              <w:spacing w:after="0"/>
              <w:rPr>
                <w:sz w:val="12"/>
                <w:szCs w:val="12"/>
                <w:color w:val="auto"/>
              </w:rPr>
            </w:pPr>
          </w:p>
        </w:tc>
      </w:tr>
      <w:tr>
        <w:trPr>
          <w:trHeight w:val="333"/>
        </w:trPr>
        <w:tc>
          <w:tcPr>
            <w:tcW w:w="5040" w:type="dxa"/>
            <w:vAlign w:val="bottom"/>
            <w:gridSpan w:val="3"/>
          </w:tcPr>
          <w:p>
            <w:pPr>
              <w:spacing w:after="0"/>
              <w:rPr>
                <w:sz w:val="20"/>
                <w:szCs w:val="20"/>
                <w:color w:val="auto"/>
              </w:rPr>
            </w:pPr>
            <w:r>
              <w:rPr>
                <w:rFonts w:ascii="Arial" w:cs="Arial" w:eastAsia="Arial" w:hAnsi="Arial"/>
                <w:sz w:val="14"/>
                <w:szCs w:val="14"/>
                <w:b w:val="1"/>
                <w:bCs w:val="1"/>
                <w:color w:val="C04C57"/>
              </w:rPr>
              <w:t>Regeneron Securities Beneficially Owned as of April 14, 2020</w:t>
            </w:r>
          </w:p>
        </w:tc>
      </w:tr>
      <w:tr>
        <w:trPr>
          <w:trHeight w:val="324"/>
        </w:trPr>
        <w:tc>
          <w:tcPr>
            <w:tcW w:w="1520" w:type="dxa"/>
            <w:vAlign w:val="bottom"/>
          </w:tcPr>
          <w:p>
            <w:pPr>
              <w:spacing w:after="0"/>
              <w:rPr>
                <w:sz w:val="20"/>
                <w:szCs w:val="20"/>
                <w:color w:val="auto"/>
              </w:rPr>
            </w:pPr>
            <w:r>
              <w:rPr>
                <w:rFonts w:ascii="Arial" w:cs="Arial" w:eastAsia="Arial" w:hAnsi="Arial"/>
                <w:sz w:val="14"/>
                <w:szCs w:val="14"/>
                <w:color w:val="231F20"/>
              </w:rPr>
              <w:t>Common Stock</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2952A4"/>
              </w:rPr>
              <w:t>0</w:t>
            </w:r>
          </w:p>
        </w:tc>
        <w:tc>
          <w:tcPr>
            <w:tcW w:w="222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4"/>
                <w:szCs w:val="14"/>
                <w:color w:val="231F20"/>
              </w:rPr>
              <w:t>Options</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2952A4"/>
              </w:rPr>
              <w:t>28,465</w:t>
            </w:r>
          </w:p>
        </w:tc>
        <w:tc>
          <w:tcPr>
            <w:tcW w:w="222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4"/>
                <w:szCs w:val="14"/>
                <w:color w:val="231F20"/>
              </w:rPr>
              <w:t>RSUs</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2952A4"/>
              </w:rPr>
              <w:t>465</w:t>
            </w:r>
          </w:p>
        </w:tc>
        <w:tc>
          <w:tcPr>
            <w:tcW w:w="2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127635</wp:posOffset>
            </wp:positionV>
            <wp:extent cx="771525"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405"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13</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4" w:name="page25"/>
    <w:bookmarkEnd w:id="24"/>
    <w:p>
      <w:pPr>
        <w:ind w:left="158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1580"/>
        <w:spacing w:after="0"/>
        <w:rPr>
          <w:sz w:val="20"/>
          <w:szCs w:val="20"/>
          <w:color w:val="auto"/>
        </w:rPr>
      </w:pPr>
      <w:r>
        <w:rPr>
          <w:rFonts w:ascii="Arial" w:cs="Arial" w:eastAsia="Arial" w:hAnsi="Arial"/>
          <w:sz w:val="32"/>
          <w:szCs w:val="32"/>
          <w:b w:val="1"/>
          <w:bCs w:val="1"/>
          <w:color w:val="C04C57"/>
        </w:rPr>
        <w:t>NOMINEE FOR CLASS III DIRECTOR</w:t>
      </w:r>
    </w:p>
    <w:p>
      <w:pPr>
        <w:spacing w:after="0" w:line="50" w:lineRule="exact"/>
        <w:rPr>
          <w:sz w:val="20"/>
          <w:szCs w:val="20"/>
          <w:color w:val="auto"/>
        </w:rPr>
      </w:pPr>
    </w:p>
    <w:p>
      <w:pPr>
        <w:ind w:left="1580" w:right="2180"/>
        <w:spacing w:after="0" w:line="253" w:lineRule="auto"/>
        <w:rPr>
          <w:sz w:val="20"/>
          <w:szCs w:val="20"/>
          <w:color w:val="auto"/>
        </w:rPr>
      </w:pPr>
      <w:r>
        <w:rPr>
          <w:rFonts w:ascii="Arial" w:cs="Arial" w:eastAsia="Arial" w:hAnsi="Arial"/>
          <w:sz w:val="32"/>
          <w:szCs w:val="32"/>
          <w:b w:val="1"/>
          <w:bCs w:val="1"/>
          <w:color w:val="C04C57"/>
        </w:rPr>
        <w:t>FOR ELECTION AT THE 2020 ANNUAL MEETING FOR A TERM EXPIRING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-20320</wp:posOffset>
            </wp:positionV>
            <wp:extent cx="50831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8317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90170</wp:posOffset>
            </wp:positionV>
            <wp:extent cx="5083175"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186"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N. ANTHONY COLES, M.D.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-1537970</wp:posOffset>
            </wp:positionV>
            <wp:extent cx="1080135" cy="10801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59</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jc w:val="center"/>
        <w:ind w:left="760"/>
        <w:spacing w:after="0"/>
        <w:rPr>
          <w:sz w:val="20"/>
          <w:szCs w:val="20"/>
          <w:color w:val="auto"/>
        </w:rPr>
      </w:pPr>
      <w:r>
        <w:rPr>
          <w:rFonts w:ascii="Arial" w:cs="Arial" w:eastAsia="Arial" w:hAnsi="Arial"/>
          <w:sz w:val="14"/>
          <w:szCs w:val="14"/>
          <w:b w:val="1"/>
          <w:bCs w:val="1"/>
          <w:color w:val="2952A4"/>
        </w:rPr>
        <w:t>Other Public Boards</w:t>
      </w:r>
    </w:p>
    <w:p>
      <w:pPr>
        <w:spacing w:after="0" w:line="118" w:lineRule="exact"/>
        <w:rPr>
          <w:sz w:val="20"/>
          <w:szCs w:val="20"/>
          <w:color w:val="auto"/>
        </w:rPr>
      </w:pPr>
    </w:p>
    <w:p>
      <w:pPr>
        <w:ind w:left="1740" w:hanging="166"/>
        <w:spacing w:after="0"/>
        <w:tabs>
          <w:tab w:leader="none" w:pos="1740" w:val="left"/>
        </w:tabs>
        <w:numPr>
          <w:ilvl w:val="0"/>
          <w:numId w:val="30"/>
        </w:numPr>
        <w:rPr>
          <w:rFonts w:ascii="Arial" w:cs="Arial" w:eastAsia="Arial" w:hAnsi="Arial"/>
          <w:sz w:val="14"/>
          <w:szCs w:val="14"/>
          <w:color w:val="2952A4"/>
        </w:rPr>
      </w:pPr>
      <w:r>
        <w:rPr>
          <w:rFonts w:ascii="Arial" w:cs="Arial" w:eastAsia="Arial" w:hAnsi="Arial"/>
          <w:sz w:val="14"/>
          <w:szCs w:val="14"/>
          <w:color w:val="231F20"/>
        </w:rPr>
        <w:t>McKesson Corporation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42" w:lineRule="auto"/>
        <w:rPr>
          <w:sz w:val="20"/>
          <w:szCs w:val="20"/>
          <w:color w:val="auto"/>
        </w:rPr>
      </w:pPr>
      <w:r>
        <w:rPr>
          <w:rFonts w:ascii="Arial" w:cs="Arial" w:eastAsia="Arial" w:hAnsi="Arial"/>
          <w:sz w:val="14"/>
          <w:szCs w:val="14"/>
          <w:color w:val="231F20"/>
        </w:rPr>
        <w:t>Dr. Coles has served as the Executive Chairman and Chief Executive Officer of Cerevel Therapeutics, LLC, a Bain-portfolio biotechnology company specializing in the development of new therapies for diseases of the central nervous system, since 2019. Previously, from 2014 to 2019, Dr. Coles served as Chief Executive Officer of Yumanity Therapeutics, LLC, a private company focused on transforming drug discovery for neurodegenerative diseases, and continues to serve as the Executive Chairman of the Board. From 2013 to 2014, Dr. Coles served as Chairman and CEO of TRATE Enterprises LLC, a privately held company. Dr. Coles served as President, Chief Executive Officer and Chairman of the Board of Onyx Pharmaceuticals, Inc., a biopharmaceutical company, from 2012 until 2013, having served as its President, Chief Executive Officer, and a member of its board of directors from 2008 until 2012. Prior to joining Onyx in 2008, he was President, Chief Executive Officer, and a member of the board of directors of NPS Pharmaceuticals, Inc., a biopharmaceutical company. Before joining NPS in 2005, he served in various leadership positions in the biopharmaceutical and pharmaceutical industries, including at Merck &amp; Co., Inc., Bristol-Myers Squibb Company, and Vertex Pharmaceuticals Incorporated. In addition to having previously served as a director of Onyx and NPS, he was formerly a director of Laboratory Corporation of America Holdings, Campus Crest Communities, Inc., and CRISPR Therapeutics AG.</w:t>
      </w:r>
    </w:p>
    <w:p>
      <w:pPr>
        <w:spacing w:after="0" w:line="317" w:lineRule="exact"/>
        <w:rPr>
          <w:sz w:val="20"/>
          <w:szCs w:val="20"/>
          <w:color w:val="auto"/>
        </w:rPr>
      </w:pPr>
    </w:p>
    <w:p>
      <w:pPr>
        <w:ind w:right="1660"/>
        <w:spacing w:after="0" w:line="233" w:lineRule="auto"/>
        <w:rPr>
          <w:sz w:val="20"/>
          <w:szCs w:val="20"/>
          <w:color w:val="auto"/>
        </w:rPr>
      </w:pPr>
      <w:r>
        <w:rPr>
          <w:rFonts w:ascii="Arial" w:cs="Arial" w:eastAsia="Arial" w:hAnsi="Arial"/>
          <w:sz w:val="15"/>
          <w:szCs w:val="15"/>
          <w:color w:val="231F20"/>
        </w:rPr>
        <w:t>Dr. Coles has been a director of McKesson Corporation since April 2014 and serves on the Compensation Committee and the Finance Committee of its board of directors.</w:t>
      </w:r>
    </w:p>
    <w:p>
      <w:pPr>
        <w:spacing w:after="0" w:line="146" w:lineRule="exact"/>
        <w:rPr>
          <w:sz w:val="20"/>
          <w:szCs w:val="20"/>
          <w:color w:val="auto"/>
        </w:rPr>
      </w:pPr>
    </w:p>
    <w:p>
      <w:pPr>
        <w:ind w:right="1680"/>
        <w:spacing w:after="0" w:line="247" w:lineRule="auto"/>
        <w:rPr>
          <w:sz w:val="20"/>
          <w:szCs w:val="20"/>
          <w:color w:val="auto"/>
        </w:rPr>
      </w:pPr>
      <w:r>
        <w:rPr>
          <w:rFonts w:ascii="Arial" w:cs="Arial" w:eastAsia="Arial" w:hAnsi="Arial"/>
          <w:sz w:val="14"/>
          <w:szCs w:val="14"/>
          <w:color w:val="231F20"/>
        </w:rPr>
        <w:t>The experience of Dr. Coles as a seasoned executive and corporate director with extensive knowledge of highly regulated biopharmaceutical and pharmaceutical companies, as well as his in-depth knowledge and understanding of the regulatory environment in which Regeneron operates, led to the board’s decision to nominate Dr. Coles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31972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5"/>
                <w:szCs w:val="15"/>
                <w:color w:val="231F20"/>
              </w:rPr>
              <w:t>Board of Directors</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2952A4"/>
              </w:rPr>
              <w:t>5/6</w:t>
            </w:r>
          </w:p>
        </w:tc>
      </w:tr>
      <w:tr>
        <w:trPr>
          <w:trHeight w:val="324"/>
        </w:trPr>
        <w:tc>
          <w:tcPr>
            <w:tcW w:w="1640" w:type="dxa"/>
            <w:vAlign w:val="bottom"/>
          </w:tcPr>
          <w:p>
            <w:pPr>
              <w:spacing w:after="0"/>
              <w:rPr>
                <w:sz w:val="20"/>
                <w:szCs w:val="20"/>
                <w:color w:val="auto"/>
              </w:rPr>
            </w:pPr>
            <w:r>
              <w:rPr>
                <w:rFonts w:ascii="Arial" w:cs="Arial" w:eastAsia="Arial" w:hAnsi="Arial"/>
                <w:sz w:val="15"/>
                <w:szCs w:val="15"/>
                <w:color w:val="231F20"/>
              </w:rPr>
              <w:t>Audit Committee</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2952A4"/>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Results—2017</w:t>
      </w:r>
    </w:p>
    <w:p>
      <w:pPr>
        <w:spacing w:after="0" w:line="159"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99.7%</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405" w:right="339" w:bottom="1440" w:gutter="0" w:footer="0" w:header="0"/>
          <w:type w:val="continuous"/>
        </w:sectPr>
      </w:pPr>
    </w:p>
    <w:p>
      <w:pPr>
        <w:spacing w:after="0" w:line="131"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Common Stock Beneficially Owned as of April 14,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Common Stock</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0</w:t>
            </w:r>
          </w:p>
        </w:tc>
      </w:tr>
      <w:tr>
        <w:trPr>
          <w:trHeight w:val="324"/>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Options</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23,370</w:t>
            </w:r>
          </w:p>
        </w:tc>
      </w:tr>
      <w:tr>
        <w:trPr>
          <w:trHeight w:val="324"/>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RSUs</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465</w:t>
            </w:r>
          </w:p>
        </w:tc>
      </w:tr>
      <w:tr>
        <w:trPr>
          <w:trHeight w:val="403"/>
        </w:trPr>
        <w:tc>
          <w:tcPr>
            <w:tcW w:w="3060" w:type="dxa"/>
            <w:vAlign w:val="bottom"/>
          </w:tcPr>
          <w:p>
            <w:pPr>
              <w:jc w:val="right"/>
              <w:ind w:right="1408"/>
              <w:spacing w:after="0"/>
              <w:rPr>
                <w:sz w:val="20"/>
                <w:szCs w:val="20"/>
                <w:color w:val="auto"/>
              </w:rPr>
            </w:pPr>
            <w:r>
              <w:rPr>
                <w:rFonts w:ascii="Arial" w:cs="Arial" w:eastAsia="Arial" w:hAnsi="Arial"/>
                <w:sz w:val="14"/>
                <w:szCs w:val="14"/>
                <w:b w:val="1"/>
                <w:bCs w:val="1"/>
                <w:color w:val="00A5EC"/>
              </w:rPr>
              <w:t xml:space="preserve">14  </w:t>
            </w:r>
            <w:r>
              <w:rPr>
                <w:rFonts w:ascii="Arial" w:cs="Arial" w:eastAsia="Arial" w:hAnsi="Arial"/>
                <w:sz w:val="14"/>
                <w:szCs w:val="14"/>
                <w:color w:val="00A5EC"/>
              </w:rPr>
              <w:t>/</w:t>
            </w:r>
          </w:p>
        </w:tc>
        <w:tc>
          <w:tcPr>
            <w:tcW w:w="8180" w:type="dxa"/>
            <w:vAlign w:val="bottom"/>
            <w:gridSpan w:val="2"/>
          </w:tcPr>
          <w:p>
            <w:pPr>
              <w:ind w:left="186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r>
      <w:tr>
        <w:trPr>
          <w:trHeight w:val="262"/>
        </w:trPr>
        <w:tc>
          <w:tcPr>
            <w:tcW w:w="3060" w:type="dxa"/>
            <w:vAlign w:val="bottom"/>
            <w:tcBorders>
              <w:bottom w:val="single" w:sz="8" w:color="C0C0C0"/>
            </w:tcBorders>
          </w:tcPr>
          <w:p>
            <w:pPr>
              <w:spacing w:after="0"/>
              <w:rPr>
                <w:sz w:val="22"/>
                <w:szCs w:val="22"/>
                <w:color w:val="auto"/>
              </w:rPr>
            </w:pPr>
          </w:p>
        </w:tc>
        <w:tc>
          <w:tcPr>
            <w:tcW w:w="2780" w:type="dxa"/>
            <w:vAlign w:val="bottom"/>
            <w:tcBorders>
              <w:bottom w:val="single" w:sz="8" w:color="C0C0C0"/>
            </w:tcBorders>
          </w:tcPr>
          <w:p>
            <w:pPr>
              <w:spacing w:after="0"/>
              <w:rPr>
                <w:sz w:val="22"/>
                <w:szCs w:val="22"/>
                <w:color w:val="auto"/>
              </w:rPr>
            </w:pPr>
          </w:p>
        </w:tc>
        <w:tc>
          <w:tcPr>
            <w:tcW w:w="54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-307975</wp:posOffset>
            </wp:positionV>
            <wp:extent cx="771525"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25" w:name="page26"/>
    <w:bookmarkEnd w:id="25"/>
    <w:p>
      <w:pPr>
        <w:ind w:left="604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1580" w:right="2180"/>
        <w:spacing w:after="0" w:line="286" w:lineRule="auto"/>
        <w:rPr>
          <w:sz w:val="20"/>
          <w:szCs w:val="20"/>
          <w:color w:val="auto"/>
        </w:rPr>
      </w:pPr>
      <w:r>
        <w:rPr>
          <w:rFonts w:ascii="Arial" w:cs="Arial" w:eastAsia="Arial" w:hAnsi="Arial"/>
          <w:sz w:val="32"/>
          <w:szCs w:val="32"/>
          <w:b w:val="1"/>
          <w:bCs w:val="1"/>
          <w:color w:val="C04C57"/>
        </w:rPr>
        <w:t>CLASS III DIRECTORS CONTINUING IN OFFICE TERM EXPIRES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-53340</wp:posOffset>
            </wp:positionV>
            <wp:extent cx="50831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8317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57785</wp:posOffset>
            </wp:positionV>
            <wp:extent cx="5083175"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p>
      <w:pPr>
        <w:spacing w:after="0" w:line="155"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187960</wp:posOffset>
            </wp:positionV>
            <wp:extent cx="1080135" cy="10801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2003</w:t>
      </w:r>
    </w:p>
    <w:p>
      <w:pPr>
        <w:spacing w:after="0" w:line="84"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77</w:t>
      </w:r>
    </w:p>
    <w:p>
      <w:pPr>
        <w:spacing w:after="0" w:line="84"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2952A4"/>
        </w:rPr>
        <w:t>Other Public Boards</w:t>
      </w:r>
    </w:p>
    <w:p>
      <w:pPr>
        <w:spacing w:after="0" w:line="118" w:lineRule="exact"/>
        <w:rPr>
          <w:sz w:val="20"/>
          <w:szCs w:val="20"/>
          <w:color w:val="auto"/>
        </w:rPr>
      </w:pPr>
    </w:p>
    <w:p>
      <w:pPr>
        <w:ind w:left="1740" w:hanging="166"/>
        <w:spacing w:after="0" w:line="258" w:lineRule="auto"/>
        <w:tabs>
          <w:tab w:leader="none" w:pos="1740" w:val="left"/>
        </w:tabs>
        <w:numPr>
          <w:ilvl w:val="0"/>
          <w:numId w:val="31"/>
        </w:numPr>
        <w:rPr>
          <w:rFonts w:ascii="Arial" w:cs="Arial" w:eastAsia="Arial" w:hAnsi="Arial"/>
          <w:sz w:val="14"/>
          <w:szCs w:val="14"/>
          <w:color w:val="2952A4"/>
        </w:rPr>
      </w:pPr>
      <w:r>
        <w:rPr>
          <w:rFonts w:ascii="Arial" w:cs="Arial" w:eastAsia="Arial" w:hAnsi="Arial"/>
          <w:sz w:val="14"/>
          <w:szCs w:val="14"/>
          <w:color w:val="231F20"/>
        </w:rPr>
        <w:t>Citizens Financial Group, Inc. (until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In 2008, Mr. Ryan retired as the Chairman of the Board of Prudential Financial, Inc., one of the largest diversified financial institutions in the world. He served as Chief Executive Officer of Prudential until 2007. Prior to joining Prudential in 1994, Mr. Ryan served as President and Chief Operating Officer of Chase Manhattan Bank since 1990. Mr. Ryan managed Chase’s worldwide retail bank between 1984 and 1990. From 2008 to 2013, Mr. Ryan served as a non-executive director of the Royal Bank of Scotland Group plc. From 2009 to 2019, Mr. Ryan served as a director of Citizens Financial Group, Inc., a retail bank holding company that became publicly traded in 2014, and also served as its lead director, chair of the Compensation and Human Resources Committee, and a member of the Nominating and Corporate Governance Committee.</w:t>
      </w:r>
    </w:p>
    <w:p>
      <w:pPr>
        <w:spacing w:after="0" w:line="148" w:lineRule="exact"/>
        <w:rPr>
          <w:sz w:val="20"/>
          <w:szCs w:val="20"/>
          <w:color w:val="auto"/>
        </w:rPr>
      </w:pPr>
    </w:p>
    <w:p>
      <w:pPr>
        <w:ind w:right="1800"/>
        <w:spacing w:after="0" w:line="231" w:lineRule="auto"/>
        <w:rPr>
          <w:sz w:val="20"/>
          <w:szCs w:val="20"/>
          <w:color w:val="auto"/>
        </w:rPr>
      </w:pPr>
      <w:r>
        <w:rPr>
          <w:rFonts w:ascii="Arial" w:cs="Arial" w:eastAsia="Arial" w:hAnsi="Arial"/>
          <w:sz w:val="15"/>
          <w:szCs w:val="15"/>
          <w:color w:val="231F20"/>
        </w:rPr>
        <w:t>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Pr>
          <w:p>
            <w:pPr>
              <w:spacing w:after="0"/>
              <w:rPr>
                <w:sz w:val="20"/>
                <w:szCs w:val="20"/>
                <w:color w:val="auto"/>
              </w:rPr>
            </w:pPr>
            <w:r>
              <w:rPr>
                <w:rFonts w:ascii="Arial" w:cs="Arial" w:eastAsia="Arial" w:hAnsi="Arial"/>
                <w:sz w:val="15"/>
                <w:szCs w:val="15"/>
                <w:color w:val="231F20"/>
              </w:rPr>
              <w:t>Board of Directors</w:t>
            </w:r>
          </w:p>
        </w:tc>
        <w:tc>
          <w:tcPr>
            <w:tcW w:w="3660" w:type="dxa"/>
            <w:vAlign w:val="bottom"/>
          </w:tcPr>
          <w:p>
            <w:pPr>
              <w:jc w:val="right"/>
              <w:ind w:right="1126"/>
              <w:spacing w:after="0"/>
              <w:rPr>
                <w:sz w:val="20"/>
                <w:szCs w:val="20"/>
                <w:color w:val="auto"/>
              </w:rPr>
            </w:pPr>
            <w:r>
              <w:rPr>
                <w:rFonts w:ascii="Arial" w:cs="Arial" w:eastAsia="Arial" w:hAnsi="Arial"/>
                <w:sz w:val="15"/>
                <w:szCs w:val="15"/>
                <w:b w:val="1"/>
                <w:bCs w:val="1"/>
                <w:color w:val="2952A4"/>
              </w:rPr>
              <w:t>6/6</w:t>
            </w:r>
          </w:p>
        </w:tc>
      </w:tr>
      <w:tr>
        <w:trPr>
          <w:trHeight w:val="324"/>
        </w:trPr>
        <w:tc>
          <w:tcPr>
            <w:tcW w:w="1380" w:type="dxa"/>
            <w:vAlign w:val="bottom"/>
          </w:tcPr>
          <w:p>
            <w:pPr>
              <w:spacing w:after="0"/>
              <w:rPr>
                <w:sz w:val="20"/>
                <w:szCs w:val="20"/>
                <w:color w:val="auto"/>
              </w:rPr>
            </w:pPr>
            <w:r>
              <w:rPr>
                <w:rFonts w:ascii="Arial" w:cs="Arial" w:eastAsia="Arial" w:hAnsi="Arial"/>
                <w:sz w:val="15"/>
                <w:szCs w:val="15"/>
                <w:color w:val="231F20"/>
              </w:rPr>
              <w:t>Audit Committee</w:t>
            </w:r>
          </w:p>
        </w:tc>
        <w:tc>
          <w:tcPr>
            <w:tcW w:w="3660" w:type="dxa"/>
            <w:vAlign w:val="bottom"/>
          </w:tcPr>
          <w:p>
            <w:pPr>
              <w:jc w:val="right"/>
              <w:ind w:right="1126"/>
              <w:spacing w:after="0"/>
              <w:rPr>
                <w:sz w:val="20"/>
                <w:szCs w:val="20"/>
                <w:color w:val="auto"/>
              </w:rPr>
            </w:pPr>
            <w:r>
              <w:rPr>
                <w:rFonts w:ascii="Arial" w:cs="Arial" w:eastAsia="Arial" w:hAnsi="Arial"/>
                <w:sz w:val="15"/>
                <w:szCs w:val="15"/>
                <w:b w:val="1"/>
                <w:bCs w:val="1"/>
                <w:color w:val="2952A4"/>
              </w:rPr>
              <w:t>9/9</w:t>
            </w:r>
          </w:p>
        </w:tc>
      </w:tr>
      <w:tr>
        <w:trPr>
          <w:trHeight w:val="290"/>
        </w:trPr>
        <w:tc>
          <w:tcPr>
            <w:tcW w:w="5040" w:type="dxa"/>
            <w:vAlign w:val="bottom"/>
            <w:gridSpan w:val="2"/>
          </w:tcPr>
          <w:p>
            <w:pPr>
              <w:spacing w:after="0"/>
              <w:rPr>
                <w:sz w:val="20"/>
                <w:szCs w:val="20"/>
                <w:color w:val="auto"/>
              </w:rPr>
            </w:pPr>
            <w:r>
              <w:rPr>
                <w:rFonts w:ascii="Arial" w:cs="Arial" w:eastAsia="Arial" w:hAnsi="Arial"/>
                <w:sz w:val="15"/>
                <w:szCs w:val="15"/>
                <w:color w:val="231F20"/>
              </w:rPr>
              <w:t>Corporate Governance and Compliance Committee</w:t>
            </w:r>
          </w:p>
        </w:tc>
      </w:tr>
      <w:tr>
        <w:trPr>
          <w:trHeight w:val="196"/>
        </w:trPr>
        <w:tc>
          <w:tcPr>
            <w:tcW w:w="1380" w:type="dxa"/>
            <w:vAlign w:val="bottom"/>
          </w:tcPr>
          <w:p>
            <w:pPr>
              <w:ind w:left="180"/>
              <w:spacing w:after="0"/>
              <w:rPr>
                <w:sz w:val="20"/>
                <w:szCs w:val="20"/>
                <w:color w:val="auto"/>
              </w:rPr>
            </w:pPr>
            <w:r>
              <w:rPr>
                <w:rFonts w:ascii="Arial" w:cs="Arial" w:eastAsia="Arial" w:hAnsi="Arial"/>
                <w:sz w:val="15"/>
                <w:szCs w:val="15"/>
                <w:color w:val="231F20"/>
              </w:rPr>
              <w:t>(Chairman)</w:t>
            </w:r>
          </w:p>
        </w:tc>
        <w:tc>
          <w:tcPr>
            <w:tcW w:w="3660" w:type="dxa"/>
            <w:vAlign w:val="bottom"/>
          </w:tcPr>
          <w:p>
            <w:pPr>
              <w:jc w:val="right"/>
              <w:ind w:right="1126"/>
              <w:spacing w:after="0"/>
              <w:rPr>
                <w:sz w:val="20"/>
                <w:szCs w:val="20"/>
                <w:color w:val="auto"/>
              </w:rPr>
            </w:pPr>
            <w:r>
              <w:rPr>
                <w:rFonts w:ascii="Arial" w:cs="Arial" w:eastAsia="Arial" w:hAnsi="Arial"/>
                <w:sz w:val="15"/>
                <w:szCs w:val="15"/>
                <w:b w:val="1"/>
                <w:bCs w:val="1"/>
                <w:color w:val="2952A4"/>
              </w:rPr>
              <w:t>5/5</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Results—2018</w:t>
            </w:r>
          </w:p>
        </w:tc>
      </w:tr>
      <w:tr>
        <w:trPr>
          <w:trHeight w:val="326"/>
        </w:trPr>
        <w:tc>
          <w:tcPr>
            <w:tcW w:w="1380" w:type="dxa"/>
            <w:vAlign w:val="bottom"/>
          </w:tcPr>
          <w:p>
            <w:pPr>
              <w:spacing w:after="0"/>
              <w:rPr>
                <w:sz w:val="20"/>
                <w:szCs w:val="20"/>
                <w:color w:val="auto"/>
              </w:rPr>
            </w:pPr>
            <w:r>
              <w:rPr>
                <w:rFonts w:ascii="Arial" w:cs="Arial" w:eastAsia="Arial" w:hAnsi="Arial"/>
                <w:sz w:val="15"/>
                <w:szCs w:val="15"/>
                <w:color w:val="231F20"/>
              </w:rPr>
              <w:t>For</w:t>
            </w:r>
          </w:p>
        </w:tc>
        <w:tc>
          <w:tcPr>
            <w:tcW w:w="3660" w:type="dxa"/>
            <w:vAlign w:val="bottom"/>
          </w:tcPr>
          <w:p>
            <w:pPr>
              <w:jc w:val="right"/>
              <w:ind w:right="2966"/>
              <w:spacing w:after="0"/>
              <w:rPr>
                <w:sz w:val="20"/>
                <w:szCs w:val="20"/>
                <w:color w:val="auto"/>
              </w:rPr>
            </w:pPr>
            <w:r>
              <w:rPr>
                <w:rFonts w:ascii="Arial" w:cs="Arial" w:eastAsia="Arial" w:hAnsi="Arial"/>
                <w:sz w:val="15"/>
                <w:szCs w:val="15"/>
                <w:b w:val="1"/>
                <w:bCs w:val="1"/>
                <w:color w:val="2952A4"/>
              </w:rPr>
              <w:t>88.8%</w:t>
            </w:r>
          </w:p>
        </w:tc>
      </w:tr>
      <w:tr>
        <w:trPr>
          <w:trHeight w:val="324"/>
        </w:trPr>
        <w:tc>
          <w:tcPr>
            <w:tcW w:w="1380" w:type="dxa"/>
            <w:vAlign w:val="bottom"/>
          </w:tcPr>
          <w:p>
            <w:pPr>
              <w:spacing w:after="0"/>
              <w:rPr>
                <w:sz w:val="20"/>
                <w:szCs w:val="20"/>
                <w:color w:val="auto"/>
              </w:rPr>
            </w:pPr>
            <w:r>
              <w:rPr>
                <w:rFonts w:ascii="Arial" w:cs="Arial" w:eastAsia="Arial" w:hAnsi="Arial"/>
                <w:sz w:val="15"/>
                <w:szCs w:val="15"/>
                <w:color w:val="231F20"/>
              </w:rPr>
              <w:t>Against</w:t>
            </w:r>
          </w:p>
        </w:tc>
        <w:tc>
          <w:tcPr>
            <w:tcW w:w="3660" w:type="dxa"/>
            <w:vAlign w:val="bottom"/>
          </w:tcPr>
          <w:p>
            <w:pPr>
              <w:jc w:val="right"/>
              <w:ind w:right="2966"/>
              <w:spacing w:after="0"/>
              <w:rPr>
                <w:sz w:val="20"/>
                <w:szCs w:val="20"/>
                <w:color w:val="auto"/>
              </w:rPr>
            </w:pPr>
            <w:r>
              <w:rPr>
                <w:rFonts w:ascii="Arial" w:cs="Arial" w:eastAsia="Arial" w:hAnsi="Arial"/>
                <w:sz w:val="15"/>
                <w:szCs w:val="15"/>
                <w:b w:val="1"/>
                <w:bCs w:val="1"/>
                <w:color w:val="2952A4"/>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gridSpan w:val="2"/>
          </w:tcPr>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14, 2020</w:t>
            </w:r>
          </w:p>
        </w:tc>
        <w:tc>
          <w:tcPr>
            <w:tcW w:w="2040" w:type="dxa"/>
            <w:vAlign w:val="bottom"/>
          </w:tcPr>
          <w:p>
            <w:pPr>
              <w:spacing w:after="0"/>
              <w:rPr>
                <w:sz w:val="16"/>
                <w:szCs w:val="16"/>
                <w:color w:val="auto"/>
              </w:rPr>
            </w:pPr>
          </w:p>
        </w:tc>
      </w:tr>
      <w:tr>
        <w:trPr>
          <w:trHeight w:val="326"/>
        </w:trPr>
        <w:tc>
          <w:tcPr>
            <w:tcW w:w="584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28,300</w:t>
            </w:r>
          </w:p>
        </w:tc>
        <w:tc>
          <w:tcPr>
            <w:tcW w:w="2040" w:type="dxa"/>
            <w:vAlign w:val="bottom"/>
          </w:tcPr>
          <w:p>
            <w:pPr>
              <w:spacing w:after="0"/>
              <w:rPr>
                <w:sz w:val="24"/>
                <w:szCs w:val="24"/>
                <w:color w:val="auto"/>
              </w:rPr>
            </w:pPr>
          </w:p>
        </w:tc>
      </w:tr>
      <w:tr>
        <w:trPr>
          <w:trHeight w:val="324"/>
        </w:trPr>
        <w:tc>
          <w:tcPr>
            <w:tcW w:w="584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52,054</w:t>
            </w:r>
          </w:p>
        </w:tc>
        <w:tc>
          <w:tcPr>
            <w:tcW w:w="2040" w:type="dxa"/>
            <w:vAlign w:val="bottom"/>
          </w:tcPr>
          <w:p>
            <w:pPr>
              <w:spacing w:after="0"/>
              <w:rPr>
                <w:sz w:val="24"/>
                <w:szCs w:val="24"/>
                <w:color w:val="auto"/>
              </w:rPr>
            </w:pPr>
          </w:p>
        </w:tc>
      </w:tr>
      <w:tr>
        <w:trPr>
          <w:trHeight w:val="324"/>
        </w:trPr>
        <w:tc>
          <w:tcPr>
            <w:tcW w:w="5840" w:type="dxa"/>
            <w:vAlign w:val="bottom"/>
          </w:tcPr>
          <w:p>
            <w:pPr>
              <w:ind w:left="4540"/>
              <w:spacing w:after="0"/>
              <w:rPr>
                <w:sz w:val="20"/>
                <w:szCs w:val="20"/>
                <w:color w:val="auto"/>
              </w:rPr>
            </w:pPr>
            <w:r>
              <w:rPr>
                <w:rFonts w:ascii="Arial" w:cs="Arial" w:eastAsia="Arial" w:hAnsi="Arial"/>
                <w:sz w:val="15"/>
                <w:szCs w:val="15"/>
                <w:color w:val="231F20"/>
              </w:rPr>
              <w:t>RSUs</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465</w:t>
            </w:r>
          </w:p>
        </w:tc>
        <w:tc>
          <w:tcPr>
            <w:tcW w:w="2040" w:type="dxa"/>
            <w:vAlign w:val="bottom"/>
          </w:tcPr>
          <w:p>
            <w:pPr>
              <w:spacing w:after="0"/>
              <w:rPr>
                <w:sz w:val="24"/>
                <w:szCs w:val="24"/>
                <w:color w:val="auto"/>
              </w:rPr>
            </w:pPr>
          </w:p>
        </w:tc>
      </w:tr>
      <w:tr>
        <w:trPr>
          <w:trHeight w:val="403"/>
        </w:trPr>
        <w:tc>
          <w:tcPr>
            <w:tcW w:w="9200" w:type="dxa"/>
            <w:vAlign w:val="bottom"/>
            <w:gridSpan w:val="2"/>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20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15</w:t>
            </w:r>
          </w:p>
        </w:tc>
      </w:tr>
      <w:tr>
        <w:trPr>
          <w:trHeight w:val="262"/>
        </w:trPr>
        <w:tc>
          <w:tcPr>
            <w:tcW w:w="584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204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-307975</wp:posOffset>
            </wp:positionV>
            <wp:extent cx="771525"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26" w:name="page27"/>
    <w:bookmarkEnd w:id="26"/>
    <w:p>
      <w:pPr>
        <w:ind w:left="46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160655</wp:posOffset>
            </wp:positionV>
            <wp:extent cx="5083175"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17" w:lineRule="exact"/>
        <w:rPr>
          <w:sz w:val="20"/>
          <w:szCs w:val="20"/>
          <w:color w:val="auto"/>
        </w:rPr>
      </w:pPr>
    </w:p>
    <w:p>
      <w:pPr>
        <w:jc w:val="right"/>
        <w:ind w:right="80"/>
        <w:spacing w:after="0"/>
        <w:rPr>
          <w:sz w:val="20"/>
          <w:szCs w:val="20"/>
          <w:color w:val="auto"/>
        </w:rPr>
      </w:pPr>
      <w:r>
        <w:rPr>
          <w:rFonts w:ascii="Arial" w:cs="Arial" w:eastAsia="Arial" w:hAnsi="Arial"/>
          <w:sz w:val="25"/>
          <w:szCs w:val="25"/>
          <w:b w:val="1"/>
          <w:bCs w:val="1"/>
          <w:color w:val="FFFFFF"/>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187960</wp:posOffset>
            </wp:positionV>
            <wp:extent cx="1080135" cy="10801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1988</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70</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2327275</wp:posOffset>
            </wp:positionV>
            <wp:extent cx="771525"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16  </w:t>
      </w:r>
      <w:r>
        <w:rPr>
          <w:rFonts w:ascii="Arial" w:cs="Arial" w:eastAsia="Arial" w:hAnsi="Arial"/>
          <w:sz w:val="14"/>
          <w:szCs w:val="14"/>
          <w:color w:val="00A5EC"/>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579"/>
        <w:spacing w:after="0" w:line="228" w:lineRule="auto"/>
        <w:rPr>
          <w:sz w:val="20"/>
          <w:szCs w:val="20"/>
          <w:color w:val="auto"/>
        </w:rPr>
      </w:pPr>
      <w:r>
        <w:rPr>
          <w:rFonts w:ascii="Arial" w:cs="Arial" w:eastAsia="Arial" w:hAnsi="Arial"/>
          <w:sz w:val="15"/>
          <w:szCs w:val="15"/>
          <w:color w:val="231F20"/>
        </w:rPr>
        <w:t>Since 1998, Mr. Sing has been a Managing Director of Lancet Capital, a venture capital investment firm in the healthcare field. In addition, since 2016, Mr. Sing has served as Chief Executive Officer of GanD, Inc., a biomedical drug development company. From 2004 to 2015, Mr. Sing served as Chief Executive Officer of Stemnion, Inc. (currently known as Noveome Biotherapeutics, Inc.), a biomedical company in the regenerative medicine field.</w:t>
      </w:r>
    </w:p>
    <w:p>
      <w:pPr>
        <w:spacing w:after="0" w:line="149" w:lineRule="exact"/>
        <w:rPr>
          <w:sz w:val="20"/>
          <w:szCs w:val="20"/>
          <w:color w:val="auto"/>
        </w:rPr>
      </w:pPr>
    </w:p>
    <w:p>
      <w:pPr>
        <w:ind w:right="599"/>
        <w:spacing w:after="0" w:line="250" w:lineRule="auto"/>
        <w:rPr>
          <w:sz w:val="20"/>
          <w:szCs w:val="20"/>
          <w:color w:val="auto"/>
        </w:rPr>
      </w:pPr>
      <w:r>
        <w:rPr>
          <w:rFonts w:ascii="Arial" w:cs="Arial" w:eastAsia="Arial" w:hAnsi="Arial"/>
          <w:sz w:val="14"/>
          <w:szCs w:val="14"/>
          <w:color w:val="231F20"/>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3197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Pr>
          <w:p>
            <w:pPr>
              <w:spacing w:after="0"/>
              <w:rPr>
                <w:sz w:val="20"/>
                <w:szCs w:val="20"/>
                <w:color w:val="auto"/>
              </w:rPr>
            </w:pPr>
            <w:r>
              <w:rPr>
                <w:rFonts w:ascii="Arial" w:cs="Arial" w:eastAsia="Arial" w:hAnsi="Arial"/>
                <w:sz w:val="15"/>
                <w:szCs w:val="15"/>
                <w:color w:val="231F20"/>
              </w:rPr>
              <w:t>Board of Directors</w:t>
            </w:r>
          </w:p>
        </w:tc>
        <w:tc>
          <w:tcPr>
            <w:tcW w:w="720" w:type="dxa"/>
            <w:vAlign w:val="bottom"/>
          </w:tcPr>
          <w:p>
            <w:pPr>
              <w:ind w:left="360"/>
              <w:spacing w:after="0"/>
              <w:rPr>
                <w:sz w:val="20"/>
                <w:szCs w:val="20"/>
                <w:color w:val="auto"/>
              </w:rPr>
            </w:pPr>
            <w:r>
              <w:rPr>
                <w:rFonts w:ascii="Arial" w:cs="Arial" w:eastAsia="Arial" w:hAnsi="Arial"/>
                <w:sz w:val="15"/>
                <w:szCs w:val="15"/>
                <w:b w:val="1"/>
                <w:bCs w:val="1"/>
                <w:color w:val="2952A4"/>
              </w:rPr>
              <w:t>6/6</w:t>
            </w:r>
          </w:p>
        </w:tc>
      </w:tr>
      <w:tr>
        <w:trPr>
          <w:trHeight w:val="324"/>
        </w:trPr>
        <w:tc>
          <w:tcPr>
            <w:tcW w:w="2240" w:type="dxa"/>
            <w:vAlign w:val="bottom"/>
          </w:tcPr>
          <w:p>
            <w:pPr>
              <w:spacing w:after="0"/>
              <w:rPr>
                <w:sz w:val="20"/>
                <w:szCs w:val="20"/>
                <w:color w:val="auto"/>
              </w:rPr>
            </w:pPr>
            <w:r>
              <w:rPr>
                <w:rFonts w:ascii="Arial" w:cs="Arial" w:eastAsia="Arial" w:hAnsi="Arial"/>
                <w:sz w:val="15"/>
                <w:szCs w:val="15"/>
                <w:color w:val="231F20"/>
              </w:rPr>
              <w:t>Audit Committee (Chairman)</w:t>
            </w:r>
          </w:p>
        </w:tc>
        <w:tc>
          <w:tcPr>
            <w:tcW w:w="720" w:type="dxa"/>
            <w:vAlign w:val="bottom"/>
          </w:tcPr>
          <w:p>
            <w:pPr>
              <w:ind w:left="360"/>
              <w:spacing w:after="0"/>
              <w:rPr>
                <w:sz w:val="20"/>
                <w:szCs w:val="20"/>
                <w:color w:val="auto"/>
              </w:rPr>
            </w:pPr>
            <w:r>
              <w:rPr>
                <w:rFonts w:ascii="Arial" w:cs="Arial" w:eastAsia="Arial" w:hAnsi="Arial"/>
                <w:sz w:val="15"/>
                <w:szCs w:val="15"/>
                <w:b w:val="1"/>
                <w:bCs w:val="1"/>
                <w:color w:val="2952A4"/>
              </w:rPr>
              <w:t>9/9</w:t>
            </w:r>
          </w:p>
        </w:tc>
      </w:tr>
      <w:tr>
        <w:trPr>
          <w:trHeight w:val="324"/>
        </w:trPr>
        <w:tc>
          <w:tcPr>
            <w:tcW w:w="2240" w:type="dxa"/>
            <w:vAlign w:val="bottom"/>
          </w:tcPr>
          <w:p>
            <w:pPr>
              <w:spacing w:after="0"/>
              <w:rPr>
                <w:sz w:val="20"/>
                <w:szCs w:val="20"/>
                <w:color w:val="auto"/>
              </w:rPr>
            </w:pPr>
            <w:r>
              <w:rPr>
                <w:rFonts w:ascii="Arial" w:cs="Arial" w:eastAsia="Arial" w:hAnsi="Arial"/>
                <w:sz w:val="15"/>
                <w:szCs w:val="15"/>
                <w:color w:val="231F20"/>
              </w:rPr>
              <w:t>Compensation Committee</w:t>
            </w:r>
          </w:p>
        </w:tc>
        <w:tc>
          <w:tcPr>
            <w:tcW w:w="720" w:type="dxa"/>
            <w:vAlign w:val="bottom"/>
          </w:tcPr>
          <w:p>
            <w:pPr>
              <w:ind w:left="360"/>
              <w:spacing w:after="0"/>
              <w:rPr>
                <w:sz w:val="20"/>
                <w:szCs w:val="20"/>
                <w:color w:val="auto"/>
              </w:rPr>
            </w:pPr>
            <w:r>
              <w:rPr>
                <w:rFonts w:ascii="Arial" w:cs="Arial" w:eastAsia="Arial" w:hAnsi="Arial"/>
                <w:sz w:val="15"/>
                <w:szCs w:val="15"/>
                <w:b w:val="1"/>
                <w:bCs w:val="1"/>
                <w:color w:val="2952A4"/>
                <w:w w:val="90"/>
              </w:rPr>
              <w:t>14/14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20"/>
                <w:szCs w:val="20"/>
                <w:color w:val="auto"/>
              </w:rPr>
            </w:pPr>
            <w:r>
              <w:rPr>
                <w:rFonts w:ascii="Arial" w:cs="Arial" w:eastAsia="Arial" w:hAnsi="Arial"/>
                <w:sz w:val="15"/>
                <w:szCs w:val="15"/>
                <w:color w:val="231F20"/>
              </w:rPr>
              <w:t>For</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952A4"/>
              </w:rPr>
              <w:t>64.0%</w:t>
            </w:r>
          </w:p>
        </w:tc>
      </w:tr>
      <w:tr>
        <w:trPr>
          <w:trHeight w:val="324"/>
        </w:trPr>
        <w:tc>
          <w:tcPr>
            <w:tcW w:w="1040" w:type="dxa"/>
            <w:vAlign w:val="bottom"/>
          </w:tcPr>
          <w:p>
            <w:pPr>
              <w:spacing w:after="0"/>
              <w:rPr>
                <w:sz w:val="20"/>
                <w:szCs w:val="20"/>
                <w:color w:val="auto"/>
              </w:rPr>
            </w:pPr>
            <w:r>
              <w:rPr>
                <w:rFonts w:ascii="Arial" w:cs="Arial" w:eastAsia="Arial" w:hAnsi="Arial"/>
                <w:sz w:val="15"/>
                <w:szCs w:val="15"/>
                <w:color w:val="231F20"/>
              </w:rPr>
              <w:t>Against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952A4"/>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Regeneron Securities Beneficially Owned as of April 14,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20"/>
                <w:szCs w:val="20"/>
                <w:color w:val="auto"/>
              </w:rPr>
            </w:pPr>
            <w:r>
              <w:rPr>
                <w:rFonts w:ascii="Arial" w:cs="Arial" w:eastAsia="Arial" w:hAnsi="Arial"/>
                <w:sz w:val="15"/>
                <w:szCs w:val="15"/>
                <w:color w:val="231F20"/>
              </w:rPr>
              <w:t>Common Stock</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952A4"/>
              </w:rPr>
              <w:t>129,872</w:t>
            </w:r>
          </w:p>
        </w:tc>
      </w:tr>
    </w:tbl>
    <w:p>
      <w:pPr>
        <w:spacing w:after="0" w:line="128"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Options</w:t>
      </w:r>
      <w:r>
        <w:rPr>
          <w:sz w:val="20"/>
          <w:szCs w:val="20"/>
          <w:color w:val="auto"/>
        </w:rPr>
        <w:tab/>
      </w:r>
      <w:r>
        <w:rPr>
          <w:rFonts w:ascii="Arial" w:cs="Arial" w:eastAsia="Arial" w:hAnsi="Arial"/>
          <w:sz w:val="15"/>
          <w:szCs w:val="15"/>
          <w:b w:val="1"/>
          <w:bCs w:val="1"/>
          <w:color w:val="2952A4"/>
        </w:rPr>
        <w:t>93,804</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RSUs</w:t>
      </w:r>
      <w:r>
        <w:rPr>
          <w:sz w:val="20"/>
          <w:szCs w:val="20"/>
          <w:color w:val="auto"/>
        </w:rPr>
        <w:tab/>
      </w:r>
      <w:r>
        <w:rPr>
          <w:rFonts w:ascii="Arial" w:cs="Arial" w:eastAsia="Arial" w:hAnsi="Arial"/>
          <w:sz w:val="15"/>
          <w:szCs w:val="15"/>
          <w:b w:val="1"/>
          <w:bCs w:val="1"/>
          <w:color w:val="2952A4"/>
        </w:rPr>
        <w:t>465</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2952A4"/>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269240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700" w:space="720"/>
            <w:col w:w="5599"/>
          </w:cols>
          <w:pgMar w:left="1440" w:top="405" w:right="1440" w:bottom="1440" w:gutter="0" w:footer="0" w:header="0"/>
          <w:type w:val="continuous"/>
        </w:sectPr>
      </w:pPr>
    </w:p>
    <w:bookmarkStart w:id="27" w:name="page28"/>
    <w:bookmarkEnd w:id="27"/>
    <w:p>
      <w:pPr>
        <w:ind w:left="604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160655</wp:posOffset>
            </wp:positionV>
            <wp:extent cx="508317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7"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MARC TESSIER-LAVIGNE, PH.D.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-1546860</wp:posOffset>
            </wp:positionV>
            <wp:extent cx="1080135" cy="10883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60</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6" w:lineRule="exact"/>
        <w:rPr>
          <w:sz w:val="20"/>
          <w:szCs w:val="20"/>
          <w:color w:val="auto"/>
        </w:rPr>
      </w:pPr>
    </w:p>
    <w:p>
      <w:pPr>
        <w:ind w:left="1740" w:hanging="166"/>
        <w:spacing w:after="0"/>
        <w:tabs>
          <w:tab w:leader="none" w:pos="1740" w:val="left"/>
        </w:tabs>
        <w:numPr>
          <w:ilvl w:val="0"/>
          <w:numId w:val="32"/>
        </w:numPr>
        <w:rPr>
          <w:rFonts w:ascii="Arial" w:cs="Arial" w:eastAsia="Arial" w:hAnsi="Arial"/>
          <w:sz w:val="14"/>
          <w:szCs w:val="14"/>
          <w:color w:val="2952A4"/>
        </w:rPr>
      </w:pPr>
      <w:r>
        <w:rPr>
          <w:rFonts w:ascii="Arial" w:cs="Arial" w:eastAsia="Arial" w:hAnsi="Arial"/>
          <w:sz w:val="14"/>
          <w:szCs w:val="14"/>
          <w:color w:val="231F20"/>
        </w:rPr>
        <w:t>The National Academy of Sciences</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32"/>
        </w:numPr>
        <w:rPr>
          <w:rFonts w:ascii="Arial" w:cs="Arial" w:eastAsia="Arial" w:hAnsi="Arial"/>
          <w:sz w:val="14"/>
          <w:szCs w:val="14"/>
          <w:color w:val="2952A4"/>
        </w:rPr>
      </w:pPr>
      <w:r>
        <w:rPr>
          <w:rFonts w:ascii="Arial" w:cs="Arial" w:eastAsia="Arial" w:hAnsi="Arial"/>
          <w:sz w:val="14"/>
          <w:szCs w:val="14"/>
          <w:color w:val="231F20"/>
        </w:rPr>
        <w:t>The National Academy of Medicine</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32"/>
        </w:numPr>
        <w:rPr>
          <w:rFonts w:ascii="Arial" w:cs="Arial" w:eastAsia="Arial" w:hAnsi="Arial"/>
          <w:sz w:val="14"/>
          <w:szCs w:val="14"/>
          <w:color w:val="2952A4"/>
        </w:rPr>
      </w:pPr>
      <w:r>
        <w:rPr>
          <w:rFonts w:ascii="Arial" w:cs="Arial" w:eastAsia="Arial" w:hAnsi="Arial"/>
          <w:sz w:val="14"/>
          <w:szCs w:val="14"/>
          <w:color w:val="231F20"/>
        </w:rPr>
        <w:t>The Royal Society of London</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32"/>
        </w:numPr>
        <w:rPr>
          <w:rFonts w:ascii="Arial" w:cs="Arial" w:eastAsia="Arial" w:hAnsi="Arial"/>
          <w:sz w:val="14"/>
          <w:szCs w:val="14"/>
          <w:color w:val="2952A4"/>
        </w:rPr>
      </w:pPr>
      <w:r>
        <w:rPr>
          <w:rFonts w:ascii="Arial" w:cs="Arial" w:eastAsia="Arial" w:hAnsi="Arial"/>
          <w:sz w:val="14"/>
          <w:szCs w:val="14"/>
          <w:color w:val="231F20"/>
        </w:rPr>
        <w:t>The Royal Society of Canada</w:t>
      </w:r>
    </w:p>
    <w:p>
      <w:pPr>
        <w:spacing w:after="0" w:line="208"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2952A4"/>
        </w:rPr>
        <w:t>Other Public Boards</w:t>
      </w:r>
    </w:p>
    <w:p>
      <w:pPr>
        <w:spacing w:after="0" w:line="118" w:lineRule="exact"/>
        <w:rPr>
          <w:sz w:val="20"/>
          <w:szCs w:val="20"/>
          <w:color w:val="auto"/>
        </w:rPr>
      </w:pPr>
    </w:p>
    <w:p>
      <w:pPr>
        <w:ind w:left="1740" w:hanging="166"/>
        <w:spacing w:after="0"/>
        <w:tabs>
          <w:tab w:leader="none" w:pos="1740" w:val="left"/>
        </w:tabs>
        <w:numPr>
          <w:ilvl w:val="0"/>
          <w:numId w:val="33"/>
        </w:numPr>
        <w:rPr>
          <w:rFonts w:ascii="Arial" w:cs="Arial" w:eastAsia="Arial" w:hAnsi="Arial"/>
          <w:sz w:val="14"/>
          <w:szCs w:val="14"/>
          <w:color w:val="2952A4"/>
        </w:rPr>
      </w:pPr>
      <w:r>
        <w:rPr>
          <w:rFonts w:ascii="Arial" w:cs="Arial" w:eastAsia="Arial" w:hAnsi="Arial"/>
          <w:sz w:val="14"/>
          <w:szCs w:val="14"/>
          <w:color w:val="231F20"/>
        </w:rPr>
        <w:t>Denali Therapeutics Inc.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Dr. Tessier-Lavigne has been the President of Stanford University since 2016. Before assuming his role at Stanford, he served as the President of The Rockefeller University and a Carson Family Professor and head of the Laboratory of Brain Development at The Rockefeller University from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National Academy of Medicine, and a fellow of the Royal Societies of London and Canada. Dr. Tessier-Lavigne is a member of the Board of Directors of Denali Therapeutics Inc., and previously served on the board of directors of Pfizer Inc., Agios Pharmaceuticals, Inc., and Juno Therapeutics, Inc.</w:t>
      </w:r>
    </w:p>
    <w:p>
      <w:pPr>
        <w:spacing w:after="0" w:line="147" w:lineRule="exact"/>
        <w:rPr>
          <w:sz w:val="20"/>
          <w:szCs w:val="20"/>
          <w:color w:val="auto"/>
        </w:rPr>
      </w:pPr>
    </w:p>
    <w:p>
      <w:pPr>
        <w:ind w:right="1680"/>
        <w:spacing w:after="0" w:line="231" w:lineRule="auto"/>
        <w:rPr>
          <w:sz w:val="20"/>
          <w:szCs w:val="20"/>
          <w:color w:val="auto"/>
        </w:rPr>
      </w:pPr>
      <w:r>
        <w:rPr>
          <w:rFonts w:ascii="Arial" w:cs="Arial" w:eastAsia="Arial" w:hAnsi="Arial"/>
          <w:sz w:val="15"/>
          <w:szCs w:val="15"/>
          <w:color w:val="231F20"/>
        </w:rPr>
        <w:t>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0" w:type="dxa"/>
            <w:vAlign w:val="bottom"/>
          </w:tcPr>
          <w:p>
            <w:pPr>
              <w:spacing w:after="0"/>
              <w:rPr>
                <w:sz w:val="20"/>
                <w:szCs w:val="20"/>
                <w:color w:val="auto"/>
              </w:rPr>
            </w:pPr>
            <w:r>
              <w:rPr>
                <w:rFonts w:ascii="Arial" w:cs="Arial" w:eastAsia="Arial" w:hAnsi="Arial"/>
                <w:sz w:val="15"/>
                <w:szCs w:val="15"/>
                <w:color w:val="231F20"/>
              </w:rPr>
              <w:t>Board of Directors</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6/6</w:t>
            </w:r>
          </w:p>
        </w:tc>
      </w:tr>
      <w:tr>
        <w:trPr>
          <w:trHeight w:val="324"/>
        </w:trPr>
        <w:tc>
          <w:tcPr>
            <w:tcW w:w="1800" w:type="dxa"/>
            <w:vAlign w:val="bottom"/>
          </w:tcPr>
          <w:p>
            <w:pPr>
              <w:spacing w:after="0"/>
              <w:rPr>
                <w:sz w:val="20"/>
                <w:szCs w:val="20"/>
                <w:color w:val="auto"/>
              </w:rPr>
            </w:pPr>
            <w:r>
              <w:rPr>
                <w:rFonts w:ascii="Arial" w:cs="Arial" w:eastAsia="Arial" w:hAnsi="Arial"/>
                <w:sz w:val="15"/>
                <w:szCs w:val="15"/>
                <w:color w:val="231F20"/>
              </w:rPr>
              <w:t>Technology Committee</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Results—2018</w:t>
      </w:r>
    </w:p>
    <w:p>
      <w:pPr>
        <w:spacing w:after="0" w:line="159"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94.8%</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405" w:right="339" w:bottom="1440" w:gutter="0" w:footer="0" w:header="0"/>
          <w:type w:val="continuous"/>
        </w:sectPr>
      </w:pP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gridSpan w:val="2"/>
          </w:tcPr>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14, 2020</w:t>
            </w:r>
          </w:p>
        </w:tc>
        <w:tc>
          <w:tcPr>
            <w:tcW w:w="2040" w:type="dxa"/>
            <w:vAlign w:val="bottom"/>
          </w:tcPr>
          <w:p>
            <w:pPr>
              <w:spacing w:after="0"/>
              <w:rPr>
                <w:sz w:val="16"/>
                <w:szCs w:val="16"/>
                <w:color w:val="auto"/>
              </w:rPr>
            </w:pPr>
          </w:p>
        </w:tc>
      </w:tr>
      <w:tr>
        <w:trPr>
          <w:trHeight w:val="326"/>
        </w:trPr>
        <w:tc>
          <w:tcPr>
            <w:tcW w:w="584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1,187</w:t>
            </w:r>
          </w:p>
        </w:tc>
        <w:tc>
          <w:tcPr>
            <w:tcW w:w="2040" w:type="dxa"/>
            <w:vAlign w:val="bottom"/>
          </w:tcPr>
          <w:p>
            <w:pPr>
              <w:spacing w:after="0"/>
              <w:rPr>
                <w:sz w:val="24"/>
                <w:szCs w:val="24"/>
                <w:color w:val="auto"/>
              </w:rPr>
            </w:pPr>
          </w:p>
        </w:tc>
      </w:tr>
      <w:tr>
        <w:trPr>
          <w:trHeight w:val="324"/>
        </w:trPr>
        <w:tc>
          <w:tcPr>
            <w:tcW w:w="584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66,304</w:t>
            </w:r>
          </w:p>
        </w:tc>
        <w:tc>
          <w:tcPr>
            <w:tcW w:w="2040" w:type="dxa"/>
            <w:vAlign w:val="bottom"/>
          </w:tcPr>
          <w:p>
            <w:pPr>
              <w:spacing w:after="0"/>
              <w:rPr>
                <w:sz w:val="24"/>
                <w:szCs w:val="24"/>
                <w:color w:val="auto"/>
              </w:rPr>
            </w:pPr>
          </w:p>
        </w:tc>
      </w:tr>
      <w:tr>
        <w:trPr>
          <w:trHeight w:val="324"/>
        </w:trPr>
        <w:tc>
          <w:tcPr>
            <w:tcW w:w="5840" w:type="dxa"/>
            <w:vAlign w:val="bottom"/>
          </w:tcPr>
          <w:p>
            <w:pPr>
              <w:ind w:left="4540"/>
              <w:spacing w:after="0"/>
              <w:rPr>
                <w:sz w:val="20"/>
                <w:szCs w:val="20"/>
                <w:color w:val="auto"/>
              </w:rPr>
            </w:pPr>
            <w:r>
              <w:rPr>
                <w:rFonts w:ascii="Arial" w:cs="Arial" w:eastAsia="Arial" w:hAnsi="Arial"/>
                <w:sz w:val="15"/>
                <w:szCs w:val="15"/>
                <w:color w:val="231F20"/>
              </w:rPr>
              <w:t>RSUs</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465</w:t>
            </w:r>
          </w:p>
        </w:tc>
        <w:tc>
          <w:tcPr>
            <w:tcW w:w="2040" w:type="dxa"/>
            <w:vAlign w:val="bottom"/>
          </w:tcPr>
          <w:p>
            <w:pPr>
              <w:spacing w:after="0"/>
              <w:rPr>
                <w:sz w:val="24"/>
                <w:szCs w:val="24"/>
                <w:color w:val="auto"/>
              </w:rPr>
            </w:pPr>
          </w:p>
        </w:tc>
      </w:tr>
      <w:tr>
        <w:trPr>
          <w:trHeight w:val="403"/>
        </w:trPr>
        <w:tc>
          <w:tcPr>
            <w:tcW w:w="9200" w:type="dxa"/>
            <w:vAlign w:val="bottom"/>
            <w:gridSpan w:val="2"/>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20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17</w:t>
            </w:r>
          </w:p>
        </w:tc>
      </w:tr>
      <w:tr>
        <w:trPr>
          <w:trHeight w:val="262"/>
        </w:trPr>
        <w:tc>
          <w:tcPr>
            <w:tcW w:w="584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204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-307975</wp:posOffset>
            </wp:positionV>
            <wp:extent cx="771525"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28" w:name="page29"/>
    <w:bookmarkEnd w:id="28"/>
    <w:p>
      <w:pPr>
        <w:ind w:left="158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1580" w:right="2180"/>
        <w:spacing w:after="0" w:line="286" w:lineRule="auto"/>
        <w:rPr>
          <w:sz w:val="20"/>
          <w:szCs w:val="20"/>
          <w:color w:val="auto"/>
        </w:rPr>
      </w:pPr>
      <w:r>
        <w:rPr>
          <w:rFonts w:ascii="Arial" w:cs="Arial" w:eastAsia="Arial" w:hAnsi="Arial"/>
          <w:sz w:val="32"/>
          <w:szCs w:val="32"/>
          <w:b w:val="1"/>
          <w:bCs w:val="1"/>
          <w:color w:val="C04C57"/>
        </w:rPr>
        <w:t>CLASS I DIRECTORS CONTINUING IN OFFICE TERM EXPIRES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-53340</wp:posOffset>
            </wp:positionV>
            <wp:extent cx="50831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8317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57785</wp:posOffset>
            </wp:positionV>
            <wp:extent cx="5083175"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BONNIE L. BASSLER, PH.D.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-1537970</wp:posOffset>
            </wp:positionV>
            <wp:extent cx="1088390" cy="10801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88390" cy="1080135"/>
                    </a:xfrm>
                    <a:prstGeom prst="rect">
                      <a:avLst/>
                    </a:prstGeom>
                    <a:noFill/>
                  </pic:spPr>
                </pic:pic>
              </a:graphicData>
            </a:graphic>
          </wp:anchor>
        </w:drawing>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57</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152"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6" w:lineRule="exact"/>
        <w:rPr>
          <w:sz w:val="20"/>
          <w:szCs w:val="20"/>
          <w:color w:val="auto"/>
        </w:rPr>
      </w:pPr>
    </w:p>
    <w:p>
      <w:pPr>
        <w:ind w:left="1740" w:hanging="166"/>
        <w:spacing w:after="0"/>
        <w:tabs>
          <w:tab w:leader="none" w:pos="1740" w:val="left"/>
        </w:tabs>
        <w:numPr>
          <w:ilvl w:val="0"/>
          <w:numId w:val="34"/>
        </w:numPr>
        <w:rPr>
          <w:rFonts w:ascii="Arial" w:cs="Arial" w:eastAsia="Arial" w:hAnsi="Arial"/>
          <w:sz w:val="14"/>
          <w:szCs w:val="14"/>
          <w:color w:val="2952A4"/>
        </w:rPr>
      </w:pPr>
      <w:r>
        <w:rPr>
          <w:rFonts w:ascii="Arial" w:cs="Arial" w:eastAsia="Arial" w:hAnsi="Arial"/>
          <w:sz w:val="14"/>
          <w:szCs w:val="14"/>
          <w:color w:val="231F20"/>
        </w:rPr>
        <w:t>The National Academy of Sciences</w:t>
      </w:r>
    </w:p>
    <w:p>
      <w:pPr>
        <w:spacing w:after="0" w:line="68" w:lineRule="exact"/>
        <w:rPr>
          <w:rFonts w:ascii="Arial" w:cs="Arial" w:eastAsia="Arial" w:hAnsi="Arial"/>
          <w:sz w:val="14"/>
          <w:szCs w:val="14"/>
          <w:color w:val="2952A4"/>
        </w:rPr>
      </w:pPr>
    </w:p>
    <w:p>
      <w:pPr>
        <w:ind w:left="1740" w:hanging="166"/>
        <w:spacing w:after="0" w:line="258" w:lineRule="auto"/>
        <w:tabs>
          <w:tab w:leader="none" w:pos="1740" w:val="left"/>
        </w:tabs>
        <w:numPr>
          <w:ilvl w:val="0"/>
          <w:numId w:val="34"/>
        </w:numPr>
        <w:rPr>
          <w:rFonts w:ascii="Arial" w:cs="Arial" w:eastAsia="Arial" w:hAnsi="Arial"/>
          <w:sz w:val="14"/>
          <w:szCs w:val="14"/>
          <w:color w:val="2952A4"/>
        </w:rPr>
      </w:pPr>
      <w:r>
        <w:rPr>
          <w:rFonts w:ascii="Arial" w:cs="Arial" w:eastAsia="Arial" w:hAnsi="Arial"/>
          <w:sz w:val="14"/>
          <w:szCs w:val="14"/>
          <w:color w:val="231F20"/>
        </w:rPr>
        <w:t>The American Academy of Arts and Sciences</w:t>
      </w:r>
    </w:p>
    <w:p>
      <w:pPr>
        <w:spacing w:after="0" w:line="45" w:lineRule="exact"/>
        <w:rPr>
          <w:rFonts w:ascii="Arial" w:cs="Arial" w:eastAsia="Arial" w:hAnsi="Arial"/>
          <w:sz w:val="14"/>
          <w:szCs w:val="14"/>
          <w:color w:val="2952A4"/>
        </w:rPr>
      </w:pPr>
    </w:p>
    <w:p>
      <w:pPr>
        <w:ind w:left="1740" w:hanging="166"/>
        <w:spacing w:after="0"/>
        <w:tabs>
          <w:tab w:leader="none" w:pos="1740" w:val="left"/>
        </w:tabs>
        <w:numPr>
          <w:ilvl w:val="0"/>
          <w:numId w:val="34"/>
        </w:numPr>
        <w:rPr>
          <w:rFonts w:ascii="Arial" w:cs="Arial" w:eastAsia="Arial" w:hAnsi="Arial"/>
          <w:sz w:val="14"/>
          <w:szCs w:val="14"/>
          <w:color w:val="2952A4"/>
        </w:rPr>
      </w:pPr>
      <w:r>
        <w:rPr>
          <w:rFonts w:ascii="Arial" w:cs="Arial" w:eastAsia="Arial" w:hAnsi="Arial"/>
          <w:sz w:val="14"/>
          <w:szCs w:val="14"/>
          <w:color w:val="231F20"/>
        </w:rPr>
        <w:t>The Royal Society of London</w:t>
      </w:r>
    </w:p>
    <w:p>
      <w:pPr>
        <w:spacing w:after="0" w:line="68" w:lineRule="exact"/>
        <w:rPr>
          <w:rFonts w:ascii="Arial" w:cs="Arial" w:eastAsia="Arial" w:hAnsi="Arial"/>
          <w:sz w:val="14"/>
          <w:szCs w:val="14"/>
          <w:color w:val="2952A4"/>
        </w:rPr>
      </w:pPr>
    </w:p>
    <w:p>
      <w:pPr>
        <w:ind w:left="1740" w:right="480" w:hanging="166"/>
        <w:spacing w:after="0" w:line="258" w:lineRule="auto"/>
        <w:tabs>
          <w:tab w:leader="none" w:pos="1740" w:val="left"/>
        </w:tabs>
        <w:numPr>
          <w:ilvl w:val="0"/>
          <w:numId w:val="34"/>
        </w:numPr>
        <w:rPr>
          <w:rFonts w:ascii="Arial" w:cs="Arial" w:eastAsia="Arial" w:hAnsi="Arial"/>
          <w:sz w:val="14"/>
          <w:szCs w:val="14"/>
          <w:color w:val="2952A4"/>
        </w:rPr>
      </w:pPr>
      <w:r>
        <w:rPr>
          <w:rFonts w:ascii="Arial" w:cs="Arial" w:eastAsia="Arial" w:hAnsi="Arial"/>
          <w:sz w:val="14"/>
          <w:szCs w:val="14"/>
          <w:color w:val="231F20"/>
        </w:rPr>
        <w:t>The American Philosophical Society</w:t>
      </w:r>
    </w:p>
    <w:p>
      <w:pPr>
        <w:spacing w:after="0" w:line="18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2952A4"/>
        </w:rPr>
        <w:t>Other Public Boards</w:t>
      </w:r>
    </w:p>
    <w:p>
      <w:pPr>
        <w:spacing w:after="0" w:line="118" w:lineRule="exact"/>
        <w:rPr>
          <w:sz w:val="20"/>
          <w:szCs w:val="20"/>
          <w:color w:val="auto"/>
        </w:rPr>
      </w:pPr>
    </w:p>
    <w:p>
      <w:pPr>
        <w:ind w:left="1740" w:hanging="166"/>
        <w:spacing w:after="0"/>
        <w:tabs>
          <w:tab w:leader="none" w:pos="1740" w:val="left"/>
        </w:tabs>
        <w:numPr>
          <w:ilvl w:val="0"/>
          <w:numId w:val="35"/>
        </w:numPr>
        <w:rPr>
          <w:rFonts w:ascii="Arial" w:cs="Arial" w:eastAsia="Arial" w:hAnsi="Arial"/>
          <w:sz w:val="14"/>
          <w:szCs w:val="14"/>
          <w:color w:val="2952A4"/>
        </w:rPr>
      </w:pPr>
      <w:r>
        <w:rPr>
          <w:rFonts w:ascii="Arial" w:cs="Arial" w:eastAsia="Arial" w:hAnsi="Arial"/>
          <w:sz w:val="14"/>
          <w:szCs w:val="14"/>
          <w:color w:val="231F20"/>
        </w:rPr>
        <w:t>Kaleido Biosciences, Inc.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6" w:lineRule="auto"/>
        <w:rPr>
          <w:sz w:val="20"/>
          <w:szCs w:val="20"/>
          <w:color w:val="auto"/>
        </w:rPr>
      </w:pPr>
      <w:r>
        <w:rPr>
          <w:rFonts w:ascii="Arial" w:cs="Arial" w:eastAsia="Arial" w:hAnsi="Arial"/>
          <w:sz w:val="15"/>
          <w:szCs w:val="15"/>
          <w:color w:val="231F20"/>
        </w:rPr>
        <w:t>Dr. Bassler is currently the Chair of the Department of Molecular Biology and the Squibb Professor in Molecular Biology at Princeton University, and a Howard Hughes Medical Institute Investigator. Dr. Bassler has previously served as the President of the American Society for Microbiology, as well as on the boards for the American Association for the Advancement of Science, the National Science Foundation, and the American Academy of Microbiology. She has been elected to the National Academy of Sciences, the American Academy of Arts and Sciences, the Royal Society of London, and the American Philosophical Society, and has received many scientific honors, including a MacArthur Foundation Fellowship, the Lounsbery Award, and the Shaw Prize for Life Science and Medicine. Dr. Bassler received her B.Sc. from the University of California, Davis, and her Ph.D. in Biochemistry from Johns Hopkins University. She served as a Postdoctoral Fellow and Research Scientist at the Agouron Institute in La Jolla, California, before becoming a faculty member at Princeton University. Dr. Bassler served as a director of Sanofi from November 2014 to July 2016 and currently serves on the board of directors of Kaleido Biosciences, Inc.</w:t>
      </w:r>
    </w:p>
    <w:p>
      <w:pPr>
        <w:spacing w:after="0" w:line="155" w:lineRule="exact"/>
        <w:rPr>
          <w:sz w:val="20"/>
          <w:szCs w:val="20"/>
          <w:color w:val="auto"/>
        </w:rPr>
      </w:pPr>
    </w:p>
    <w:p>
      <w:pPr>
        <w:ind w:right="1680"/>
        <w:spacing w:after="0" w:line="231" w:lineRule="auto"/>
        <w:rPr>
          <w:sz w:val="20"/>
          <w:szCs w:val="20"/>
          <w:color w:val="auto"/>
        </w:rPr>
      </w:pPr>
      <w:r>
        <w:rPr>
          <w:rFonts w:ascii="Arial" w:cs="Arial" w:eastAsia="Arial" w:hAnsi="Arial"/>
          <w:sz w:val="15"/>
          <w:szCs w:val="15"/>
          <w:color w:val="231F20"/>
        </w:rPr>
        <w:t>Dr. Bassler’s extensive research experience and her scientific and academic career and accomplishments, as well as her experience as a corporate director, led the board to conclude that Dr. Bassler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20"/>
                <w:szCs w:val="20"/>
                <w:color w:val="auto"/>
              </w:rPr>
            </w:pPr>
            <w:r>
              <w:rPr>
                <w:rFonts w:ascii="Arial" w:cs="Arial" w:eastAsia="Arial" w:hAnsi="Arial"/>
                <w:sz w:val="15"/>
                <w:szCs w:val="15"/>
                <w:color w:val="231F20"/>
              </w:rPr>
              <w:t>Board of Directors</w:t>
            </w:r>
          </w:p>
        </w:tc>
        <w:tc>
          <w:tcPr>
            <w:tcW w:w="1980" w:type="dxa"/>
            <w:vAlign w:val="bottom"/>
          </w:tcPr>
          <w:p>
            <w:pPr>
              <w:spacing w:after="0"/>
              <w:rPr>
                <w:sz w:val="17"/>
                <w:szCs w:val="17"/>
                <w:color w:val="auto"/>
              </w:rPr>
            </w:pPr>
          </w:p>
        </w:tc>
        <w:tc>
          <w:tcPr>
            <w:tcW w:w="1520" w:type="dxa"/>
            <w:vAlign w:val="bottom"/>
          </w:tcPr>
          <w:p>
            <w:pPr>
              <w:jc w:val="right"/>
              <w:ind w:right="1126"/>
              <w:spacing w:after="0"/>
              <w:rPr>
                <w:sz w:val="20"/>
                <w:szCs w:val="20"/>
                <w:color w:val="auto"/>
              </w:rPr>
            </w:pPr>
            <w:r>
              <w:rPr>
                <w:rFonts w:ascii="Arial" w:cs="Arial" w:eastAsia="Arial" w:hAnsi="Arial"/>
                <w:sz w:val="15"/>
                <w:szCs w:val="15"/>
                <w:b w:val="1"/>
                <w:bCs w:val="1"/>
                <w:color w:val="2952A4"/>
              </w:rPr>
              <w:t>6/6</w:t>
            </w:r>
          </w:p>
        </w:tc>
      </w:tr>
      <w:tr>
        <w:trPr>
          <w:trHeight w:val="324"/>
        </w:trPr>
        <w:tc>
          <w:tcPr>
            <w:tcW w:w="3520" w:type="dxa"/>
            <w:vAlign w:val="bottom"/>
            <w:gridSpan w:val="2"/>
          </w:tcPr>
          <w:p>
            <w:pPr>
              <w:spacing w:after="0"/>
              <w:rPr>
                <w:sz w:val="20"/>
                <w:szCs w:val="20"/>
                <w:color w:val="auto"/>
              </w:rPr>
            </w:pPr>
            <w:r>
              <w:rPr>
                <w:rFonts w:ascii="Arial" w:cs="Arial" w:eastAsia="Arial" w:hAnsi="Arial"/>
                <w:sz w:val="15"/>
                <w:szCs w:val="15"/>
                <w:color w:val="231F20"/>
              </w:rPr>
              <w:t>Corporate Governance and Compliance Committee</w:t>
            </w:r>
          </w:p>
        </w:tc>
        <w:tc>
          <w:tcPr>
            <w:tcW w:w="1520" w:type="dxa"/>
            <w:vAlign w:val="bottom"/>
          </w:tcPr>
          <w:p>
            <w:pPr>
              <w:jc w:val="right"/>
              <w:ind w:right="1126"/>
              <w:spacing w:after="0"/>
              <w:rPr>
                <w:sz w:val="20"/>
                <w:szCs w:val="20"/>
                <w:color w:val="auto"/>
              </w:rPr>
            </w:pPr>
            <w:r>
              <w:rPr>
                <w:rFonts w:ascii="Arial" w:cs="Arial" w:eastAsia="Arial" w:hAnsi="Arial"/>
                <w:sz w:val="15"/>
                <w:szCs w:val="15"/>
                <w:b w:val="1"/>
                <w:bCs w:val="1"/>
                <w:color w:val="2952A4"/>
              </w:rPr>
              <w:t>5/5</w:t>
            </w:r>
          </w:p>
        </w:tc>
      </w:tr>
      <w:tr>
        <w:trPr>
          <w:trHeight w:val="324"/>
        </w:trPr>
        <w:tc>
          <w:tcPr>
            <w:tcW w:w="1540" w:type="dxa"/>
            <w:vAlign w:val="bottom"/>
          </w:tcPr>
          <w:p>
            <w:pPr>
              <w:spacing w:after="0"/>
              <w:rPr>
                <w:sz w:val="20"/>
                <w:szCs w:val="20"/>
                <w:color w:val="auto"/>
              </w:rPr>
            </w:pPr>
            <w:r>
              <w:rPr>
                <w:rFonts w:ascii="Arial" w:cs="Arial" w:eastAsia="Arial" w:hAnsi="Arial"/>
                <w:sz w:val="15"/>
                <w:szCs w:val="15"/>
                <w:color w:val="231F20"/>
                <w:w w:val="98"/>
              </w:rPr>
              <w:t>Technology Committee</w:t>
            </w:r>
          </w:p>
        </w:tc>
        <w:tc>
          <w:tcPr>
            <w:tcW w:w="1980" w:type="dxa"/>
            <w:vAlign w:val="bottom"/>
          </w:tcPr>
          <w:p>
            <w:pPr>
              <w:spacing w:after="0"/>
              <w:rPr>
                <w:sz w:val="24"/>
                <w:szCs w:val="24"/>
                <w:color w:val="auto"/>
              </w:rPr>
            </w:pPr>
          </w:p>
        </w:tc>
        <w:tc>
          <w:tcPr>
            <w:tcW w:w="1520" w:type="dxa"/>
            <w:vAlign w:val="bottom"/>
          </w:tcPr>
          <w:p>
            <w:pPr>
              <w:jc w:val="right"/>
              <w:ind w:right="1126"/>
              <w:spacing w:after="0"/>
              <w:rPr>
                <w:sz w:val="20"/>
                <w:szCs w:val="20"/>
                <w:color w:val="auto"/>
              </w:rPr>
            </w:pPr>
            <w:r>
              <w:rPr>
                <w:rFonts w:ascii="Arial" w:cs="Arial" w:eastAsia="Arial" w:hAnsi="Arial"/>
                <w:sz w:val="15"/>
                <w:szCs w:val="15"/>
                <w:b w:val="1"/>
                <w:bCs w:val="1"/>
                <w:color w:val="2952A4"/>
              </w:rPr>
              <w:t>4/4</w:t>
            </w:r>
          </w:p>
        </w:tc>
      </w:tr>
      <w:tr>
        <w:trPr>
          <w:trHeight w:val="145"/>
        </w:trPr>
        <w:tc>
          <w:tcPr>
            <w:tcW w:w="3520" w:type="dxa"/>
            <w:vAlign w:val="bottom"/>
            <w:tcBorders>
              <w:bottom w:val="single" w:sz="8" w:color="auto"/>
            </w:tcBorders>
            <w:gridSpan w:val="2"/>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333"/>
        </w:trPr>
        <w:tc>
          <w:tcPr>
            <w:tcW w:w="352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Results—2019</w:t>
            </w:r>
          </w:p>
        </w:tc>
        <w:tc>
          <w:tcPr>
            <w:tcW w:w="1520" w:type="dxa"/>
            <w:vAlign w:val="bottom"/>
          </w:tcPr>
          <w:p>
            <w:pPr>
              <w:spacing w:after="0"/>
              <w:rPr>
                <w:sz w:val="24"/>
                <w:szCs w:val="24"/>
                <w:color w:val="auto"/>
              </w:rPr>
            </w:pPr>
          </w:p>
        </w:tc>
      </w:tr>
      <w:tr>
        <w:trPr>
          <w:trHeight w:val="326"/>
        </w:trPr>
        <w:tc>
          <w:tcPr>
            <w:tcW w:w="1540" w:type="dxa"/>
            <w:vAlign w:val="bottom"/>
          </w:tcPr>
          <w:p>
            <w:pPr>
              <w:spacing w:after="0"/>
              <w:rPr>
                <w:sz w:val="20"/>
                <w:szCs w:val="20"/>
                <w:color w:val="auto"/>
              </w:rPr>
            </w:pPr>
            <w:r>
              <w:rPr>
                <w:rFonts w:ascii="Arial" w:cs="Arial" w:eastAsia="Arial" w:hAnsi="Arial"/>
                <w:sz w:val="15"/>
                <w:szCs w:val="15"/>
                <w:color w:val="231F20"/>
              </w:rPr>
              <w:t>For</w:t>
            </w:r>
          </w:p>
        </w:tc>
        <w:tc>
          <w:tcPr>
            <w:tcW w:w="1980" w:type="dxa"/>
            <w:vAlign w:val="bottom"/>
          </w:tcPr>
          <w:p>
            <w:pPr>
              <w:jc w:val="right"/>
              <w:ind w:right="1446"/>
              <w:spacing w:after="0"/>
              <w:rPr>
                <w:sz w:val="20"/>
                <w:szCs w:val="20"/>
                <w:color w:val="auto"/>
              </w:rPr>
            </w:pPr>
            <w:r>
              <w:rPr>
                <w:rFonts w:ascii="Arial" w:cs="Arial" w:eastAsia="Arial" w:hAnsi="Arial"/>
                <w:sz w:val="15"/>
                <w:szCs w:val="15"/>
                <w:b w:val="1"/>
                <w:bCs w:val="1"/>
                <w:color w:val="2952A4"/>
              </w:rPr>
              <w:t>75.4%</w:t>
            </w:r>
          </w:p>
        </w:tc>
        <w:tc>
          <w:tcPr>
            <w:tcW w:w="1520" w:type="dxa"/>
            <w:vAlign w:val="bottom"/>
          </w:tcPr>
          <w:p>
            <w:pPr>
              <w:spacing w:after="0"/>
              <w:rPr>
                <w:sz w:val="24"/>
                <w:szCs w:val="24"/>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5"/>
                <w:szCs w:val="15"/>
                <w:color w:val="231F20"/>
              </w:rPr>
              <w:t>Against</w:t>
            </w:r>
          </w:p>
        </w:tc>
        <w:tc>
          <w:tcPr>
            <w:tcW w:w="1980" w:type="dxa"/>
            <w:vAlign w:val="bottom"/>
          </w:tcPr>
          <w:p>
            <w:pPr>
              <w:jc w:val="right"/>
              <w:ind w:right="1446"/>
              <w:spacing w:after="0"/>
              <w:rPr>
                <w:sz w:val="20"/>
                <w:szCs w:val="20"/>
                <w:color w:val="auto"/>
              </w:rPr>
            </w:pPr>
            <w:r>
              <w:rPr>
                <w:rFonts w:ascii="Arial" w:cs="Arial" w:eastAsia="Arial" w:hAnsi="Arial"/>
                <w:sz w:val="15"/>
                <w:szCs w:val="15"/>
                <w:b w:val="1"/>
                <w:bCs w:val="1"/>
                <w:color w:val="2952A4"/>
              </w:rPr>
              <w:t>24.6%</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52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8180" w:type="dxa"/>
            <w:vAlign w:val="bottom"/>
            <w:gridSpan w:val="2"/>
          </w:tcPr>
          <w:p>
            <w:pPr>
              <w:ind w:left="1480"/>
              <w:spacing w:after="0"/>
              <w:rPr>
                <w:sz w:val="20"/>
                <w:szCs w:val="20"/>
                <w:color w:val="auto"/>
              </w:rPr>
            </w:pPr>
            <w:r>
              <w:rPr>
                <w:rFonts w:ascii="Arial" w:cs="Arial" w:eastAsia="Arial" w:hAnsi="Arial"/>
                <w:sz w:val="14"/>
                <w:szCs w:val="14"/>
                <w:b w:val="1"/>
                <w:bCs w:val="1"/>
                <w:color w:val="C04C57"/>
              </w:rPr>
              <w:t>Regeneron Securities Beneficially Owned as of April 14, 2020</w:t>
            </w:r>
          </w:p>
        </w:tc>
      </w:tr>
      <w:tr>
        <w:trPr>
          <w:trHeight w:val="326"/>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Common Stock</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0</w:t>
            </w:r>
          </w:p>
        </w:tc>
      </w:tr>
      <w:tr>
        <w:trPr>
          <w:trHeight w:val="324"/>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Options</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28,465</w:t>
            </w:r>
          </w:p>
        </w:tc>
      </w:tr>
      <w:tr>
        <w:trPr>
          <w:trHeight w:val="324"/>
        </w:trPr>
        <w:tc>
          <w:tcPr>
            <w:tcW w:w="306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5"/>
                <w:szCs w:val="15"/>
                <w:color w:val="231F20"/>
              </w:rPr>
              <w:t>RSUs</w:t>
            </w:r>
          </w:p>
        </w:tc>
        <w:tc>
          <w:tcPr>
            <w:tcW w:w="5400" w:type="dxa"/>
            <w:vAlign w:val="bottom"/>
          </w:tcPr>
          <w:p>
            <w:pPr>
              <w:ind w:left="280"/>
              <w:spacing w:after="0"/>
              <w:rPr>
                <w:sz w:val="20"/>
                <w:szCs w:val="20"/>
                <w:color w:val="auto"/>
              </w:rPr>
            </w:pPr>
            <w:r>
              <w:rPr>
                <w:rFonts w:ascii="Arial" w:cs="Arial" w:eastAsia="Arial" w:hAnsi="Arial"/>
                <w:sz w:val="15"/>
                <w:szCs w:val="15"/>
                <w:b w:val="1"/>
                <w:bCs w:val="1"/>
                <w:color w:val="2952A4"/>
              </w:rPr>
              <w:t>465</w:t>
            </w:r>
          </w:p>
        </w:tc>
      </w:tr>
      <w:tr>
        <w:trPr>
          <w:trHeight w:val="403"/>
        </w:trPr>
        <w:tc>
          <w:tcPr>
            <w:tcW w:w="3060" w:type="dxa"/>
            <w:vAlign w:val="bottom"/>
          </w:tcPr>
          <w:p>
            <w:pPr>
              <w:jc w:val="right"/>
              <w:ind w:right="1408"/>
              <w:spacing w:after="0"/>
              <w:rPr>
                <w:sz w:val="20"/>
                <w:szCs w:val="20"/>
                <w:color w:val="auto"/>
              </w:rPr>
            </w:pPr>
            <w:r>
              <w:rPr>
                <w:rFonts w:ascii="Arial" w:cs="Arial" w:eastAsia="Arial" w:hAnsi="Arial"/>
                <w:sz w:val="14"/>
                <w:szCs w:val="14"/>
                <w:b w:val="1"/>
                <w:bCs w:val="1"/>
                <w:color w:val="00A5EC"/>
              </w:rPr>
              <w:t xml:space="preserve">18  </w:t>
            </w:r>
            <w:r>
              <w:rPr>
                <w:rFonts w:ascii="Arial" w:cs="Arial" w:eastAsia="Arial" w:hAnsi="Arial"/>
                <w:sz w:val="14"/>
                <w:szCs w:val="14"/>
                <w:color w:val="00A5EC"/>
              </w:rPr>
              <w:t>/</w:t>
            </w:r>
          </w:p>
        </w:tc>
        <w:tc>
          <w:tcPr>
            <w:tcW w:w="8180" w:type="dxa"/>
            <w:vAlign w:val="bottom"/>
            <w:gridSpan w:val="2"/>
          </w:tcPr>
          <w:p>
            <w:pPr>
              <w:ind w:left="186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r>
      <w:tr>
        <w:trPr>
          <w:trHeight w:val="262"/>
        </w:trPr>
        <w:tc>
          <w:tcPr>
            <w:tcW w:w="3060" w:type="dxa"/>
            <w:vAlign w:val="bottom"/>
            <w:tcBorders>
              <w:bottom w:val="single" w:sz="8" w:color="C0C0C0"/>
            </w:tcBorders>
          </w:tcPr>
          <w:p>
            <w:pPr>
              <w:spacing w:after="0"/>
              <w:rPr>
                <w:sz w:val="22"/>
                <w:szCs w:val="22"/>
                <w:color w:val="auto"/>
              </w:rPr>
            </w:pPr>
          </w:p>
        </w:tc>
        <w:tc>
          <w:tcPr>
            <w:tcW w:w="2780" w:type="dxa"/>
            <w:vAlign w:val="bottom"/>
            <w:tcBorders>
              <w:bottom w:val="single" w:sz="8" w:color="C0C0C0"/>
            </w:tcBorders>
          </w:tcPr>
          <w:p>
            <w:pPr>
              <w:spacing w:after="0"/>
              <w:rPr>
                <w:sz w:val="22"/>
                <w:szCs w:val="22"/>
                <w:color w:val="auto"/>
              </w:rPr>
            </w:pPr>
          </w:p>
        </w:tc>
        <w:tc>
          <w:tcPr>
            <w:tcW w:w="54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-307975</wp:posOffset>
            </wp:positionV>
            <wp:extent cx="771525"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29" w:name="page30"/>
    <w:bookmarkEnd w:id="29"/>
    <w:p>
      <w:pPr>
        <w:ind w:left="604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160655</wp:posOffset>
            </wp:positionV>
            <wp:extent cx="5083175"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7"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MICHAEL S. BROWN, M.D.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-1537970</wp:posOffset>
            </wp:positionV>
            <wp:extent cx="1080135" cy="10801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79</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6" w:lineRule="exact"/>
        <w:rPr>
          <w:sz w:val="20"/>
          <w:szCs w:val="20"/>
          <w:color w:val="auto"/>
        </w:rPr>
      </w:pPr>
    </w:p>
    <w:p>
      <w:pPr>
        <w:ind w:left="1740" w:hanging="166"/>
        <w:spacing w:after="0"/>
        <w:tabs>
          <w:tab w:leader="none" w:pos="1740" w:val="left"/>
        </w:tabs>
        <w:numPr>
          <w:ilvl w:val="0"/>
          <w:numId w:val="36"/>
        </w:numPr>
        <w:rPr>
          <w:rFonts w:ascii="Arial" w:cs="Arial" w:eastAsia="Arial" w:hAnsi="Arial"/>
          <w:sz w:val="14"/>
          <w:szCs w:val="14"/>
          <w:color w:val="2952A4"/>
        </w:rPr>
      </w:pPr>
      <w:r>
        <w:rPr>
          <w:rFonts w:ascii="Arial" w:cs="Arial" w:eastAsia="Arial" w:hAnsi="Arial"/>
          <w:sz w:val="14"/>
          <w:szCs w:val="14"/>
          <w:color w:val="231F20"/>
        </w:rPr>
        <w:t>The National Academy of Sciences</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36"/>
        </w:numPr>
        <w:rPr>
          <w:rFonts w:ascii="Arial" w:cs="Arial" w:eastAsia="Arial" w:hAnsi="Arial"/>
          <w:sz w:val="14"/>
          <w:szCs w:val="14"/>
          <w:color w:val="2952A4"/>
        </w:rPr>
      </w:pPr>
      <w:r>
        <w:rPr>
          <w:rFonts w:ascii="Arial" w:cs="Arial" w:eastAsia="Arial" w:hAnsi="Arial"/>
          <w:sz w:val="14"/>
          <w:szCs w:val="14"/>
          <w:color w:val="231F20"/>
        </w:rPr>
        <w:t>The National Academy of Medicine</w:t>
      </w:r>
    </w:p>
    <w:p>
      <w:pPr>
        <w:spacing w:after="0" w:line="68" w:lineRule="exact"/>
        <w:rPr>
          <w:rFonts w:ascii="Arial" w:cs="Arial" w:eastAsia="Arial" w:hAnsi="Arial"/>
          <w:sz w:val="14"/>
          <w:szCs w:val="14"/>
          <w:color w:val="2952A4"/>
        </w:rPr>
      </w:pPr>
    </w:p>
    <w:p>
      <w:pPr>
        <w:ind w:left="1740" w:hanging="166"/>
        <w:spacing w:after="0"/>
        <w:tabs>
          <w:tab w:leader="none" w:pos="1740" w:val="left"/>
        </w:tabs>
        <w:numPr>
          <w:ilvl w:val="0"/>
          <w:numId w:val="36"/>
        </w:numPr>
        <w:rPr>
          <w:rFonts w:ascii="Arial" w:cs="Arial" w:eastAsia="Arial" w:hAnsi="Arial"/>
          <w:sz w:val="14"/>
          <w:szCs w:val="14"/>
          <w:color w:val="2952A4"/>
        </w:rPr>
      </w:pPr>
      <w:r>
        <w:rPr>
          <w:rFonts w:ascii="Arial" w:cs="Arial" w:eastAsia="Arial" w:hAnsi="Arial"/>
          <w:sz w:val="14"/>
          <w:szCs w:val="14"/>
          <w:color w:val="231F20"/>
        </w:rPr>
        <w:t>The Royal Society of London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Dr. Brown holds the Distinguished Chair in Biomedical Sciences, a position he has held since 1989, and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National Academy of Medicine, and Foreign Member of the Royal Society of London. Dr. Brown retired as a member of the board of directors of Pfizer Inc. in 2012.</w:t>
      </w:r>
    </w:p>
    <w:p>
      <w:pPr>
        <w:spacing w:after="0" w:line="151" w:lineRule="exact"/>
        <w:rPr>
          <w:sz w:val="20"/>
          <w:szCs w:val="20"/>
          <w:color w:val="auto"/>
        </w:rPr>
      </w:pPr>
    </w:p>
    <w:p>
      <w:pPr>
        <w:ind w:right="1720"/>
        <w:spacing w:after="0" w:line="229" w:lineRule="auto"/>
        <w:rPr>
          <w:sz w:val="20"/>
          <w:szCs w:val="20"/>
          <w:color w:val="auto"/>
        </w:rPr>
      </w:pPr>
      <w:r>
        <w:rPr>
          <w:rFonts w:ascii="Arial" w:cs="Arial" w:eastAsia="Arial" w:hAnsi="Arial"/>
          <w:sz w:val="15"/>
          <w:szCs w:val="15"/>
          <w:color w:val="231F20"/>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the board to conclude that Dr. Brown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197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Membership—2019 Attendance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Pr>
          <w:p>
            <w:pPr>
              <w:spacing w:after="0"/>
              <w:rPr>
                <w:sz w:val="20"/>
                <w:szCs w:val="20"/>
                <w:color w:val="auto"/>
              </w:rPr>
            </w:pPr>
            <w:r>
              <w:rPr>
                <w:rFonts w:ascii="Arial" w:cs="Arial" w:eastAsia="Arial" w:hAnsi="Arial"/>
                <w:sz w:val="15"/>
                <w:szCs w:val="15"/>
                <w:color w:val="231F20"/>
              </w:rPr>
              <w:t>Board of Directors</w:t>
            </w:r>
          </w:p>
        </w:tc>
        <w:tc>
          <w:tcPr>
            <w:tcW w:w="2140" w:type="dxa"/>
            <w:vAlign w:val="bottom"/>
          </w:tcPr>
          <w:p>
            <w:pPr>
              <w:spacing w:after="0"/>
              <w:rPr>
                <w:sz w:val="17"/>
                <w:szCs w:val="17"/>
                <w:color w:val="auto"/>
              </w:rPr>
            </w:pPr>
          </w:p>
        </w:tc>
        <w:tc>
          <w:tcPr>
            <w:tcW w:w="1520" w:type="dxa"/>
            <w:vAlign w:val="bottom"/>
          </w:tcPr>
          <w:p>
            <w:pPr>
              <w:jc w:val="right"/>
              <w:ind w:right="1126"/>
              <w:spacing w:after="0"/>
              <w:rPr>
                <w:sz w:val="20"/>
                <w:szCs w:val="20"/>
                <w:color w:val="auto"/>
              </w:rPr>
            </w:pPr>
            <w:r>
              <w:rPr>
                <w:rFonts w:ascii="Arial" w:cs="Arial" w:eastAsia="Arial" w:hAnsi="Arial"/>
                <w:sz w:val="15"/>
                <w:szCs w:val="15"/>
                <w:b w:val="1"/>
                <w:bCs w:val="1"/>
                <w:color w:val="2952A4"/>
              </w:rPr>
              <w:t>6/6</w:t>
            </w:r>
          </w:p>
        </w:tc>
      </w:tr>
      <w:tr>
        <w:trPr>
          <w:trHeight w:val="324"/>
        </w:trPr>
        <w:tc>
          <w:tcPr>
            <w:tcW w:w="3520" w:type="dxa"/>
            <w:vAlign w:val="bottom"/>
            <w:gridSpan w:val="2"/>
          </w:tcPr>
          <w:p>
            <w:pPr>
              <w:spacing w:after="0"/>
              <w:rPr>
                <w:sz w:val="20"/>
                <w:szCs w:val="20"/>
                <w:color w:val="auto"/>
              </w:rPr>
            </w:pPr>
            <w:r>
              <w:rPr>
                <w:rFonts w:ascii="Arial" w:cs="Arial" w:eastAsia="Arial" w:hAnsi="Arial"/>
                <w:sz w:val="15"/>
                <w:szCs w:val="15"/>
                <w:color w:val="231F20"/>
              </w:rPr>
              <w:t>Corporate Governance and Compliance Committee</w:t>
            </w:r>
          </w:p>
        </w:tc>
        <w:tc>
          <w:tcPr>
            <w:tcW w:w="1520" w:type="dxa"/>
            <w:vAlign w:val="bottom"/>
          </w:tcPr>
          <w:p>
            <w:pPr>
              <w:jc w:val="right"/>
              <w:ind w:right="1126"/>
              <w:spacing w:after="0"/>
              <w:rPr>
                <w:sz w:val="20"/>
                <w:szCs w:val="20"/>
                <w:color w:val="auto"/>
              </w:rPr>
            </w:pPr>
            <w:r>
              <w:rPr>
                <w:rFonts w:ascii="Arial" w:cs="Arial" w:eastAsia="Arial" w:hAnsi="Arial"/>
                <w:sz w:val="15"/>
                <w:szCs w:val="15"/>
                <w:b w:val="1"/>
                <w:bCs w:val="1"/>
                <w:color w:val="2952A4"/>
              </w:rPr>
              <w:t>5/5</w:t>
            </w:r>
          </w:p>
        </w:tc>
      </w:tr>
      <w:tr>
        <w:trPr>
          <w:trHeight w:val="324"/>
        </w:trPr>
        <w:tc>
          <w:tcPr>
            <w:tcW w:w="3520" w:type="dxa"/>
            <w:vAlign w:val="bottom"/>
            <w:gridSpan w:val="2"/>
          </w:tcPr>
          <w:p>
            <w:pPr>
              <w:spacing w:after="0"/>
              <w:rPr>
                <w:sz w:val="20"/>
                <w:szCs w:val="20"/>
                <w:color w:val="auto"/>
              </w:rPr>
            </w:pPr>
            <w:r>
              <w:rPr>
                <w:rFonts w:ascii="Arial" w:cs="Arial" w:eastAsia="Arial" w:hAnsi="Arial"/>
                <w:sz w:val="15"/>
                <w:szCs w:val="15"/>
                <w:color w:val="231F20"/>
              </w:rPr>
              <w:t>Technology Committee (Chairman)</w:t>
            </w:r>
          </w:p>
        </w:tc>
        <w:tc>
          <w:tcPr>
            <w:tcW w:w="1520" w:type="dxa"/>
            <w:vAlign w:val="bottom"/>
          </w:tcPr>
          <w:p>
            <w:pPr>
              <w:jc w:val="right"/>
              <w:ind w:right="1126"/>
              <w:spacing w:after="0"/>
              <w:rPr>
                <w:sz w:val="20"/>
                <w:szCs w:val="20"/>
                <w:color w:val="auto"/>
              </w:rPr>
            </w:pPr>
            <w:r>
              <w:rPr>
                <w:rFonts w:ascii="Arial" w:cs="Arial" w:eastAsia="Arial" w:hAnsi="Arial"/>
                <w:sz w:val="15"/>
                <w:szCs w:val="15"/>
                <w:b w:val="1"/>
                <w:bCs w:val="1"/>
                <w:color w:val="2952A4"/>
              </w:rPr>
              <w:t>4/4</w:t>
            </w:r>
          </w:p>
        </w:tc>
      </w:tr>
      <w:tr>
        <w:trPr>
          <w:trHeight w:val="145"/>
        </w:trPr>
        <w:tc>
          <w:tcPr>
            <w:tcW w:w="3520" w:type="dxa"/>
            <w:vAlign w:val="bottom"/>
            <w:tcBorders>
              <w:bottom w:val="single" w:sz="8" w:color="auto"/>
            </w:tcBorders>
            <w:gridSpan w:val="2"/>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332"/>
        </w:trPr>
        <w:tc>
          <w:tcPr>
            <w:tcW w:w="352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Results—2019</w:t>
            </w:r>
          </w:p>
        </w:tc>
        <w:tc>
          <w:tcPr>
            <w:tcW w:w="1520" w:type="dxa"/>
            <w:vAlign w:val="bottom"/>
          </w:tcPr>
          <w:p>
            <w:pPr>
              <w:spacing w:after="0"/>
              <w:rPr>
                <w:sz w:val="24"/>
                <w:szCs w:val="24"/>
                <w:color w:val="auto"/>
              </w:rPr>
            </w:pPr>
          </w:p>
        </w:tc>
      </w:tr>
      <w:tr>
        <w:trPr>
          <w:trHeight w:val="326"/>
        </w:trPr>
        <w:tc>
          <w:tcPr>
            <w:tcW w:w="1380" w:type="dxa"/>
            <w:vAlign w:val="bottom"/>
          </w:tcPr>
          <w:p>
            <w:pPr>
              <w:spacing w:after="0"/>
              <w:rPr>
                <w:sz w:val="20"/>
                <w:szCs w:val="20"/>
                <w:color w:val="auto"/>
              </w:rPr>
            </w:pPr>
            <w:r>
              <w:rPr>
                <w:rFonts w:ascii="Arial" w:cs="Arial" w:eastAsia="Arial" w:hAnsi="Arial"/>
                <w:sz w:val="15"/>
                <w:szCs w:val="15"/>
                <w:color w:val="231F20"/>
              </w:rPr>
              <w:t>For</w:t>
            </w:r>
          </w:p>
        </w:tc>
        <w:tc>
          <w:tcPr>
            <w:tcW w:w="2140" w:type="dxa"/>
            <w:vAlign w:val="bottom"/>
          </w:tcPr>
          <w:p>
            <w:pPr>
              <w:jc w:val="right"/>
              <w:ind w:right="1446"/>
              <w:spacing w:after="0"/>
              <w:rPr>
                <w:sz w:val="20"/>
                <w:szCs w:val="20"/>
                <w:color w:val="auto"/>
              </w:rPr>
            </w:pPr>
            <w:r>
              <w:rPr>
                <w:rFonts w:ascii="Arial" w:cs="Arial" w:eastAsia="Arial" w:hAnsi="Arial"/>
                <w:sz w:val="15"/>
                <w:szCs w:val="15"/>
                <w:b w:val="1"/>
                <w:bCs w:val="1"/>
                <w:color w:val="2952A4"/>
              </w:rPr>
              <w:t>70.7%</w:t>
            </w:r>
          </w:p>
        </w:tc>
        <w:tc>
          <w:tcPr>
            <w:tcW w:w="1520" w:type="dxa"/>
            <w:vAlign w:val="bottom"/>
          </w:tcPr>
          <w:p>
            <w:pPr>
              <w:spacing w:after="0"/>
              <w:rPr>
                <w:sz w:val="24"/>
                <w:szCs w:val="24"/>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5"/>
                <w:szCs w:val="15"/>
                <w:color w:val="231F20"/>
              </w:rPr>
              <w:t>Against</w:t>
            </w:r>
          </w:p>
        </w:tc>
        <w:tc>
          <w:tcPr>
            <w:tcW w:w="2140" w:type="dxa"/>
            <w:vAlign w:val="bottom"/>
          </w:tcPr>
          <w:p>
            <w:pPr>
              <w:jc w:val="right"/>
              <w:ind w:right="1446"/>
              <w:spacing w:after="0"/>
              <w:rPr>
                <w:sz w:val="20"/>
                <w:szCs w:val="20"/>
                <w:color w:val="auto"/>
              </w:rPr>
            </w:pPr>
            <w:r>
              <w:rPr>
                <w:rFonts w:ascii="Arial" w:cs="Arial" w:eastAsia="Arial" w:hAnsi="Arial"/>
                <w:sz w:val="15"/>
                <w:szCs w:val="15"/>
                <w:b w:val="1"/>
                <w:bCs w:val="1"/>
                <w:color w:val="2952A4"/>
              </w:rPr>
              <w:t>29.3%</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gridSpan w:val="2"/>
          </w:tcPr>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14, 2020</w:t>
            </w:r>
          </w:p>
        </w:tc>
        <w:tc>
          <w:tcPr>
            <w:tcW w:w="2040" w:type="dxa"/>
            <w:vAlign w:val="bottom"/>
          </w:tcPr>
          <w:p>
            <w:pPr>
              <w:spacing w:after="0"/>
              <w:rPr>
                <w:sz w:val="16"/>
                <w:szCs w:val="16"/>
                <w:color w:val="auto"/>
              </w:rPr>
            </w:pPr>
          </w:p>
        </w:tc>
      </w:tr>
      <w:tr>
        <w:trPr>
          <w:trHeight w:val="326"/>
        </w:trPr>
        <w:tc>
          <w:tcPr>
            <w:tcW w:w="584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17,349</w:t>
            </w:r>
          </w:p>
        </w:tc>
        <w:tc>
          <w:tcPr>
            <w:tcW w:w="2040" w:type="dxa"/>
            <w:vAlign w:val="bottom"/>
          </w:tcPr>
          <w:p>
            <w:pPr>
              <w:spacing w:after="0"/>
              <w:rPr>
                <w:sz w:val="24"/>
                <w:szCs w:val="24"/>
                <w:color w:val="auto"/>
              </w:rPr>
            </w:pPr>
          </w:p>
        </w:tc>
      </w:tr>
      <w:tr>
        <w:trPr>
          <w:trHeight w:val="324"/>
        </w:trPr>
        <w:tc>
          <w:tcPr>
            <w:tcW w:w="584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38,804</w:t>
            </w:r>
          </w:p>
        </w:tc>
        <w:tc>
          <w:tcPr>
            <w:tcW w:w="2040" w:type="dxa"/>
            <w:vAlign w:val="bottom"/>
          </w:tcPr>
          <w:p>
            <w:pPr>
              <w:spacing w:after="0"/>
              <w:rPr>
                <w:sz w:val="24"/>
                <w:szCs w:val="24"/>
                <w:color w:val="auto"/>
              </w:rPr>
            </w:pPr>
          </w:p>
        </w:tc>
      </w:tr>
      <w:tr>
        <w:trPr>
          <w:trHeight w:val="324"/>
        </w:trPr>
        <w:tc>
          <w:tcPr>
            <w:tcW w:w="5840" w:type="dxa"/>
            <w:vAlign w:val="bottom"/>
          </w:tcPr>
          <w:p>
            <w:pPr>
              <w:ind w:left="4540"/>
              <w:spacing w:after="0"/>
              <w:rPr>
                <w:sz w:val="20"/>
                <w:szCs w:val="20"/>
                <w:color w:val="auto"/>
              </w:rPr>
            </w:pPr>
            <w:r>
              <w:rPr>
                <w:rFonts w:ascii="Arial" w:cs="Arial" w:eastAsia="Arial" w:hAnsi="Arial"/>
                <w:sz w:val="15"/>
                <w:szCs w:val="15"/>
                <w:color w:val="231F20"/>
              </w:rPr>
              <w:t>RSUs</w:t>
            </w:r>
          </w:p>
        </w:tc>
        <w:tc>
          <w:tcPr>
            <w:tcW w:w="3360" w:type="dxa"/>
            <w:vAlign w:val="bottom"/>
          </w:tcPr>
          <w:p>
            <w:pPr>
              <w:ind w:left="280"/>
              <w:spacing w:after="0"/>
              <w:rPr>
                <w:sz w:val="20"/>
                <w:szCs w:val="20"/>
                <w:color w:val="auto"/>
              </w:rPr>
            </w:pPr>
            <w:r>
              <w:rPr>
                <w:rFonts w:ascii="Arial" w:cs="Arial" w:eastAsia="Arial" w:hAnsi="Arial"/>
                <w:sz w:val="15"/>
                <w:szCs w:val="15"/>
                <w:b w:val="1"/>
                <w:bCs w:val="1"/>
                <w:color w:val="2952A4"/>
              </w:rPr>
              <w:t>465</w:t>
            </w:r>
          </w:p>
        </w:tc>
        <w:tc>
          <w:tcPr>
            <w:tcW w:w="2040" w:type="dxa"/>
            <w:vAlign w:val="bottom"/>
          </w:tcPr>
          <w:p>
            <w:pPr>
              <w:spacing w:after="0"/>
              <w:rPr>
                <w:sz w:val="24"/>
                <w:szCs w:val="24"/>
                <w:color w:val="auto"/>
              </w:rPr>
            </w:pPr>
          </w:p>
        </w:tc>
      </w:tr>
      <w:tr>
        <w:trPr>
          <w:trHeight w:val="403"/>
        </w:trPr>
        <w:tc>
          <w:tcPr>
            <w:tcW w:w="9200" w:type="dxa"/>
            <w:vAlign w:val="bottom"/>
            <w:gridSpan w:val="2"/>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20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19</w:t>
            </w:r>
          </w:p>
        </w:tc>
      </w:tr>
      <w:tr>
        <w:trPr>
          <w:trHeight w:val="262"/>
        </w:trPr>
        <w:tc>
          <w:tcPr>
            <w:tcW w:w="584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204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-307975</wp:posOffset>
            </wp:positionV>
            <wp:extent cx="771525"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160655</wp:posOffset>
            </wp:positionV>
            <wp:extent cx="5083175"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FFFFFF"/>
        </w:rPr>
        <w:t>LEONARD S. SCHLEIFER, M.D., PH.D.</w:t>
      </w:r>
    </w:p>
    <w:p>
      <w:pPr>
        <w:sectPr>
          <w:pgSz w:w="11900" w:h="16838" w:orient="portrait"/>
          <w:cols w:equalWidth="0" w:num="1">
            <w:col w:w="9019"/>
          </w:cols>
          <w:pgMar w:left="1440" w:top="4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2952A4"/>
        </w:rPr>
        <w:t xml:space="preserve">Director since: </w:t>
      </w:r>
      <w:r>
        <w:rPr>
          <w:rFonts w:ascii="Arial" w:cs="Arial" w:eastAsia="Arial" w:hAnsi="Arial"/>
          <w:sz w:val="14"/>
          <w:szCs w:val="14"/>
          <w:color w:val="2952A4"/>
        </w:rPr>
        <w:t>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-1530985</wp:posOffset>
            </wp:positionV>
            <wp:extent cx="1080135" cy="10801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67</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Experience and Qualifications</w:t>
      </w:r>
    </w:p>
    <w:p>
      <w:pPr>
        <w:spacing w:after="0" w:line="170" w:lineRule="exact"/>
        <w:rPr>
          <w:sz w:val="20"/>
          <w:szCs w:val="20"/>
          <w:color w:val="auto"/>
        </w:rPr>
      </w:pPr>
    </w:p>
    <w:p>
      <w:pPr>
        <w:ind w:right="559"/>
        <w:spacing w:after="0" w:line="227" w:lineRule="auto"/>
        <w:rPr>
          <w:sz w:val="20"/>
          <w:szCs w:val="20"/>
          <w:color w:val="auto"/>
        </w:rPr>
      </w:pPr>
      <w:r>
        <w:rPr>
          <w:rFonts w:ascii="Arial" w:cs="Arial" w:eastAsia="Arial" w:hAnsi="Arial"/>
          <w:sz w:val="15"/>
          <w:szCs w:val="15"/>
          <w:color w:val="231F20"/>
        </w:rPr>
        <w:t>Dr. Schleifer founded the Company in 1988, has been a Director and its President and Chief Executive Officer since its inception, and served as Chairman of the Board from 1990 through 1994. Dr. Schleifer, together with Regeneron’s founding scientist, Dr. Yancopoulos, built and has managed the Company over the past 32 years. Dr. Schleifer is a licensed physician and is certified in Neurology by the American Board of Psychiatry and Neurology. With over 30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w:t>
      </w:r>
    </w:p>
    <w:p>
      <w:pPr>
        <w:spacing w:after="0" w:line="149" w:lineRule="exact"/>
        <w:rPr>
          <w:sz w:val="20"/>
          <w:szCs w:val="20"/>
          <w:color w:val="auto"/>
        </w:rPr>
      </w:pPr>
    </w:p>
    <w:p>
      <w:pPr>
        <w:ind w:right="659"/>
        <w:spacing w:after="0" w:line="233" w:lineRule="auto"/>
        <w:rPr>
          <w:sz w:val="20"/>
          <w:szCs w:val="20"/>
          <w:color w:val="auto"/>
        </w:rPr>
      </w:pPr>
      <w:r>
        <w:rPr>
          <w:rFonts w:ascii="Arial" w:cs="Arial" w:eastAsia="Arial" w:hAnsi="Arial"/>
          <w:sz w:val="15"/>
          <w:szCs w:val="15"/>
          <w:color w:val="231F20"/>
        </w:rPr>
        <w:t>Dr. Schleifer’s significant industry and leadership experience, as well as his extensive knowledge of the Company, led the board to conclude that Dr. Schleifer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Board and Committee Membership—2019 Attendance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0" w:type="dxa"/>
            <w:vAlign w:val="bottom"/>
          </w:tcPr>
          <w:p>
            <w:pPr>
              <w:spacing w:after="0"/>
              <w:rPr>
                <w:sz w:val="20"/>
                <w:szCs w:val="20"/>
                <w:color w:val="auto"/>
              </w:rPr>
            </w:pPr>
            <w:r>
              <w:rPr>
                <w:rFonts w:ascii="Arial" w:cs="Arial" w:eastAsia="Arial" w:hAnsi="Arial"/>
                <w:sz w:val="15"/>
                <w:szCs w:val="15"/>
                <w:color w:val="231F20"/>
              </w:rPr>
              <w:t>Board of Directors</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5/6</w:t>
            </w:r>
          </w:p>
        </w:tc>
      </w:tr>
      <w:tr>
        <w:trPr>
          <w:trHeight w:val="324"/>
        </w:trPr>
        <w:tc>
          <w:tcPr>
            <w:tcW w:w="1800" w:type="dxa"/>
            <w:vAlign w:val="bottom"/>
          </w:tcPr>
          <w:p>
            <w:pPr>
              <w:spacing w:after="0"/>
              <w:rPr>
                <w:sz w:val="20"/>
                <w:szCs w:val="20"/>
                <w:color w:val="auto"/>
              </w:rPr>
            </w:pPr>
            <w:r>
              <w:rPr>
                <w:rFonts w:ascii="Arial" w:cs="Arial" w:eastAsia="Arial" w:hAnsi="Arial"/>
                <w:sz w:val="15"/>
                <w:szCs w:val="15"/>
                <w:color w:val="231F20"/>
              </w:rPr>
              <w:t>Technology Committee</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Prior Voting Results—2019</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83.8%</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Regeneron Securities Beneficially Owned as of April 14,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20"/>
                <w:szCs w:val="20"/>
                <w:color w:val="auto"/>
              </w:rPr>
            </w:pPr>
            <w:r>
              <w:rPr>
                <w:rFonts w:ascii="Arial" w:cs="Arial" w:eastAsia="Arial" w:hAnsi="Arial"/>
                <w:sz w:val="15"/>
                <w:szCs w:val="15"/>
                <w:color w:val="231F20"/>
              </w:rPr>
              <w:t>Class A Stock</w:t>
            </w:r>
          </w:p>
        </w:tc>
        <w:tc>
          <w:tcPr>
            <w:tcW w:w="940" w:type="dxa"/>
            <w:vAlign w:val="bottom"/>
          </w:tcPr>
          <w:p>
            <w:pPr>
              <w:ind w:left="280"/>
              <w:spacing w:after="0"/>
              <w:rPr>
                <w:sz w:val="20"/>
                <w:szCs w:val="20"/>
                <w:color w:val="auto"/>
              </w:rPr>
            </w:pPr>
            <w:r>
              <w:rPr>
                <w:rFonts w:ascii="Arial" w:cs="Arial" w:eastAsia="Arial" w:hAnsi="Arial"/>
                <w:sz w:val="15"/>
                <w:szCs w:val="15"/>
                <w:b w:val="1"/>
                <w:bCs w:val="1"/>
                <w:color w:val="2952A4"/>
                <w:w w:val="95"/>
              </w:rPr>
              <w:t>1,726,565</w:t>
            </w:r>
          </w:p>
        </w:tc>
      </w:tr>
      <w:tr>
        <w:trPr>
          <w:trHeight w:val="324"/>
        </w:trPr>
        <w:tc>
          <w:tcPr>
            <w:tcW w:w="1300" w:type="dxa"/>
            <w:vAlign w:val="bottom"/>
          </w:tcPr>
          <w:p>
            <w:pPr>
              <w:spacing w:after="0"/>
              <w:rPr>
                <w:sz w:val="20"/>
                <w:szCs w:val="20"/>
                <w:color w:val="auto"/>
              </w:rPr>
            </w:pPr>
            <w:r>
              <w:rPr>
                <w:rFonts w:ascii="Arial" w:cs="Arial" w:eastAsia="Arial" w:hAnsi="Arial"/>
                <w:sz w:val="15"/>
                <w:szCs w:val="15"/>
                <w:color w:val="231F20"/>
              </w:rPr>
              <w:t>Common Stock</w:t>
            </w:r>
          </w:p>
        </w:tc>
        <w:tc>
          <w:tcPr>
            <w:tcW w:w="940" w:type="dxa"/>
            <w:vAlign w:val="bottom"/>
          </w:tcPr>
          <w:p>
            <w:pPr>
              <w:ind w:left="280"/>
              <w:spacing w:after="0"/>
              <w:rPr>
                <w:sz w:val="20"/>
                <w:szCs w:val="20"/>
                <w:color w:val="auto"/>
              </w:rPr>
            </w:pPr>
            <w:r>
              <w:rPr>
                <w:rFonts w:ascii="Arial" w:cs="Arial" w:eastAsia="Arial" w:hAnsi="Arial"/>
                <w:sz w:val="15"/>
                <w:szCs w:val="15"/>
                <w:b w:val="1"/>
                <w:bCs w:val="1"/>
                <w:color w:val="2952A4"/>
              </w:rPr>
              <w:t>580,315</w:t>
            </w:r>
          </w:p>
        </w:tc>
      </w:tr>
      <w:tr>
        <w:trPr>
          <w:trHeight w:val="324"/>
        </w:trPr>
        <w:tc>
          <w:tcPr>
            <w:tcW w:w="1300" w:type="dxa"/>
            <w:vAlign w:val="bottom"/>
          </w:tcPr>
          <w:p>
            <w:pPr>
              <w:spacing w:after="0"/>
              <w:rPr>
                <w:sz w:val="20"/>
                <w:szCs w:val="20"/>
                <w:color w:val="auto"/>
              </w:rPr>
            </w:pPr>
            <w:r>
              <w:rPr>
                <w:rFonts w:ascii="Arial" w:cs="Arial" w:eastAsia="Arial" w:hAnsi="Arial"/>
                <w:sz w:val="15"/>
                <w:szCs w:val="15"/>
                <w:color w:val="231F20"/>
              </w:rPr>
              <w:t>Options</w:t>
            </w:r>
          </w:p>
        </w:tc>
        <w:tc>
          <w:tcPr>
            <w:tcW w:w="940" w:type="dxa"/>
            <w:vAlign w:val="bottom"/>
          </w:tcPr>
          <w:p>
            <w:pPr>
              <w:ind w:left="280"/>
              <w:spacing w:after="0"/>
              <w:rPr>
                <w:sz w:val="20"/>
                <w:szCs w:val="20"/>
                <w:color w:val="auto"/>
              </w:rPr>
            </w:pPr>
            <w:r>
              <w:rPr>
                <w:rFonts w:ascii="Arial" w:cs="Arial" w:eastAsia="Arial" w:hAnsi="Arial"/>
                <w:sz w:val="15"/>
                <w:szCs w:val="15"/>
                <w:b w:val="1"/>
                <w:bCs w:val="1"/>
                <w:color w:val="2952A4"/>
                <w:w w:val="95"/>
              </w:rPr>
              <w:t>1,820,844</w:t>
            </w:r>
          </w:p>
        </w:tc>
      </w:tr>
    </w:tbl>
    <w:p>
      <w:pPr>
        <w:spacing w:after="0" w:line="199" w:lineRule="exact"/>
        <w:rPr>
          <w:sz w:val="20"/>
          <w:szCs w:val="20"/>
          <w:color w:val="auto"/>
        </w:rPr>
      </w:pPr>
    </w:p>
    <w:p>
      <w:pPr>
        <w:sectPr>
          <w:pgSz w:w="11900" w:h="16838" w:orient="portrait"/>
          <w:cols w:equalWidth="0" w:num="2">
            <w:col w:w="2700" w:space="720"/>
            <w:col w:w="5599"/>
          </w:cols>
          <w:pgMar w:left="1440" w:top="405" w:right="1440" w:bottom="1440" w:gutter="0" w:footer="0" w:header="0"/>
          <w:type w:val="continuous"/>
        </w:sectPr>
      </w:pPr>
    </w:p>
    <w:p>
      <w:pPr>
        <w:ind w:left="140"/>
        <w:spacing w:after="0"/>
        <w:rPr>
          <w:sz w:val="20"/>
          <w:szCs w:val="20"/>
          <w:color w:val="auto"/>
        </w:rPr>
      </w:pPr>
      <w:r>
        <w:rPr>
          <w:rFonts w:ascii="Arial" w:cs="Arial" w:eastAsia="Arial" w:hAnsi="Arial"/>
          <w:sz w:val="14"/>
          <w:szCs w:val="14"/>
          <w:b w:val="1"/>
          <w:bCs w:val="1"/>
          <w:color w:val="00A5EC"/>
        </w:rPr>
        <w:t xml:space="preserve">20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31" w:name="page32"/>
    <w:bookmarkEnd w:id="31"/>
    <w:p>
      <w:pPr>
        <w:ind w:left="604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160655</wp:posOffset>
            </wp:positionV>
            <wp:extent cx="5083175"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7"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GEORGE D. YANCOPOULOS, M.D., PH.D.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-1546860</wp:posOffset>
            </wp:positionV>
            <wp:extent cx="1080135" cy="10883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60</w:t>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6" w:lineRule="exact"/>
        <w:rPr>
          <w:sz w:val="20"/>
          <w:szCs w:val="20"/>
          <w:color w:val="auto"/>
        </w:rPr>
      </w:pPr>
    </w:p>
    <w:p>
      <w:pPr>
        <w:ind w:left="1740" w:hanging="166"/>
        <w:spacing w:after="0"/>
        <w:tabs>
          <w:tab w:leader="none" w:pos="1740" w:val="left"/>
        </w:tabs>
        <w:numPr>
          <w:ilvl w:val="0"/>
          <w:numId w:val="37"/>
        </w:numPr>
        <w:rPr>
          <w:rFonts w:ascii="Arial" w:cs="Arial" w:eastAsia="Arial" w:hAnsi="Arial"/>
          <w:sz w:val="14"/>
          <w:szCs w:val="14"/>
          <w:color w:val="2952A4"/>
        </w:rPr>
      </w:pPr>
      <w:r>
        <w:rPr>
          <w:rFonts w:ascii="Arial" w:cs="Arial" w:eastAsia="Arial" w:hAnsi="Arial"/>
          <w:sz w:val="14"/>
          <w:szCs w:val="14"/>
          <w:color w:val="231F20"/>
        </w:rPr>
        <w:t>The National Academy of Sciences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Experience and Qualifications</w:t>
      </w:r>
    </w:p>
    <w:p>
      <w:pPr>
        <w:spacing w:after="0" w:line="170" w:lineRule="exact"/>
        <w:rPr>
          <w:sz w:val="20"/>
          <w:szCs w:val="20"/>
          <w:color w:val="auto"/>
        </w:rPr>
      </w:pPr>
    </w:p>
    <w:p>
      <w:pPr>
        <w:ind w:right="1700"/>
        <w:spacing w:after="0" w:line="231" w:lineRule="auto"/>
        <w:rPr>
          <w:sz w:val="20"/>
          <w:szCs w:val="20"/>
          <w:color w:val="auto"/>
        </w:rPr>
      </w:pPr>
      <w:r>
        <w:rPr>
          <w:rFonts w:ascii="Arial" w:cs="Arial" w:eastAsia="Arial" w:hAnsi="Arial"/>
          <w:sz w:val="15"/>
          <w:szCs w:val="15"/>
          <w:color w:val="231F20"/>
        </w:rPr>
        <w:t>Dr. Yancopoulos joined Dr. Schleifer in 1989 as founding scientist of the Company, and together they built and have managed the Company since then. Dr. Yancopoulos is currently President and Chief Scientific Officer, and has served on the board since 2001.</w:t>
      </w:r>
    </w:p>
    <w:p>
      <w:pPr>
        <w:spacing w:after="0" w:line="146" w:lineRule="exact"/>
        <w:rPr>
          <w:sz w:val="20"/>
          <w:szCs w:val="20"/>
          <w:color w:val="auto"/>
        </w:rPr>
      </w:pPr>
    </w:p>
    <w:p>
      <w:pPr>
        <w:ind w:right="1740"/>
        <w:spacing w:after="0"/>
        <w:rPr>
          <w:sz w:val="20"/>
          <w:szCs w:val="20"/>
          <w:color w:val="auto"/>
        </w:rPr>
      </w:pPr>
      <w:r>
        <w:rPr>
          <w:rFonts w:ascii="Arial" w:cs="Arial" w:eastAsia="Arial" w:hAnsi="Arial"/>
          <w:sz w:val="14"/>
          <w:szCs w:val="14"/>
          <w:color w:val="231F20"/>
        </w:rPr>
        <w:t>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seven FDA-approved drugs the Company</w:t>
      </w:r>
    </w:p>
    <w:p>
      <w:pPr>
        <w:spacing w:after="0" w:line="1" w:lineRule="exact"/>
        <w:rPr>
          <w:sz w:val="20"/>
          <w:szCs w:val="20"/>
          <w:color w:val="auto"/>
        </w:rPr>
      </w:pPr>
    </w:p>
    <w:p>
      <w:pPr>
        <w:ind w:right="1760"/>
        <w:spacing w:after="0" w:line="203" w:lineRule="auto"/>
        <w:rPr>
          <w:sz w:val="20"/>
          <w:szCs w:val="20"/>
          <w:color w:val="auto"/>
        </w:rPr>
      </w:pPr>
      <w:r>
        <w:rPr>
          <w:rFonts w:ascii="Arial" w:cs="Arial" w:eastAsia="Arial" w:hAnsi="Arial"/>
          <w:sz w:val="13"/>
          <w:szCs w:val="13"/>
          <w:color w:val="231F20"/>
        </w:rPr>
        <w:t>has developed, EYLEA</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(aflibercept) Injection, Praluent </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(alirocumab), Dupixent</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(dupilumab), Kevzara</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(sarilumab), Libtayo</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(cemiplimab), ZALTRAP</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(ziv-aflibercept) Injection for Intravenous Infusion, and ARCALYST</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(rilonacept) Injection for Subcutaneous Use, as well as of its foundation technologies, including the TRAP technology, </w:t>
      </w:r>
      <w:r>
        <w:rPr>
          <w:rFonts w:ascii="Arial" w:cs="Arial" w:eastAsia="Arial" w:hAnsi="Arial"/>
          <w:sz w:val="13"/>
          <w:szCs w:val="13"/>
          <w:i w:val="1"/>
          <w:iCs w:val="1"/>
          <w:color w:val="231F20"/>
        </w:rPr>
        <w:t>VelociGene</w:t>
      </w:r>
      <w:r>
        <w:rPr>
          <w:rFonts w:ascii="Arial" w:cs="Arial" w:eastAsia="Arial" w:hAnsi="Arial"/>
          <w:sz w:val="21"/>
          <w:szCs w:val="21"/>
          <w:color w:val="231F20"/>
          <w:vertAlign w:val="superscript"/>
        </w:rPr>
        <w:t>®</w:t>
      </w:r>
      <w:r>
        <w:rPr>
          <w:rFonts w:ascii="Arial" w:cs="Arial" w:eastAsia="Arial" w:hAnsi="Arial"/>
          <w:sz w:val="13"/>
          <w:szCs w:val="13"/>
          <w:color w:val="231F20"/>
        </w:rPr>
        <w:t>, and</w:t>
      </w:r>
    </w:p>
    <w:p>
      <w:pPr>
        <w:spacing w:after="0" w:line="2" w:lineRule="exact"/>
        <w:rPr>
          <w:sz w:val="20"/>
          <w:szCs w:val="20"/>
          <w:color w:val="auto"/>
        </w:rPr>
      </w:pPr>
    </w:p>
    <w:p>
      <w:pPr>
        <w:ind w:right="1680"/>
        <w:spacing w:after="0" w:line="217" w:lineRule="auto"/>
        <w:rPr>
          <w:sz w:val="20"/>
          <w:szCs w:val="20"/>
          <w:color w:val="auto"/>
        </w:rPr>
      </w:pPr>
      <w:r>
        <w:rPr>
          <w:rFonts w:ascii="Arial" w:cs="Arial" w:eastAsia="Arial" w:hAnsi="Arial"/>
          <w:sz w:val="15"/>
          <w:szCs w:val="15"/>
          <w:i w:val="1"/>
          <w:iCs w:val="1"/>
          <w:color w:val="231F20"/>
        </w:rPr>
        <w:t>VelocImmune</w:t>
      </w:r>
      <w:r>
        <w:rPr>
          <w:rFonts w:ascii="Arial" w:cs="Arial" w:eastAsia="Arial" w:hAnsi="Arial"/>
          <w:sz w:val="24"/>
          <w:szCs w:val="24"/>
          <w:color w:val="231F20"/>
          <w:vertAlign w:val="superscript"/>
        </w:rPr>
        <w:t>®</w:t>
      </w:r>
      <w:r>
        <w:rPr>
          <w:rFonts w:ascii="Arial" w:cs="Arial" w:eastAsia="Arial" w:hAnsi="Arial"/>
          <w:sz w:val="15"/>
          <w:szCs w:val="15"/>
          <w:color w:val="231F20"/>
        </w:rPr>
        <w:t>. As one of the few members of the National Academy of</w:t>
      </w:r>
      <w:r>
        <w:rPr>
          <w:rFonts w:ascii="Arial" w:cs="Arial" w:eastAsia="Arial" w:hAnsi="Arial"/>
          <w:sz w:val="15"/>
          <w:szCs w:val="15"/>
          <w:i w:val="1"/>
          <w:iCs w:val="1"/>
          <w:color w:val="231F20"/>
        </w:rPr>
        <w:t xml:space="preserve"> </w:t>
      </w:r>
      <w:r>
        <w:rPr>
          <w:rFonts w:ascii="Arial" w:cs="Arial" w:eastAsia="Arial" w:hAnsi="Arial"/>
          <w:sz w:val="15"/>
          <w:szCs w:val="15"/>
          <w:color w:val="231F20"/>
        </w:rPr>
        <w:t>Sciences from industry and as an author of a substantial number of scientific publications, Dr. Yancopoulos has a distinguished record of scientific expertise. Dr. Yancopoulos also brings to the board his experience in building and managing the Company, his in-depth knowledge of the Company’s technologies and research and development programs, and his proven track-record for envisioning successful long-term strategic directions and opportunities.</w:t>
      </w:r>
    </w:p>
    <w:p>
      <w:pPr>
        <w:spacing w:after="0" w:line="148" w:lineRule="exact"/>
        <w:rPr>
          <w:sz w:val="20"/>
          <w:szCs w:val="20"/>
          <w:color w:val="auto"/>
        </w:rPr>
      </w:pPr>
    </w:p>
    <w:p>
      <w:pPr>
        <w:ind w:right="1840"/>
        <w:spacing w:after="0" w:line="233" w:lineRule="auto"/>
        <w:rPr>
          <w:sz w:val="20"/>
          <w:szCs w:val="20"/>
          <w:color w:val="auto"/>
        </w:rPr>
      </w:pPr>
      <w:r>
        <w:rPr>
          <w:rFonts w:ascii="Arial" w:cs="Arial" w:eastAsia="Arial" w:hAnsi="Arial"/>
          <w:sz w:val="15"/>
          <w:szCs w:val="15"/>
          <w:color w:val="231F20"/>
        </w:rPr>
        <w:t>Dr. Yancopoulos’s significant industry and scientific experience, as well as his extensive knowledge of the Company, led the board to conclude that Dr. Yancopoulos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Board and Committee Membership—2019 Attendance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0" w:type="dxa"/>
            <w:vAlign w:val="bottom"/>
          </w:tcPr>
          <w:p>
            <w:pPr>
              <w:spacing w:after="0"/>
              <w:rPr>
                <w:sz w:val="20"/>
                <w:szCs w:val="20"/>
                <w:color w:val="auto"/>
              </w:rPr>
            </w:pPr>
            <w:r>
              <w:rPr>
                <w:rFonts w:ascii="Arial" w:cs="Arial" w:eastAsia="Arial" w:hAnsi="Arial"/>
                <w:sz w:val="15"/>
                <w:szCs w:val="15"/>
                <w:color w:val="231F20"/>
              </w:rPr>
              <w:t>Board of Directors</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5/6</w:t>
            </w:r>
          </w:p>
        </w:tc>
      </w:tr>
      <w:tr>
        <w:trPr>
          <w:trHeight w:val="324"/>
        </w:trPr>
        <w:tc>
          <w:tcPr>
            <w:tcW w:w="1800" w:type="dxa"/>
            <w:vAlign w:val="bottom"/>
          </w:tcPr>
          <w:p>
            <w:pPr>
              <w:spacing w:after="0"/>
              <w:rPr>
                <w:sz w:val="20"/>
                <w:szCs w:val="20"/>
                <w:color w:val="auto"/>
              </w:rPr>
            </w:pPr>
            <w:r>
              <w:rPr>
                <w:rFonts w:ascii="Arial" w:cs="Arial" w:eastAsia="Arial" w:hAnsi="Arial"/>
                <w:sz w:val="15"/>
                <w:szCs w:val="15"/>
                <w:color w:val="231F20"/>
              </w:rPr>
              <w:t>Technology Committee</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Prior Voting Results—2019</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83.7%</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C04C57"/>
        </w:rPr>
        <w:t>Regeneron Securities Beneficially Owned as of April 14,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20"/>
                <w:szCs w:val="20"/>
                <w:color w:val="auto"/>
              </w:rPr>
            </w:pPr>
            <w:r>
              <w:rPr>
                <w:rFonts w:ascii="Arial" w:cs="Arial" w:eastAsia="Arial" w:hAnsi="Arial"/>
                <w:sz w:val="15"/>
                <w:szCs w:val="15"/>
                <w:color w:val="231F20"/>
              </w:rPr>
              <w:t>Class A Stock</w:t>
            </w:r>
          </w:p>
        </w:tc>
        <w:tc>
          <w:tcPr>
            <w:tcW w:w="940" w:type="dxa"/>
            <w:vAlign w:val="bottom"/>
          </w:tcPr>
          <w:p>
            <w:pPr>
              <w:ind w:left="280"/>
              <w:spacing w:after="0"/>
              <w:rPr>
                <w:sz w:val="20"/>
                <w:szCs w:val="20"/>
                <w:color w:val="auto"/>
              </w:rPr>
            </w:pPr>
            <w:r>
              <w:rPr>
                <w:rFonts w:ascii="Arial" w:cs="Arial" w:eastAsia="Arial" w:hAnsi="Arial"/>
                <w:sz w:val="15"/>
                <w:szCs w:val="15"/>
                <w:b w:val="1"/>
                <w:bCs w:val="1"/>
                <w:color w:val="2952A4"/>
              </w:rPr>
              <w:t>42,750</w:t>
            </w:r>
          </w:p>
        </w:tc>
      </w:tr>
      <w:tr>
        <w:trPr>
          <w:trHeight w:val="324"/>
        </w:trPr>
        <w:tc>
          <w:tcPr>
            <w:tcW w:w="1300" w:type="dxa"/>
            <w:vAlign w:val="bottom"/>
          </w:tcPr>
          <w:p>
            <w:pPr>
              <w:spacing w:after="0"/>
              <w:rPr>
                <w:sz w:val="20"/>
                <w:szCs w:val="20"/>
                <w:color w:val="auto"/>
              </w:rPr>
            </w:pPr>
            <w:r>
              <w:rPr>
                <w:rFonts w:ascii="Arial" w:cs="Arial" w:eastAsia="Arial" w:hAnsi="Arial"/>
                <w:sz w:val="15"/>
                <w:szCs w:val="15"/>
                <w:color w:val="231F20"/>
              </w:rPr>
              <w:t>Common Stock</w:t>
            </w:r>
          </w:p>
        </w:tc>
        <w:tc>
          <w:tcPr>
            <w:tcW w:w="940" w:type="dxa"/>
            <w:vAlign w:val="bottom"/>
          </w:tcPr>
          <w:p>
            <w:pPr>
              <w:ind w:left="280"/>
              <w:spacing w:after="0"/>
              <w:rPr>
                <w:sz w:val="20"/>
                <w:szCs w:val="20"/>
                <w:color w:val="auto"/>
              </w:rPr>
            </w:pPr>
            <w:r>
              <w:rPr>
                <w:rFonts w:ascii="Arial" w:cs="Arial" w:eastAsia="Arial" w:hAnsi="Arial"/>
                <w:sz w:val="15"/>
                <w:szCs w:val="15"/>
                <w:b w:val="1"/>
                <w:bCs w:val="1"/>
                <w:color w:val="2952A4"/>
                <w:w w:val="95"/>
              </w:rPr>
              <w:t>1,105,698</w:t>
            </w:r>
          </w:p>
        </w:tc>
      </w:tr>
      <w:tr>
        <w:trPr>
          <w:trHeight w:val="324"/>
        </w:trPr>
        <w:tc>
          <w:tcPr>
            <w:tcW w:w="1300" w:type="dxa"/>
            <w:vAlign w:val="bottom"/>
          </w:tcPr>
          <w:p>
            <w:pPr>
              <w:spacing w:after="0"/>
              <w:rPr>
                <w:sz w:val="20"/>
                <w:szCs w:val="20"/>
                <w:color w:val="auto"/>
              </w:rPr>
            </w:pPr>
            <w:r>
              <w:rPr>
                <w:rFonts w:ascii="Arial" w:cs="Arial" w:eastAsia="Arial" w:hAnsi="Arial"/>
                <w:sz w:val="15"/>
                <w:szCs w:val="15"/>
                <w:color w:val="231F20"/>
              </w:rPr>
              <w:t>Options</w:t>
            </w:r>
          </w:p>
        </w:tc>
        <w:tc>
          <w:tcPr>
            <w:tcW w:w="940" w:type="dxa"/>
            <w:vAlign w:val="bottom"/>
          </w:tcPr>
          <w:p>
            <w:pPr>
              <w:ind w:left="280"/>
              <w:spacing w:after="0"/>
              <w:rPr>
                <w:sz w:val="20"/>
                <w:szCs w:val="20"/>
                <w:color w:val="auto"/>
              </w:rPr>
            </w:pPr>
            <w:r>
              <w:rPr>
                <w:rFonts w:ascii="Arial" w:cs="Arial" w:eastAsia="Arial" w:hAnsi="Arial"/>
                <w:sz w:val="15"/>
                <w:szCs w:val="15"/>
                <w:b w:val="1"/>
                <w:bCs w:val="1"/>
                <w:color w:val="2952A4"/>
                <w:w w:val="95"/>
              </w:rPr>
              <w:t>1,371,988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126365</wp:posOffset>
            </wp:positionV>
            <wp:extent cx="771525"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405" w:right="3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21</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65"/>
          <w:szCs w:val="65"/>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918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895"/>
                    </a:xfrm>
                    <a:prstGeom prst="rect">
                      <a:avLst/>
                    </a:prstGeom>
                    <a:noFill/>
                  </pic:spPr>
                </pic:pic>
              </a:graphicData>
            </a:graphic>
          </wp:anchor>
        </w:drawing>
        <w:t>BOARD COMMITTEES</w:t>
      </w:r>
    </w:p>
    <w:p>
      <w:pPr>
        <w:spacing w:after="0" w:line="200" w:lineRule="exact"/>
        <w:rPr>
          <w:sz w:val="20"/>
          <w:szCs w:val="20"/>
          <w:color w:val="auto"/>
        </w:rPr>
      </w:pPr>
    </w:p>
    <w:p>
      <w:pPr>
        <w:spacing w:after="0" w:line="285" w:lineRule="exact"/>
        <w:rPr>
          <w:sz w:val="20"/>
          <w:szCs w:val="20"/>
          <w:color w:val="auto"/>
        </w:rPr>
      </w:pPr>
    </w:p>
    <w:p>
      <w:pPr>
        <w:ind w:left="460" w:right="579"/>
        <w:spacing w:after="0" w:line="229" w:lineRule="auto"/>
        <w:rPr>
          <w:sz w:val="20"/>
          <w:szCs w:val="20"/>
          <w:color w:val="auto"/>
        </w:rPr>
      </w:pPr>
      <w:r>
        <w:rPr>
          <w:rFonts w:ascii="Arial" w:cs="Arial" w:eastAsia="Arial" w:hAnsi="Arial"/>
          <w:sz w:val="15"/>
          <w:szCs w:val="15"/>
          <w:color w:val="231F20"/>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5"/>
          <w:szCs w:val="15"/>
          <w:b w:val="1"/>
          <w:bCs w:val="1"/>
          <w:color w:val="231F20"/>
        </w:rPr>
        <w:t>www.regeneron.com</w:t>
      </w:r>
      <w:r>
        <w:rPr>
          <w:rFonts w:ascii="Arial" w:cs="Arial" w:eastAsia="Arial" w:hAnsi="Arial"/>
          <w:sz w:val="15"/>
          <w:szCs w:val="15"/>
          <w:color w:val="231F20"/>
        </w:rPr>
        <w:t xml:space="preserve"> under the “Corporate Governance” heading on the “Investors &amp; Media” page.</w:t>
      </w:r>
    </w:p>
    <w:p>
      <w:pPr>
        <w:spacing w:after="0" w:line="141" w:lineRule="exact"/>
        <w:rPr>
          <w:sz w:val="20"/>
          <w:szCs w:val="20"/>
          <w:color w:val="auto"/>
        </w:rPr>
      </w:pPr>
    </w:p>
    <w:p>
      <w:pPr>
        <w:ind w:left="460" w:right="439"/>
        <w:spacing w:after="0" w:line="242" w:lineRule="auto"/>
        <w:rPr>
          <w:sz w:val="20"/>
          <w:szCs w:val="20"/>
          <w:color w:val="auto"/>
        </w:rPr>
      </w:pPr>
      <w:r>
        <w:rPr>
          <w:rFonts w:ascii="Arial" w:cs="Arial" w:eastAsia="Arial" w:hAnsi="Arial"/>
          <w:sz w:val="15"/>
          <w:szCs w:val="15"/>
          <w:color w:val="231F20"/>
        </w:rPr>
        <w:t>We show below information on the membership, key functions, and number of meetings of each board committee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514350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29146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p>
      <w:pPr>
        <w:spacing w:after="0" w:line="192"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FFFFFF"/>
        </w:rPr>
        <w:t>AUDIT COMMITTEE</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C24D5C"/>
        </w:rPr>
        <w:t>Members</w:t>
      </w:r>
    </w:p>
    <w:p>
      <w:pPr>
        <w:spacing w:after="0" w:line="100" w:lineRule="exact"/>
        <w:rPr>
          <w:sz w:val="20"/>
          <w:szCs w:val="20"/>
          <w:color w:val="auto"/>
        </w:rPr>
      </w:pPr>
    </w:p>
    <w:p>
      <w:pPr>
        <w:ind w:left="540" w:right="680"/>
        <w:spacing w:after="0" w:line="360" w:lineRule="auto"/>
        <w:rPr>
          <w:sz w:val="20"/>
          <w:szCs w:val="20"/>
          <w:color w:val="auto"/>
        </w:rPr>
      </w:pPr>
      <w:r>
        <w:rPr>
          <w:rFonts w:ascii="Arial" w:cs="Arial" w:eastAsia="Arial" w:hAnsi="Arial"/>
          <w:sz w:val="14"/>
          <w:szCs w:val="14"/>
          <w:color w:val="235BA7"/>
        </w:rPr>
        <w:t xml:space="preserve">George L. Sing, </w:t>
      </w:r>
      <w:r>
        <w:rPr>
          <w:rFonts w:ascii="Arial" w:cs="Arial" w:eastAsia="Arial" w:hAnsi="Arial"/>
          <w:sz w:val="14"/>
          <w:szCs w:val="14"/>
          <w:i w:val="1"/>
          <w:iCs w:val="1"/>
          <w:color w:val="235BA7"/>
        </w:rPr>
        <w:t>Chairman</w:t>
      </w:r>
      <w:r>
        <w:rPr>
          <w:rFonts w:ascii="Arial" w:cs="Arial" w:eastAsia="Arial" w:hAnsi="Arial"/>
          <w:sz w:val="14"/>
          <w:szCs w:val="14"/>
          <w:color w:val="235BA7"/>
        </w:rPr>
        <w:t xml:space="preserve"> N. Anthony Coles, M.D. Arthur F. Ryan</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C24D5C"/>
        </w:rPr>
        <w:t>Number of Meetings Held in 2019</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4"/>
          <w:szCs w:val="14"/>
          <w:color w:val="235BA7"/>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C24D5C"/>
        </w:rPr>
        <w:t>Key Functions</w:t>
      </w:r>
    </w:p>
    <w:p>
      <w:pPr>
        <w:spacing w:after="0" w:line="109" w:lineRule="exact"/>
        <w:rPr>
          <w:sz w:val="20"/>
          <w:szCs w:val="20"/>
          <w:color w:val="auto"/>
        </w:rPr>
      </w:pPr>
    </w:p>
    <w:p>
      <w:pPr>
        <w:ind w:left="260" w:right="979" w:hanging="251"/>
        <w:spacing w:after="0" w:line="233"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Select the independent registered public accounting firm, review and approve its engagement letter, and monitor its independence and performance.</w:t>
      </w:r>
    </w:p>
    <w:p>
      <w:pPr>
        <w:spacing w:after="0" w:line="145" w:lineRule="exact"/>
        <w:rPr>
          <w:rFonts w:ascii="Arial" w:cs="Arial" w:eastAsia="Arial" w:hAnsi="Arial"/>
          <w:sz w:val="15"/>
          <w:szCs w:val="15"/>
          <w:color w:val="235BA7"/>
        </w:rPr>
      </w:pPr>
    </w:p>
    <w:p>
      <w:pPr>
        <w:ind w:left="260" w:right="539" w:hanging="251"/>
        <w:spacing w:after="0" w:line="236"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Review the overall scope and plans for the annual audit by the independent registered public accounting firm.</w:t>
      </w:r>
    </w:p>
    <w:p>
      <w:pPr>
        <w:spacing w:after="0" w:line="146" w:lineRule="exact"/>
        <w:rPr>
          <w:rFonts w:ascii="Arial" w:cs="Arial" w:eastAsia="Arial" w:hAnsi="Arial"/>
          <w:sz w:val="15"/>
          <w:szCs w:val="15"/>
          <w:color w:val="235BA7"/>
        </w:rPr>
      </w:pPr>
    </w:p>
    <w:p>
      <w:pPr>
        <w:jc w:val="both"/>
        <w:ind w:left="260" w:right="599" w:hanging="251"/>
        <w:spacing w:after="0" w:line="233"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Approve performance of non-audit services by the independent registered public accounting firm and evaluate the performance and independence of the independent registered public accounting firm.</w:t>
      </w:r>
    </w:p>
    <w:p>
      <w:pPr>
        <w:spacing w:after="0" w:line="145" w:lineRule="exact"/>
        <w:rPr>
          <w:rFonts w:ascii="Arial" w:cs="Arial" w:eastAsia="Arial" w:hAnsi="Arial"/>
          <w:sz w:val="15"/>
          <w:szCs w:val="15"/>
          <w:color w:val="235BA7"/>
        </w:rPr>
      </w:pPr>
    </w:p>
    <w:p>
      <w:pPr>
        <w:ind w:left="260" w:right="659" w:hanging="251"/>
        <w:spacing w:after="0" w:line="236"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Review and approve the Company’s periodic financial statements and the results of the year-end audit.</w:t>
      </w:r>
    </w:p>
    <w:p>
      <w:pPr>
        <w:spacing w:after="0" w:line="146" w:lineRule="exact"/>
        <w:rPr>
          <w:rFonts w:ascii="Arial" w:cs="Arial" w:eastAsia="Arial" w:hAnsi="Arial"/>
          <w:sz w:val="15"/>
          <w:szCs w:val="15"/>
          <w:color w:val="235BA7"/>
        </w:rPr>
      </w:pPr>
    </w:p>
    <w:p>
      <w:pPr>
        <w:ind w:left="260" w:right="859" w:hanging="251"/>
        <w:spacing w:after="0" w:line="236"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Review and discuss the adequacy and effectiveness of the Company’s accounting and internal control policies and procedures.</w:t>
      </w:r>
    </w:p>
    <w:p>
      <w:pPr>
        <w:spacing w:after="0" w:line="146" w:lineRule="exact"/>
        <w:rPr>
          <w:rFonts w:ascii="Arial" w:cs="Arial" w:eastAsia="Arial" w:hAnsi="Arial"/>
          <w:sz w:val="15"/>
          <w:szCs w:val="15"/>
          <w:color w:val="235BA7"/>
        </w:rPr>
      </w:pPr>
    </w:p>
    <w:p>
      <w:pPr>
        <w:ind w:left="260" w:right="619" w:hanging="251"/>
        <w:spacing w:after="0" w:line="250" w:lineRule="auto"/>
        <w:tabs>
          <w:tab w:leader="none" w:pos="260" w:val="left"/>
        </w:tabs>
        <w:numPr>
          <w:ilvl w:val="0"/>
          <w:numId w:val="38"/>
        </w:numPr>
        <w:rPr>
          <w:rFonts w:ascii="Arial" w:cs="Arial" w:eastAsia="Arial" w:hAnsi="Arial"/>
          <w:sz w:val="14"/>
          <w:szCs w:val="14"/>
          <w:color w:val="235BA7"/>
        </w:rPr>
      </w:pPr>
      <w:r>
        <w:rPr>
          <w:rFonts w:ascii="Arial" w:cs="Arial" w:eastAsia="Arial" w:hAnsi="Arial"/>
          <w:sz w:val="14"/>
          <w:szCs w:val="14"/>
          <w:color w:val="231F20"/>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139" w:lineRule="exact"/>
        <w:rPr>
          <w:rFonts w:ascii="Arial" w:cs="Arial" w:eastAsia="Arial" w:hAnsi="Arial"/>
          <w:sz w:val="14"/>
          <w:szCs w:val="14"/>
          <w:color w:val="235BA7"/>
        </w:rPr>
      </w:pPr>
    </w:p>
    <w:p>
      <w:pPr>
        <w:ind w:left="260" w:right="999" w:hanging="251"/>
        <w:spacing w:after="0" w:line="233"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Review the independent registered public accounting firm’s recommendations concerning the Company’s financial practices and procedures.</w:t>
      </w:r>
    </w:p>
    <w:p>
      <w:pPr>
        <w:spacing w:after="0" w:line="145" w:lineRule="exact"/>
        <w:rPr>
          <w:rFonts w:ascii="Arial" w:cs="Arial" w:eastAsia="Arial" w:hAnsi="Arial"/>
          <w:sz w:val="15"/>
          <w:szCs w:val="15"/>
          <w:color w:val="235BA7"/>
        </w:rPr>
      </w:pPr>
    </w:p>
    <w:p>
      <w:pPr>
        <w:ind w:left="260" w:hanging="251"/>
        <w:spacing w:after="0"/>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Oversee the Company’s risk management program.</w:t>
      </w:r>
    </w:p>
    <w:p>
      <w:pPr>
        <w:spacing w:after="0" w:line="151" w:lineRule="exact"/>
        <w:rPr>
          <w:rFonts w:ascii="Arial" w:cs="Arial" w:eastAsia="Arial" w:hAnsi="Arial"/>
          <w:sz w:val="15"/>
          <w:szCs w:val="15"/>
          <w:color w:val="235BA7"/>
        </w:rPr>
      </w:pPr>
    </w:p>
    <w:p>
      <w:pPr>
        <w:ind w:left="260" w:right="719" w:hanging="251"/>
        <w:spacing w:after="0" w:line="233"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Discuss with management the Company’s major financial risk exposures and the steps management has taken to monitor and control such exposures.</w:t>
      </w:r>
    </w:p>
    <w:p>
      <w:pPr>
        <w:spacing w:after="0" w:line="145" w:lineRule="exact"/>
        <w:rPr>
          <w:rFonts w:ascii="Arial" w:cs="Arial" w:eastAsia="Arial" w:hAnsi="Arial"/>
          <w:sz w:val="15"/>
          <w:szCs w:val="15"/>
          <w:color w:val="235BA7"/>
        </w:rPr>
      </w:pPr>
    </w:p>
    <w:p>
      <w:pPr>
        <w:ind w:left="260" w:right="479" w:hanging="251"/>
        <w:spacing w:after="0" w:line="229"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149" w:lineRule="exact"/>
        <w:rPr>
          <w:rFonts w:ascii="Arial" w:cs="Arial" w:eastAsia="Arial" w:hAnsi="Arial"/>
          <w:sz w:val="15"/>
          <w:szCs w:val="15"/>
          <w:color w:val="235BA7"/>
        </w:rPr>
      </w:pPr>
    </w:p>
    <w:p>
      <w:pPr>
        <w:ind w:left="260" w:hanging="251"/>
        <w:spacing w:after="0"/>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Review and approve any related person transaction.</w:t>
      </w:r>
    </w:p>
    <w:p>
      <w:pPr>
        <w:spacing w:after="0" w:line="151" w:lineRule="exact"/>
        <w:rPr>
          <w:rFonts w:ascii="Arial" w:cs="Arial" w:eastAsia="Arial" w:hAnsi="Arial"/>
          <w:sz w:val="15"/>
          <w:szCs w:val="15"/>
          <w:color w:val="235BA7"/>
        </w:rPr>
      </w:pPr>
    </w:p>
    <w:p>
      <w:pPr>
        <w:ind w:left="260" w:right="1039" w:hanging="251"/>
        <w:spacing w:after="0" w:line="236" w:lineRule="auto"/>
        <w:tabs>
          <w:tab w:leader="none" w:pos="260" w:val="left"/>
        </w:tabs>
        <w:numPr>
          <w:ilvl w:val="0"/>
          <w:numId w:val="38"/>
        </w:numPr>
        <w:rPr>
          <w:rFonts w:ascii="Arial" w:cs="Arial" w:eastAsia="Arial" w:hAnsi="Arial"/>
          <w:sz w:val="15"/>
          <w:szCs w:val="15"/>
          <w:color w:val="235BA7"/>
        </w:rPr>
      </w:pPr>
      <w:r>
        <w:rPr>
          <w:rFonts w:ascii="Arial" w:cs="Arial" w:eastAsia="Arial" w:hAnsi="Arial"/>
          <w:sz w:val="15"/>
          <w:szCs w:val="15"/>
          <w:color w:val="231F20"/>
        </w:rPr>
        <w:t>Prepare an annual report of the Audit Committee for inclusion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92710</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380"/>
            <w:col w:w="5739"/>
          </w:cols>
          <w:pgMar w:left="1440" w:top="1240" w:right="1440" w:bottom="1440" w:gutter="0" w:footer="0" w:header="0"/>
          <w:type w:val="continuous"/>
        </w:sectPr>
      </w:pP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EEF"/>
        </w:rPr>
        <w:t xml:space="preserve">22  </w:t>
      </w:r>
      <w:r>
        <w:rPr>
          <w:rFonts w:ascii="Arial" w:cs="Arial" w:eastAsia="Arial" w:hAnsi="Arial"/>
          <w:sz w:val="14"/>
          <w:szCs w:val="14"/>
          <w:color w:val="00AEEF"/>
        </w:rPr>
        <w:t xml:space="preserve">/  </w:t>
      </w:r>
      <w:r>
        <w:rPr>
          <w:sz w:val="1"/>
          <w:szCs w:val="1"/>
          <w:color w:val="auto"/>
        </w:rPr>
        <w:drawing>
          <wp:inline distT="0" distB="0" distL="0" distR="0">
            <wp:extent cx="745490" cy="8572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35BA7"/>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109855</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type w:val="continuous"/>
        </w:sectPr>
      </w:pPr>
    </w:p>
    <w:bookmarkStart w:id="33" w:name="page34"/>
    <w:bookmarkEnd w:id="33"/>
    <w:p>
      <w:pPr>
        <w:ind w:left="5780"/>
        <w:spacing w:after="0"/>
        <w:rPr>
          <w:sz w:val="20"/>
          <w:szCs w:val="20"/>
          <w:color w:val="auto"/>
        </w:rPr>
      </w:pPr>
      <w:r>
        <w:rPr>
          <w:rFonts w:ascii="Arial" w:cs="Arial" w:eastAsia="Arial" w:hAnsi="Arial"/>
          <w:sz w:val="16"/>
          <w:szCs w:val="16"/>
          <w:b w:val="1"/>
          <w:bCs w:val="1"/>
          <w:color w:val="235BA7"/>
        </w:rPr>
        <w:t xml:space="preserve">BOARD OF DIRECTORS </w:t>
      </w:r>
      <w:r>
        <w:rPr>
          <w:rFonts w:ascii="Arial" w:cs="Arial" w:eastAsia="Arial" w:hAnsi="Arial"/>
          <w:sz w:val="16"/>
          <w:szCs w:val="16"/>
          <w:color w:val="235BA7"/>
        </w:rPr>
        <w:t>/</w:t>
      </w:r>
      <w:r>
        <w:rPr>
          <w:rFonts w:ascii="Arial" w:cs="Arial" w:eastAsia="Arial" w:hAnsi="Arial"/>
          <w:sz w:val="16"/>
          <w:szCs w:val="16"/>
          <w:b w:val="1"/>
          <w:bCs w:val="1"/>
          <w:color w:val="235BA7"/>
        </w:rPr>
        <w:t xml:space="preserve"> </w:t>
      </w:r>
      <w:r>
        <w:rPr>
          <w:rFonts w:ascii="Arial" w:cs="Arial" w:eastAsia="Arial" w:hAnsi="Arial"/>
          <w:sz w:val="16"/>
          <w:szCs w:val="16"/>
          <w:b w:val="1"/>
          <w:bCs w:val="1"/>
          <w:color w:val="C24D5C"/>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126365</wp:posOffset>
            </wp:positionV>
            <wp:extent cx="5143500" cy="29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2914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49"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COMPENSATION COMMITTEE</w:t>
      </w:r>
    </w:p>
    <w:p>
      <w:pPr>
        <w:sectPr>
          <w:pgSz w:w="11900" w:h="16838" w:orient="portrait"/>
          <w:cols w:equalWidth="0" w:num="1">
            <w:col w:w="11240"/>
          </w:cols>
          <w:pgMar w:left="320" w:top="121" w:right="339" w:bottom="1440" w:gutter="0" w:footer="0" w:header="0"/>
          <w:type w:val="continuous"/>
        </w:sectPr>
      </w:pPr>
    </w:p>
    <w:p>
      <w:pPr>
        <w:spacing w:after="0" w:line="202"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C24D5C"/>
        </w:rPr>
        <w:t>Members</w:t>
      </w:r>
    </w:p>
    <w:p>
      <w:pPr>
        <w:spacing w:after="0" w:line="114"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Christine A. Poon, Chairperson</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Joseph L. Goldstein, M.D.</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(until June 14, 2019)</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George L. Sing</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Huda Y. Zoghbi, M.D.</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C24D5C"/>
        </w:rPr>
        <w:t>Number of Meetings Held in 2019</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14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C24D5C"/>
        </w:rPr>
        <w:t>Key Functions</w:t>
      </w:r>
    </w:p>
    <w:p>
      <w:pPr>
        <w:spacing w:after="0" w:line="109" w:lineRule="exact"/>
        <w:rPr>
          <w:sz w:val="20"/>
          <w:szCs w:val="20"/>
          <w:color w:val="auto"/>
        </w:rPr>
      </w:pPr>
    </w:p>
    <w:p>
      <w:pPr>
        <w:ind w:left="260" w:right="1580" w:hanging="251"/>
        <w:spacing w:after="0" w:line="236" w:lineRule="auto"/>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Evaluate the performance of the Chief Executive Officer and other executive officers of the Company.</w:t>
      </w:r>
    </w:p>
    <w:p>
      <w:pPr>
        <w:spacing w:after="0" w:line="146" w:lineRule="exact"/>
        <w:rPr>
          <w:rFonts w:ascii="Arial" w:cs="Arial" w:eastAsia="Arial" w:hAnsi="Arial"/>
          <w:sz w:val="15"/>
          <w:szCs w:val="15"/>
          <w:color w:val="235BA7"/>
        </w:rPr>
      </w:pPr>
    </w:p>
    <w:p>
      <w:pPr>
        <w:ind w:left="260" w:right="1740" w:hanging="251"/>
        <w:spacing w:after="0" w:line="236" w:lineRule="auto"/>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Recommend compensation for the Chief Executive Officer for approval by the non-employee members of the board of directors.</w:t>
      </w:r>
    </w:p>
    <w:p>
      <w:pPr>
        <w:spacing w:after="0" w:line="146" w:lineRule="exact"/>
        <w:rPr>
          <w:rFonts w:ascii="Arial" w:cs="Arial" w:eastAsia="Arial" w:hAnsi="Arial"/>
          <w:sz w:val="15"/>
          <w:szCs w:val="15"/>
          <w:color w:val="235BA7"/>
        </w:rPr>
      </w:pPr>
    </w:p>
    <w:p>
      <w:pPr>
        <w:ind w:left="260" w:hanging="251"/>
        <w:spacing w:after="0"/>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Approve compensation for other executive officers.</w:t>
      </w:r>
    </w:p>
    <w:p>
      <w:pPr>
        <w:spacing w:after="0" w:line="151" w:lineRule="exact"/>
        <w:rPr>
          <w:rFonts w:ascii="Arial" w:cs="Arial" w:eastAsia="Arial" w:hAnsi="Arial"/>
          <w:sz w:val="15"/>
          <w:szCs w:val="15"/>
          <w:color w:val="235BA7"/>
        </w:rPr>
      </w:pPr>
    </w:p>
    <w:p>
      <w:pPr>
        <w:ind w:left="260" w:hanging="251"/>
        <w:spacing w:after="0"/>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Approve the total compensation budget for all Company employees.</w:t>
      </w:r>
    </w:p>
    <w:p>
      <w:pPr>
        <w:spacing w:after="0" w:line="151" w:lineRule="exact"/>
        <w:rPr>
          <w:rFonts w:ascii="Arial" w:cs="Arial" w:eastAsia="Arial" w:hAnsi="Arial"/>
          <w:sz w:val="15"/>
          <w:szCs w:val="15"/>
          <w:color w:val="235BA7"/>
        </w:rPr>
      </w:pPr>
    </w:p>
    <w:p>
      <w:pPr>
        <w:ind w:left="260" w:right="2220" w:hanging="251"/>
        <w:spacing w:after="0" w:line="236" w:lineRule="auto"/>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Oversee the Company’s compensation and benefit philosophy and programs generally.</w:t>
      </w:r>
    </w:p>
    <w:p>
      <w:pPr>
        <w:spacing w:after="0" w:line="146" w:lineRule="exact"/>
        <w:rPr>
          <w:rFonts w:ascii="Arial" w:cs="Arial" w:eastAsia="Arial" w:hAnsi="Arial"/>
          <w:sz w:val="15"/>
          <w:szCs w:val="15"/>
          <w:color w:val="235BA7"/>
        </w:rPr>
      </w:pPr>
    </w:p>
    <w:p>
      <w:pPr>
        <w:ind w:left="260" w:right="1620" w:hanging="251"/>
        <w:spacing w:after="0" w:line="233" w:lineRule="auto"/>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Review and approve annually the corporate goals and objectives applicable to the compensation of the Chief Executive Officer and the goals and objectives of the Company’s executive compensation programs.</w:t>
      </w:r>
    </w:p>
    <w:p>
      <w:pPr>
        <w:spacing w:after="0" w:line="145" w:lineRule="exact"/>
        <w:rPr>
          <w:rFonts w:ascii="Arial" w:cs="Arial" w:eastAsia="Arial" w:hAnsi="Arial"/>
          <w:sz w:val="15"/>
          <w:szCs w:val="15"/>
          <w:color w:val="235BA7"/>
        </w:rPr>
      </w:pPr>
    </w:p>
    <w:p>
      <w:pPr>
        <w:ind w:left="260" w:right="1980" w:hanging="251"/>
        <w:spacing w:after="0" w:line="236" w:lineRule="auto"/>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Review and approve the Compensation Discussion and Analysis to be included in the Company’s proxy statement.</w:t>
      </w:r>
    </w:p>
    <w:p>
      <w:pPr>
        <w:spacing w:after="0" w:line="146" w:lineRule="exact"/>
        <w:rPr>
          <w:rFonts w:ascii="Arial" w:cs="Arial" w:eastAsia="Arial" w:hAnsi="Arial"/>
          <w:sz w:val="15"/>
          <w:szCs w:val="15"/>
          <w:color w:val="235BA7"/>
        </w:rPr>
      </w:pPr>
    </w:p>
    <w:p>
      <w:pPr>
        <w:ind w:left="260" w:right="1780" w:hanging="251"/>
        <w:spacing w:after="0" w:line="236" w:lineRule="auto"/>
        <w:tabs>
          <w:tab w:leader="none" w:pos="260" w:val="left"/>
        </w:tabs>
        <w:numPr>
          <w:ilvl w:val="0"/>
          <w:numId w:val="39"/>
        </w:numPr>
        <w:rPr>
          <w:rFonts w:ascii="Arial" w:cs="Arial" w:eastAsia="Arial" w:hAnsi="Arial"/>
          <w:sz w:val="15"/>
          <w:szCs w:val="15"/>
          <w:color w:val="235BA7"/>
        </w:rPr>
      </w:pPr>
      <w:r>
        <w:rPr>
          <w:rFonts w:ascii="Arial" w:cs="Arial" w:eastAsia="Arial" w:hAnsi="Arial"/>
          <w:sz w:val="15"/>
          <w:szCs w:val="15"/>
          <w:color w:val="231F20"/>
        </w:rPr>
        <w:t>Prepare an annual report of the Compensation Committee for inclusion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153035</wp:posOffset>
            </wp:positionV>
            <wp:extent cx="5143500"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291465"/>
                    </a:xfrm>
                    <a:prstGeom prst="rect">
                      <a:avLst/>
                    </a:prstGeom>
                    <a:noFill/>
                  </pic:spPr>
                </pic:pic>
              </a:graphicData>
            </a:graphic>
          </wp:anchor>
        </w:drawing>
        <w:drawing>
          <wp:anchor simplePos="0" relativeHeight="251657728" behindDoc="1" locked="0" layoutInCell="0" allowOverlap="1">
            <wp:simplePos x="0" y="0"/>
            <wp:positionH relativeFrom="column">
              <wp:posOffset>-1793875</wp:posOffset>
            </wp:positionH>
            <wp:positionV relativeFrom="paragraph">
              <wp:posOffset>41275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480"/>
            <w:col w:w="6840"/>
          </w:cols>
          <w:pgMar w:left="320" w:top="121" w:right="339" w:bottom="1440" w:gutter="0" w:footer="0" w:header="0"/>
          <w:type w:val="continuous"/>
        </w:sectPr>
      </w:pPr>
    </w:p>
    <w:p>
      <w:pPr>
        <w:spacing w:after="0" w:line="91"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CORPORATE GOVERNANCE AND COMPLIANCE COMMITTEE</w:t>
      </w:r>
    </w:p>
    <w:p>
      <w:pPr>
        <w:sectPr>
          <w:pgSz w:w="11900" w:h="16838" w:orient="portrait"/>
          <w:cols w:equalWidth="0" w:num="1">
            <w:col w:w="11240"/>
          </w:cols>
          <w:pgMar w:left="320" w:top="121" w:right="339" w:bottom="1440" w:gutter="0" w:footer="0" w:header="0"/>
          <w:type w:val="continuous"/>
        </w:sectPr>
      </w:pPr>
    </w:p>
    <w:p>
      <w:pPr>
        <w:spacing w:after="0" w:line="202"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C24D5C"/>
        </w:rPr>
        <w:t>Members</w:t>
      </w:r>
    </w:p>
    <w:p>
      <w:pPr>
        <w:spacing w:after="0" w:line="114"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Arthur F. Ryan, Chairman</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Bonnie L. Bassler, Ph.D.</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Michael S. Brown, M.D.</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Joseph L. Goldstein, M.D.</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(since June 14, 2019)</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Christine A. Poon</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C24D5C"/>
        </w:rPr>
        <w:t>Number of Meetings Held in 2019</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C24D5C"/>
        </w:rPr>
        <w:t>Key Functions</w:t>
      </w:r>
    </w:p>
    <w:p>
      <w:pPr>
        <w:spacing w:after="0" w:line="109" w:lineRule="exact"/>
        <w:rPr>
          <w:sz w:val="20"/>
          <w:szCs w:val="20"/>
          <w:color w:val="auto"/>
        </w:rPr>
      </w:pPr>
    </w:p>
    <w:p>
      <w:pPr>
        <w:ind w:left="260" w:right="2260" w:hanging="251"/>
        <w:spacing w:after="0" w:line="236" w:lineRule="auto"/>
        <w:tabs>
          <w:tab w:leader="none" w:pos="260" w:val="left"/>
        </w:tabs>
        <w:numPr>
          <w:ilvl w:val="0"/>
          <w:numId w:val="40"/>
        </w:numPr>
        <w:rPr>
          <w:rFonts w:ascii="Arial" w:cs="Arial" w:eastAsia="Arial" w:hAnsi="Arial"/>
          <w:sz w:val="15"/>
          <w:szCs w:val="15"/>
          <w:color w:val="235BA7"/>
        </w:rPr>
      </w:pPr>
      <w:r>
        <w:rPr>
          <w:rFonts w:ascii="Arial" w:cs="Arial" w:eastAsia="Arial" w:hAnsi="Arial"/>
          <w:sz w:val="15"/>
          <w:szCs w:val="15"/>
          <w:color w:val="231F20"/>
        </w:rPr>
        <w:t>Identify qualified individuals to become members of the board and recommend such candidates to the board.</w:t>
      </w:r>
    </w:p>
    <w:p>
      <w:pPr>
        <w:spacing w:after="0" w:line="146" w:lineRule="exact"/>
        <w:rPr>
          <w:rFonts w:ascii="Arial" w:cs="Arial" w:eastAsia="Arial" w:hAnsi="Arial"/>
          <w:sz w:val="15"/>
          <w:szCs w:val="15"/>
          <w:color w:val="235BA7"/>
        </w:rPr>
      </w:pPr>
    </w:p>
    <w:p>
      <w:pPr>
        <w:ind w:left="260" w:right="1820" w:hanging="251"/>
        <w:spacing w:after="0" w:line="233" w:lineRule="auto"/>
        <w:tabs>
          <w:tab w:leader="none" w:pos="260" w:val="left"/>
        </w:tabs>
        <w:numPr>
          <w:ilvl w:val="0"/>
          <w:numId w:val="40"/>
        </w:numPr>
        <w:rPr>
          <w:rFonts w:ascii="Arial" w:cs="Arial" w:eastAsia="Arial" w:hAnsi="Arial"/>
          <w:sz w:val="15"/>
          <w:szCs w:val="15"/>
          <w:color w:val="235BA7"/>
        </w:rPr>
      </w:pPr>
      <w:r>
        <w:rPr>
          <w:rFonts w:ascii="Arial" w:cs="Arial" w:eastAsia="Arial" w:hAnsi="Arial"/>
          <w:sz w:val="15"/>
          <w:szCs w:val="15"/>
          <w:color w:val="231F20"/>
        </w:rPr>
        <w:t>Assess the functioning of the board and its committees and make recommendations to the board concerning the appropriate size, function, and needs of the board.</w:t>
      </w:r>
    </w:p>
    <w:p>
      <w:pPr>
        <w:spacing w:after="0" w:line="145" w:lineRule="exact"/>
        <w:rPr>
          <w:rFonts w:ascii="Arial" w:cs="Arial" w:eastAsia="Arial" w:hAnsi="Arial"/>
          <w:sz w:val="15"/>
          <w:szCs w:val="15"/>
          <w:color w:val="235BA7"/>
        </w:rPr>
      </w:pPr>
    </w:p>
    <w:p>
      <w:pPr>
        <w:ind w:left="260" w:right="1620" w:hanging="251"/>
        <w:spacing w:after="0" w:line="236" w:lineRule="auto"/>
        <w:tabs>
          <w:tab w:leader="none" w:pos="260" w:val="left"/>
        </w:tabs>
        <w:numPr>
          <w:ilvl w:val="0"/>
          <w:numId w:val="40"/>
        </w:numPr>
        <w:rPr>
          <w:rFonts w:ascii="Arial" w:cs="Arial" w:eastAsia="Arial" w:hAnsi="Arial"/>
          <w:sz w:val="15"/>
          <w:szCs w:val="15"/>
          <w:color w:val="235BA7"/>
        </w:rPr>
      </w:pPr>
      <w:r>
        <w:rPr>
          <w:rFonts w:ascii="Arial" w:cs="Arial" w:eastAsia="Arial" w:hAnsi="Arial"/>
          <w:sz w:val="15"/>
          <w:szCs w:val="15"/>
          <w:color w:val="231F20"/>
        </w:rPr>
        <w:t>Review, and make recommendations to the board regarding, non-employee director compensation.</w:t>
      </w:r>
    </w:p>
    <w:p>
      <w:pPr>
        <w:spacing w:after="0" w:line="146" w:lineRule="exact"/>
        <w:rPr>
          <w:rFonts w:ascii="Arial" w:cs="Arial" w:eastAsia="Arial" w:hAnsi="Arial"/>
          <w:sz w:val="15"/>
          <w:szCs w:val="15"/>
          <w:color w:val="235BA7"/>
        </w:rPr>
      </w:pPr>
    </w:p>
    <w:p>
      <w:pPr>
        <w:ind w:left="260" w:right="2020" w:hanging="251"/>
        <w:spacing w:after="0" w:line="236" w:lineRule="auto"/>
        <w:tabs>
          <w:tab w:leader="none" w:pos="260" w:val="left"/>
        </w:tabs>
        <w:numPr>
          <w:ilvl w:val="0"/>
          <w:numId w:val="40"/>
        </w:numPr>
        <w:rPr>
          <w:rFonts w:ascii="Arial" w:cs="Arial" w:eastAsia="Arial" w:hAnsi="Arial"/>
          <w:sz w:val="15"/>
          <w:szCs w:val="15"/>
          <w:color w:val="235BA7"/>
        </w:rPr>
      </w:pPr>
      <w:r>
        <w:rPr>
          <w:rFonts w:ascii="Arial" w:cs="Arial" w:eastAsia="Arial" w:hAnsi="Arial"/>
          <w:sz w:val="15"/>
          <w:szCs w:val="15"/>
          <w:color w:val="231F20"/>
        </w:rPr>
        <w:t>Make recommendations to the board regarding corporate governance matters and practices.</w:t>
      </w:r>
    </w:p>
    <w:p>
      <w:pPr>
        <w:spacing w:after="0" w:line="146" w:lineRule="exact"/>
        <w:rPr>
          <w:rFonts w:ascii="Arial" w:cs="Arial" w:eastAsia="Arial" w:hAnsi="Arial"/>
          <w:sz w:val="15"/>
          <w:szCs w:val="15"/>
          <w:color w:val="235BA7"/>
        </w:rPr>
      </w:pPr>
    </w:p>
    <w:p>
      <w:pPr>
        <w:ind w:left="260" w:right="1660" w:hanging="251"/>
        <w:spacing w:after="0" w:line="236" w:lineRule="auto"/>
        <w:tabs>
          <w:tab w:leader="none" w:pos="260" w:val="left"/>
        </w:tabs>
        <w:numPr>
          <w:ilvl w:val="0"/>
          <w:numId w:val="40"/>
        </w:numPr>
        <w:rPr>
          <w:rFonts w:ascii="Arial" w:cs="Arial" w:eastAsia="Arial" w:hAnsi="Arial"/>
          <w:sz w:val="15"/>
          <w:szCs w:val="15"/>
          <w:color w:val="235BA7"/>
        </w:rPr>
      </w:pPr>
      <w:r>
        <w:rPr>
          <w:rFonts w:ascii="Arial" w:cs="Arial" w:eastAsia="Arial" w:hAnsi="Arial"/>
          <w:sz w:val="15"/>
          <w:szCs w:val="15"/>
          <w:color w:val="231F20"/>
        </w:rPr>
        <w:t>Oversee all aspects of the Company’s comprehensive compliance program other than financial compliance.</w:t>
      </w:r>
    </w:p>
    <w:p>
      <w:pPr>
        <w:spacing w:after="0" w:line="146" w:lineRule="exact"/>
        <w:rPr>
          <w:rFonts w:ascii="Arial" w:cs="Arial" w:eastAsia="Arial" w:hAnsi="Arial"/>
          <w:sz w:val="15"/>
          <w:szCs w:val="15"/>
          <w:color w:val="235BA7"/>
        </w:rPr>
      </w:pPr>
    </w:p>
    <w:p>
      <w:pPr>
        <w:ind w:left="260" w:right="1660" w:hanging="251"/>
        <w:spacing w:after="0" w:line="267" w:lineRule="auto"/>
        <w:tabs>
          <w:tab w:leader="none" w:pos="260" w:val="left"/>
        </w:tabs>
        <w:numPr>
          <w:ilvl w:val="0"/>
          <w:numId w:val="40"/>
        </w:numPr>
        <w:rPr>
          <w:rFonts w:ascii="Arial" w:cs="Arial" w:eastAsia="Arial" w:hAnsi="Arial"/>
          <w:sz w:val="14"/>
          <w:szCs w:val="14"/>
          <w:color w:val="235BA7"/>
        </w:rPr>
      </w:pPr>
      <w:r>
        <w:rPr>
          <w:rFonts w:ascii="Arial" w:cs="Arial" w:eastAsia="Arial" w:hAnsi="Arial"/>
          <w:sz w:val="14"/>
          <w:szCs w:val="14"/>
          <w:color w:val="231F20"/>
        </w:rPr>
        <w:t>Oversee the Company’s key corporate responsibility initiatives and conduct a periodic review of 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140970</wp:posOffset>
            </wp:positionV>
            <wp:extent cx="5143500"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291465"/>
                    </a:xfrm>
                    <a:prstGeom prst="rect">
                      <a:avLst/>
                    </a:prstGeom>
                    <a:noFill/>
                  </pic:spPr>
                </pic:pic>
              </a:graphicData>
            </a:graphic>
          </wp:anchor>
        </w:drawing>
        <w:drawing>
          <wp:anchor simplePos="0" relativeHeight="251657728" behindDoc="1" locked="0" layoutInCell="0" allowOverlap="1">
            <wp:simplePos x="0" y="0"/>
            <wp:positionH relativeFrom="column">
              <wp:posOffset>-1793875</wp:posOffset>
            </wp:positionH>
            <wp:positionV relativeFrom="paragraph">
              <wp:posOffset>29210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480"/>
            <w:col w:w="6840"/>
          </w:cols>
          <w:pgMar w:left="320" w:top="121" w:right="339" w:bottom="1440" w:gutter="0" w:footer="0" w:header="0"/>
          <w:type w:val="continuous"/>
        </w:sectPr>
      </w:pPr>
    </w:p>
    <w:p>
      <w:pPr>
        <w:spacing w:after="0" w:line="72"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TECHNOLOGY COMMITTEE</w:t>
      </w:r>
    </w:p>
    <w:p>
      <w:pPr>
        <w:sectPr>
          <w:pgSz w:w="11900" w:h="16838" w:orient="portrait"/>
          <w:cols w:equalWidth="0" w:num="1">
            <w:col w:w="11240"/>
          </w:cols>
          <w:pgMar w:left="320" w:top="121" w:right="339" w:bottom="1440" w:gutter="0" w:footer="0" w:header="0"/>
          <w:type w:val="continuous"/>
        </w:sectPr>
      </w:pPr>
    </w:p>
    <w:p>
      <w:pPr>
        <w:spacing w:after="0" w:line="202"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C24D5C"/>
        </w:rPr>
        <w:t>Members</w:t>
      </w:r>
    </w:p>
    <w:p>
      <w:pPr>
        <w:spacing w:after="0" w:line="114" w:lineRule="exact"/>
        <w:rPr>
          <w:sz w:val="20"/>
          <w:szCs w:val="20"/>
          <w:color w:val="auto"/>
        </w:rPr>
      </w:pPr>
    </w:p>
    <w:p>
      <w:pPr>
        <w:ind w:left="1660"/>
        <w:spacing w:after="0" w:line="391" w:lineRule="auto"/>
        <w:rPr>
          <w:sz w:val="20"/>
          <w:szCs w:val="20"/>
          <w:color w:val="auto"/>
        </w:rPr>
      </w:pPr>
      <w:r>
        <w:rPr>
          <w:rFonts w:ascii="Arial" w:cs="Arial" w:eastAsia="Arial" w:hAnsi="Arial"/>
          <w:sz w:val="14"/>
          <w:szCs w:val="14"/>
          <w:color w:val="235BA7"/>
        </w:rPr>
        <w:t>Michael S. Brown, M.D., Chairman Bonnie L. Bassler, Ph.D. Joseph L. Goldstein, M.D. Marc Tessier-Lavigne, Ph.D. P. Roy Vagelos, M.D. Huda Y. Zoghbi, M.D.</w:t>
      </w:r>
    </w:p>
    <w:p>
      <w:pPr>
        <w:spacing w:after="0" w:line="222"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Leonard S. Schleifer, M.D., Ph.D.</w:t>
      </w:r>
      <w:r>
        <w:rPr>
          <w:rFonts w:ascii="Arial" w:cs="Arial" w:eastAsia="Arial" w:hAnsi="Arial"/>
          <w:sz w:val="23"/>
          <w:szCs w:val="23"/>
          <w:color w:val="235BA7"/>
          <w:vertAlign w:val="superscript"/>
        </w:rPr>
        <w:t>+</w:t>
      </w:r>
    </w:p>
    <w:p>
      <w:pPr>
        <w:spacing w:after="0" w:line="20"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George D. Yancopoulos, M.D.,</w:t>
      </w:r>
    </w:p>
    <w:p>
      <w:pPr>
        <w:ind w:left="1660"/>
        <w:spacing w:after="0"/>
        <w:rPr>
          <w:sz w:val="20"/>
          <w:szCs w:val="20"/>
          <w:color w:val="auto"/>
        </w:rPr>
      </w:pPr>
      <w:r>
        <w:rPr>
          <w:rFonts w:ascii="Arial" w:cs="Arial" w:eastAsia="Arial" w:hAnsi="Arial"/>
          <w:sz w:val="14"/>
          <w:szCs w:val="14"/>
          <w:color w:val="235BA7"/>
        </w:rPr>
        <w:t>Ph.D.</w:t>
      </w:r>
      <w:r>
        <w:rPr>
          <w:rFonts w:ascii="Arial" w:cs="Arial" w:eastAsia="Arial" w:hAnsi="Arial"/>
          <w:sz w:val="23"/>
          <w:szCs w:val="23"/>
          <w:color w:val="235BA7"/>
          <w:vertAlign w:val="superscript"/>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C24D5C"/>
        </w:rPr>
        <w:t>Key Functions</w:t>
      </w:r>
    </w:p>
    <w:p>
      <w:pPr>
        <w:spacing w:after="0" w:line="109" w:lineRule="exact"/>
        <w:rPr>
          <w:sz w:val="20"/>
          <w:szCs w:val="20"/>
          <w:color w:val="auto"/>
        </w:rPr>
      </w:pPr>
    </w:p>
    <w:p>
      <w:pPr>
        <w:ind w:left="260" w:right="1900" w:hanging="251"/>
        <w:spacing w:after="0" w:line="236" w:lineRule="auto"/>
        <w:tabs>
          <w:tab w:leader="none" w:pos="260" w:val="left"/>
        </w:tabs>
        <w:numPr>
          <w:ilvl w:val="0"/>
          <w:numId w:val="41"/>
        </w:numPr>
        <w:rPr>
          <w:rFonts w:ascii="Arial" w:cs="Arial" w:eastAsia="Arial" w:hAnsi="Arial"/>
          <w:sz w:val="15"/>
          <w:szCs w:val="15"/>
          <w:color w:val="235BA7"/>
        </w:rPr>
      </w:pPr>
      <w:r>
        <w:rPr>
          <w:rFonts w:ascii="Arial" w:cs="Arial" w:eastAsia="Arial" w:hAnsi="Arial"/>
          <w:sz w:val="15"/>
          <w:szCs w:val="15"/>
          <w:color w:val="231F20"/>
        </w:rPr>
        <w:t>Review and evaluate the Company’s research and clinical development programs, plans, and policies.</w:t>
      </w:r>
    </w:p>
    <w:p>
      <w:pPr>
        <w:spacing w:after="0" w:line="1982" w:lineRule="exact"/>
        <w:rPr>
          <w:sz w:val="20"/>
          <w:szCs w:val="20"/>
          <w:color w:val="auto"/>
        </w:rPr>
      </w:pPr>
    </w:p>
    <w:p>
      <w:pPr>
        <w:sectPr>
          <w:pgSz w:w="11900" w:h="16838" w:orient="portrait"/>
          <w:cols w:equalWidth="0" w:num="2">
            <w:col w:w="3880" w:space="520"/>
            <w:col w:w="6840"/>
          </w:cols>
          <w:pgMar w:left="320" w:top="121" w:right="339" w:bottom="1440" w:gutter="0" w:footer="0" w:header="0"/>
          <w:type w:val="continuous"/>
        </w:sectPr>
      </w:pPr>
    </w:p>
    <w:p>
      <w:pPr>
        <w:ind w:left="1660"/>
        <w:spacing w:after="0"/>
        <w:rPr>
          <w:sz w:val="20"/>
          <w:szCs w:val="20"/>
          <w:color w:val="auto"/>
        </w:rPr>
      </w:pPr>
      <w:r>
        <w:rPr>
          <w:rFonts w:ascii="Arial" w:cs="Arial" w:eastAsia="Arial" w:hAnsi="Arial"/>
          <w:sz w:val="14"/>
          <w:szCs w:val="14"/>
          <w:b w:val="1"/>
          <w:bCs w:val="1"/>
          <w:color w:val="C24D5C"/>
        </w:rPr>
        <w:t>Number of Meetings Held in 2019</w:t>
      </w:r>
    </w:p>
    <w:p>
      <w:pPr>
        <w:spacing w:after="0" w:line="114" w:lineRule="exact"/>
        <w:rPr>
          <w:sz w:val="20"/>
          <w:szCs w:val="20"/>
          <w:color w:val="auto"/>
        </w:rPr>
      </w:pPr>
    </w:p>
    <w:p>
      <w:pPr>
        <w:ind w:left="1660"/>
        <w:spacing w:after="0"/>
        <w:rPr>
          <w:sz w:val="20"/>
          <w:szCs w:val="20"/>
          <w:color w:val="auto"/>
        </w:rPr>
      </w:pPr>
      <w:r>
        <w:rPr>
          <w:rFonts w:ascii="Arial" w:cs="Arial" w:eastAsia="Arial" w:hAnsi="Arial"/>
          <w:sz w:val="14"/>
          <w:szCs w:val="14"/>
          <w:color w:val="235BA7"/>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57785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56" w:lineRule="exact"/>
        <w:rPr>
          <w:sz w:val="20"/>
          <w:szCs w:val="20"/>
          <w:color w:val="auto"/>
        </w:rPr>
      </w:pPr>
    </w:p>
    <w:p>
      <w:pPr>
        <w:ind w:left="1700" w:hanging="126"/>
        <w:spacing w:after="0"/>
        <w:tabs>
          <w:tab w:leader="none" w:pos="1700" w:val="left"/>
        </w:tabs>
        <w:numPr>
          <w:ilvl w:val="0"/>
          <w:numId w:val="42"/>
        </w:numPr>
        <w:rPr>
          <w:rFonts w:ascii="Arial" w:cs="Arial" w:eastAsia="Arial" w:hAnsi="Arial"/>
          <w:sz w:val="14"/>
          <w:szCs w:val="14"/>
          <w:b w:val="1"/>
          <w:bCs w:val="1"/>
          <w:color w:val="235BA7"/>
        </w:rPr>
      </w:pPr>
      <w:r>
        <w:rPr>
          <w:rFonts w:ascii="Arial" w:cs="Arial" w:eastAsia="Arial" w:hAnsi="Arial"/>
          <w:sz w:val="14"/>
          <w:szCs w:val="14"/>
          <w:i w:val="1"/>
          <w:iCs w:val="1"/>
          <w:color w:val="231F20"/>
        </w:rPr>
        <w:t xml:space="preserve">Ex Officio </w:t>
      </w:r>
      <w:r>
        <w:rPr>
          <w:rFonts w:ascii="Arial" w:cs="Arial" w:eastAsia="Arial" w:hAnsi="Arial"/>
          <w:sz w:val="14"/>
          <w:szCs w:val="14"/>
          <w:color w:val="231F20"/>
        </w:rPr>
        <w:t>Member.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35BA7"/>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23</w:t>
            </w:r>
          </w:p>
        </w:tc>
      </w:tr>
      <w:tr>
        <w:trPr>
          <w:trHeight w:val="181"/>
        </w:trPr>
        <w:tc>
          <w:tcPr>
            <w:tcW w:w="8040" w:type="dxa"/>
            <w:vAlign w:val="bottom"/>
            <w:tcBorders>
              <w:bottom w:val="single" w:sz="8" w:color="C0C0C0"/>
            </w:tcBorders>
          </w:tcPr>
          <w:p>
            <w:pPr>
              <w:spacing w:after="0"/>
              <w:rPr>
                <w:sz w:val="15"/>
                <w:szCs w:val="15"/>
                <w:color w:val="auto"/>
              </w:rPr>
            </w:pPr>
          </w:p>
        </w:tc>
        <w:tc>
          <w:tcPr>
            <w:tcW w:w="3200" w:type="dxa"/>
            <w:vAlign w:val="bottom"/>
            <w:tcBorders>
              <w:bottom w:val="single" w:sz="8" w:color="C0C0C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-239395</wp:posOffset>
            </wp:positionV>
            <wp:extent cx="74549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65"/>
          <w:szCs w:val="65"/>
          <w:b w:val="1"/>
          <w:bCs w:val="1"/>
          <w:color w:val="FFFFFF"/>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11912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BOARD GOVERNANCE</w:t>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24D5C"/>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460" w:right="579"/>
        <w:spacing w:after="0"/>
        <w:rPr>
          <w:sz w:val="20"/>
          <w:szCs w:val="20"/>
          <w:color w:val="auto"/>
        </w:rPr>
      </w:pPr>
      <w:r>
        <w:rPr>
          <w:rFonts w:ascii="Arial" w:cs="Arial" w:eastAsia="Arial" w:hAnsi="Arial"/>
          <w:sz w:val="15"/>
          <w:szCs w:val="15"/>
          <w:color w:val="231F20"/>
        </w:rPr>
        <w:t>Pursuant to the Company’s Certificate of Incorporation, the board of directors is divided into three classes, denominated Class I, Class II, and Class III, with members of each class holding office for staggered three-year terms. There are currently four members in Class I, five members in Class II, and three members in Class III. As discussed above, the board of directors has determined that it would be in the best interests of the Company and its shareholders to apportion the directorships equally among the three classes of the board so that each class consist of four directors. This equal apportionment will be effected at the 2020 Annual Meeting if all of the nominees for Class II Director and Class III Director are elected at the 2020 Annual Meeting. The respective terms of the directors expire (in all cases, subject to the election and qualification of their successors and to their earlier death, resignation, or removal) as follows:</w:t>
      </w:r>
    </w:p>
    <w:p>
      <w:pPr>
        <w:spacing w:after="0" w:line="240" w:lineRule="exact"/>
        <w:rPr>
          <w:sz w:val="20"/>
          <w:szCs w:val="20"/>
          <w:color w:val="auto"/>
        </w:rPr>
      </w:pPr>
    </w:p>
    <w:p>
      <w:pPr>
        <w:ind w:left="700" w:hanging="246"/>
        <w:spacing w:after="0"/>
        <w:tabs>
          <w:tab w:leader="none" w:pos="700" w:val="left"/>
        </w:tabs>
        <w:numPr>
          <w:ilvl w:val="0"/>
          <w:numId w:val="43"/>
        </w:numPr>
        <w:rPr>
          <w:rFonts w:ascii="Arial" w:cs="Arial" w:eastAsia="Arial" w:hAnsi="Arial"/>
          <w:sz w:val="15"/>
          <w:szCs w:val="15"/>
          <w:color w:val="235BA7"/>
        </w:rPr>
      </w:pPr>
      <w:r>
        <w:rPr>
          <w:rFonts w:ascii="Arial" w:cs="Arial" w:eastAsia="Arial" w:hAnsi="Arial"/>
          <w:sz w:val="15"/>
          <w:szCs w:val="15"/>
          <w:color w:val="231F20"/>
        </w:rPr>
        <w:t>The terms of the Class I Directors expire at the 2022 Annual Meeting;</w:t>
      </w:r>
    </w:p>
    <w:p>
      <w:pPr>
        <w:spacing w:after="0" w:line="151" w:lineRule="exact"/>
        <w:rPr>
          <w:rFonts w:ascii="Arial" w:cs="Arial" w:eastAsia="Arial" w:hAnsi="Arial"/>
          <w:sz w:val="15"/>
          <w:szCs w:val="15"/>
          <w:color w:val="235BA7"/>
        </w:rPr>
      </w:pPr>
    </w:p>
    <w:p>
      <w:pPr>
        <w:ind w:left="700" w:hanging="246"/>
        <w:spacing w:after="0"/>
        <w:tabs>
          <w:tab w:leader="none" w:pos="700" w:val="left"/>
        </w:tabs>
        <w:numPr>
          <w:ilvl w:val="0"/>
          <w:numId w:val="43"/>
        </w:numPr>
        <w:rPr>
          <w:rFonts w:ascii="Arial" w:cs="Arial" w:eastAsia="Arial" w:hAnsi="Arial"/>
          <w:sz w:val="15"/>
          <w:szCs w:val="15"/>
          <w:color w:val="235BA7"/>
        </w:rPr>
      </w:pPr>
      <w:r>
        <w:rPr>
          <w:rFonts w:ascii="Arial" w:cs="Arial" w:eastAsia="Arial" w:hAnsi="Arial"/>
          <w:sz w:val="15"/>
          <w:szCs w:val="15"/>
          <w:color w:val="231F20"/>
        </w:rPr>
        <w:t>The terms of the Class II Directors expire at the 2020 Annual Meeting; and</w:t>
      </w:r>
    </w:p>
    <w:p>
      <w:pPr>
        <w:spacing w:after="0" w:line="151" w:lineRule="exact"/>
        <w:rPr>
          <w:rFonts w:ascii="Arial" w:cs="Arial" w:eastAsia="Arial" w:hAnsi="Arial"/>
          <w:sz w:val="15"/>
          <w:szCs w:val="15"/>
          <w:color w:val="235BA7"/>
        </w:rPr>
      </w:pPr>
    </w:p>
    <w:p>
      <w:pPr>
        <w:ind w:left="700" w:hanging="246"/>
        <w:spacing w:after="0"/>
        <w:tabs>
          <w:tab w:leader="none" w:pos="700" w:val="left"/>
        </w:tabs>
        <w:numPr>
          <w:ilvl w:val="0"/>
          <w:numId w:val="43"/>
        </w:numPr>
        <w:rPr>
          <w:rFonts w:ascii="Arial" w:cs="Arial" w:eastAsia="Arial" w:hAnsi="Arial"/>
          <w:sz w:val="15"/>
          <w:szCs w:val="15"/>
          <w:color w:val="235BA7"/>
        </w:rPr>
      </w:pPr>
      <w:r>
        <w:rPr>
          <w:rFonts w:ascii="Arial" w:cs="Arial" w:eastAsia="Arial" w:hAnsi="Arial"/>
          <w:sz w:val="15"/>
          <w:szCs w:val="15"/>
          <w:color w:val="231F20"/>
        </w:rPr>
        <w:t>The terms of the Class III Directors expire at the 2021 Annual Meeting.</w:t>
      </w:r>
    </w:p>
    <w:p>
      <w:pPr>
        <w:spacing w:after="0" w:line="152" w:lineRule="exact"/>
        <w:rPr>
          <w:sz w:val="20"/>
          <w:szCs w:val="20"/>
          <w:color w:val="auto"/>
        </w:rPr>
      </w:pPr>
    </w:p>
    <w:p>
      <w:pPr>
        <w:ind w:left="460" w:right="739"/>
        <w:spacing w:after="0" w:line="235" w:lineRule="auto"/>
        <w:rPr>
          <w:sz w:val="20"/>
          <w:szCs w:val="20"/>
          <w:color w:val="auto"/>
        </w:rPr>
      </w:pPr>
      <w:r>
        <w:rPr>
          <w:rFonts w:ascii="Arial" w:cs="Arial" w:eastAsia="Arial" w:hAnsi="Arial"/>
          <w:sz w:val="15"/>
          <w:szCs w:val="15"/>
          <w:color w:val="231F20"/>
        </w:rPr>
        <w:t>Dr. Coles is Sanofi’s designee to the board of directors in accordance with the Amended and Restated Investor Agreement between us and Sanofi described under “Certain Relationships and Related Transactions—Transactions with Related Persons—Amended and Restated Investor Agreement with Sanofi; 2018 Letter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24D5C"/>
        </w:rPr>
        <w:t>BOARD MEETINGS AND ATTENDANCE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460" w:right="599"/>
        <w:spacing w:after="0" w:line="231" w:lineRule="auto"/>
        <w:rPr>
          <w:sz w:val="20"/>
          <w:szCs w:val="20"/>
          <w:color w:val="auto"/>
        </w:rPr>
      </w:pPr>
      <w:r>
        <w:rPr>
          <w:rFonts w:ascii="Arial" w:cs="Arial" w:eastAsia="Arial" w:hAnsi="Arial"/>
          <w:sz w:val="15"/>
          <w:szCs w:val="15"/>
          <w:color w:val="231F20"/>
        </w:rPr>
        <w:t>The board held six regular meetings in 2019. All directors attended at least 75% of the total number of meetings of the board and committees of the board on which they served. According to the Regeneron Board of Directors Corporate Governance Guidelines, board members are expected to attend the Company’s Annual Meeting of Shareholders. All of the directors then in office (other than Dr. Coles, who was excused due to an unplanned personal matter) attended our 2019 Annual Meeting of Shareholders.</w:t>
      </w:r>
    </w:p>
    <w:p>
      <w:pPr>
        <w:spacing w:after="0" w:line="105" w:lineRule="exact"/>
        <w:rPr>
          <w:sz w:val="20"/>
          <w:szCs w:val="20"/>
          <w:color w:val="auto"/>
        </w:rPr>
      </w:pPr>
    </w:p>
    <w:p>
      <w:pPr>
        <w:ind w:left="460" w:right="1679"/>
        <w:spacing w:after="0" w:line="278" w:lineRule="auto"/>
        <w:rPr>
          <w:sz w:val="20"/>
          <w:szCs w:val="20"/>
          <w:color w:val="auto"/>
        </w:rPr>
      </w:pPr>
      <w:r>
        <w:rPr>
          <w:rFonts w:ascii="Arial" w:cs="Arial" w:eastAsia="Arial" w:hAnsi="Arial"/>
          <w:sz w:val="29"/>
          <w:szCs w:val="29"/>
          <w:b w:val="1"/>
          <w:bCs w:val="1"/>
          <w:color w:val="C24D5C"/>
        </w:rPr>
        <w:t>PROCEDURES RELATING TO NOMINEES; BOARD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-35560</wp:posOffset>
            </wp:positionV>
            <wp:extent cx="50831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95" w:lineRule="exact"/>
        <w:rPr>
          <w:sz w:val="20"/>
          <w:szCs w:val="20"/>
          <w:color w:val="auto"/>
        </w:rPr>
      </w:pPr>
    </w:p>
    <w:p>
      <w:pPr>
        <w:ind w:left="460" w:right="699"/>
        <w:spacing w:after="0" w:line="233" w:lineRule="auto"/>
        <w:rPr>
          <w:sz w:val="20"/>
          <w:szCs w:val="20"/>
          <w:color w:val="auto"/>
        </w:rPr>
      </w:pPr>
      <w:r>
        <w:rPr>
          <w:rFonts w:ascii="Arial" w:cs="Arial" w:eastAsia="Arial" w:hAnsi="Arial"/>
          <w:sz w:val="15"/>
          <w:szCs w:val="15"/>
          <w:color w:val="231F20"/>
        </w:rPr>
        <w:t xml:space="preserve">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cs="Arial" w:eastAsia="Arial" w:hAnsi="Arial"/>
          <w:sz w:val="15"/>
          <w:szCs w:val="15"/>
          <w:b w:val="1"/>
          <w:bCs w:val="1"/>
          <w:color w:val="231F20"/>
        </w:rPr>
        <w:t xml:space="preserve">www.regeneron.com </w:t>
      </w:r>
      <w:r>
        <w:rPr>
          <w:rFonts w:ascii="Arial" w:cs="Arial" w:eastAsia="Arial" w:hAnsi="Arial"/>
          <w:sz w:val="15"/>
          <w:szCs w:val="15"/>
          <w:color w:val="231F20"/>
        </w:rPr>
        <w:t>under the “Corporate Governance” heading on the “Investors &amp; Media” page.</w:t>
      </w:r>
    </w:p>
    <w:p>
      <w:pPr>
        <w:spacing w:after="0" w:line="140" w:lineRule="exact"/>
        <w:rPr>
          <w:sz w:val="20"/>
          <w:szCs w:val="20"/>
          <w:color w:val="auto"/>
        </w:rPr>
      </w:pPr>
    </w:p>
    <w:p>
      <w:pPr>
        <w:ind w:left="460" w:right="659"/>
        <w:spacing w:after="0" w:line="229" w:lineRule="auto"/>
        <w:rPr>
          <w:sz w:val="20"/>
          <w:szCs w:val="20"/>
          <w:color w:val="auto"/>
        </w:rPr>
      </w:pPr>
      <w:r>
        <w:rPr>
          <w:rFonts w:ascii="Arial" w:cs="Arial" w:eastAsia="Arial" w:hAnsi="Arial"/>
          <w:sz w:val="15"/>
          <w:szCs w:val="15"/>
          <w:color w:val="231F20"/>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44" w:lineRule="exact"/>
        <w:rPr>
          <w:sz w:val="20"/>
          <w:szCs w:val="20"/>
          <w:color w:val="auto"/>
        </w:rPr>
      </w:pPr>
    </w:p>
    <w:p>
      <w:pPr>
        <w:ind w:left="460" w:right="579"/>
        <w:spacing w:after="0" w:line="228" w:lineRule="auto"/>
        <w:rPr>
          <w:sz w:val="20"/>
          <w:szCs w:val="20"/>
          <w:color w:val="auto"/>
        </w:rPr>
      </w:pPr>
      <w:r>
        <w:rPr>
          <w:rFonts w:ascii="Arial" w:cs="Arial" w:eastAsia="Arial" w:hAnsi="Arial"/>
          <w:sz w:val="15"/>
          <w:szCs w:val="15"/>
          <w:color w:val="231F20"/>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EEF"/>
        </w:rPr>
        <w:t xml:space="preserve">24  </w:t>
      </w:r>
      <w:r>
        <w:rPr>
          <w:rFonts w:ascii="Arial" w:cs="Arial" w:eastAsia="Arial" w:hAnsi="Arial"/>
          <w:sz w:val="14"/>
          <w:szCs w:val="14"/>
          <w:color w:val="00AEEF"/>
        </w:rPr>
        <w:t xml:space="preserve">/  </w:t>
      </w:r>
      <w:r>
        <w:rPr>
          <w:sz w:val="1"/>
          <w:szCs w:val="1"/>
          <w:color w:val="auto"/>
        </w:rPr>
        <w:drawing>
          <wp:inline distT="0" distB="0" distL="0" distR="0">
            <wp:extent cx="745490" cy="857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35BA7"/>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109855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956" w:right="1440" w:bottom="1440" w:gutter="0" w:footer="0" w:header="0"/>
        </w:sectPr>
      </w:pPr>
    </w:p>
    <w:bookmarkStart w:id="35" w:name="page36"/>
    <w:bookmarkEnd w:id="35"/>
    <w:p>
      <w:pPr>
        <w:ind w:left="5700"/>
        <w:spacing w:after="0"/>
        <w:rPr>
          <w:sz w:val="20"/>
          <w:szCs w:val="20"/>
          <w:color w:val="auto"/>
        </w:rPr>
      </w:pPr>
      <w:r>
        <w:rPr>
          <w:rFonts w:ascii="Arial" w:cs="Arial" w:eastAsia="Arial" w:hAnsi="Arial"/>
          <w:sz w:val="16"/>
          <w:szCs w:val="16"/>
          <w:b w:val="1"/>
          <w:bCs w:val="1"/>
          <w:color w:val="235BA7"/>
        </w:rPr>
        <w:t xml:space="preserve">BOARD OF DIRECTORS </w:t>
      </w:r>
      <w:r>
        <w:rPr>
          <w:rFonts w:ascii="Arial" w:cs="Arial" w:eastAsia="Arial" w:hAnsi="Arial"/>
          <w:sz w:val="16"/>
          <w:szCs w:val="16"/>
          <w:color w:val="235BA7"/>
        </w:rPr>
        <w:t>/</w:t>
      </w:r>
      <w:r>
        <w:rPr>
          <w:rFonts w:ascii="Arial" w:cs="Arial" w:eastAsia="Arial" w:hAnsi="Arial"/>
          <w:sz w:val="16"/>
          <w:szCs w:val="16"/>
          <w:b w:val="1"/>
          <w:bCs w:val="1"/>
          <w:color w:val="235BA7"/>
        </w:rPr>
        <w:t xml:space="preserve"> </w:t>
      </w:r>
      <w:r>
        <w:rPr>
          <w:rFonts w:ascii="Arial" w:cs="Arial" w:eastAsia="Arial" w:hAnsi="Arial"/>
          <w:sz w:val="16"/>
          <w:szCs w:val="16"/>
          <w:b w:val="1"/>
          <w:bCs w:val="1"/>
          <w:color w:val="C24D5C"/>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ind w:left="1580" w:right="1700"/>
        <w:spacing w:after="0" w:line="230" w:lineRule="auto"/>
        <w:rPr>
          <w:sz w:val="20"/>
          <w:szCs w:val="20"/>
          <w:color w:val="auto"/>
        </w:rPr>
      </w:pPr>
      <w:r>
        <w:rPr>
          <w:rFonts w:ascii="Arial" w:cs="Arial" w:eastAsia="Arial" w:hAnsi="Arial"/>
          <w:sz w:val="15"/>
          <w:szCs w:val="15"/>
          <w:color w:val="231F20"/>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142" w:lineRule="exact"/>
        <w:rPr>
          <w:sz w:val="20"/>
          <w:szCs w:val="20"/>
          <w:color w:val="auto"/>
        </w:rPr>
      </w:pPr>
    </w:p>
    <w:p>
      <w:pPr>
        <w:ind w:left="1580" w:right="1800"/>
        <w:spacing w:after="0" w:line="228" w:lineRule="auto"/>
        <w:rPr>
          <w:sz w:val="20"/>
          <w:szCs w:val="20"/>
          <w:color w:val="auto"/>
        </w:rPr>
      </w:pPr>
      <w:r>
        <w:rPr>
          <w:rFonts w:ascii="Arial" w:cs="Arial" w:eastAsia="Arial" w:hAnsi="Arial"/>
          <w:sz w:val="15"/>
          <w:szCs w:val="15"/>
          <w:color w:val="231F20"/>
        </w:rPr>
        <w:t>The Corporate Governance and Compliance Committee may employ a variety of methods for identifying and evaluating nominees for the board of directors. In addition,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145" w:lineRule="exact"/>
        <w:rPr>
          <w:sz w:val="20"/>
          <w:szCs w:val="20"/>
          <w:color w:val="auto"/>
        </w:rPr>
      </w:pPr>
    </w:p>
    <w:p>
      <w:pPr>
        <w:ind w:left="1580" w:right="1660"/>
        <w:spacing w:after="0" w:line="233" w:lineRule="auto"/>
        <w:rPr>
          <w:sz w:val="20"/>
          <w:szCs w:val="20"/>
          <w:color w:val="auto"/>
        </w:rPr>
      </w:pPr>
      <w:r>
        <w:rPr>
          <w:rFonts w:ascii="Arial" w:cs="Arial" w:eastAsia="Arial" w:hAnsi="Arial"/>
          <w:sz w:val="15"/>
          <w:szCs w:val="15"/>
          <w:color w:val="231F20"/>
        </w:rPr>
        <w:t>The Corporate Governance and Compliance Committee seeks to ensure that our board of directors as a whole possesses the mix of skills and experiences to provide effective oversight and guidance to management to execute on the Company’s long-term strategy. The Committee also considers succession planning for board and committee chairs for purposes of continuity and to maintain relevant expertise and depth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130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24D5C"/>
        </w:rPr>
        <w:t>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1580" w:right="1800"/>
        <w:spacing w:after="0" w:line="228" w:lineRule="auto"/>
        <w:rPr>
          <w:sz w:val="20"/>
          <w:szCs w:val="20"/>
          <w:color w:val="auto"/>
        </w:rPr>
      </w:pPr>
      <w:r>
        <w:rPr>
          <w:rFonts w:ascii="Arial" w:cs="Arial" w:eastAsia="Arial" w:hAnsi="Arial"/>
          <w:sz w:val="15"/>
          <w:szCs w:val="15"/>
          <w:color w:val="231F20"/>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its findings and recommendations to the board of directors. The results of the assessments are then discussed by the board of directors and the respective committees in executive session, with a view toward taking action to address any issues presented. Results requiring additional consideration are addressed at subsequent board and committee meetings, where appropriate.</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C24D5C"/>
        </w:rPr>
        <w:t>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115570</wp:posOffset>
            </wp:positionV>
            <wp:extent cx="5143500" cy="1062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35BA7"/>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25</w:t>
            </w:r>
          </w:p>
        </w:tc>
      </w:tr>
      <w:tr>
        <w:trPr>
          <w:trHeight w:val="181"/>
        </w:trPr>
        <w:tc>
          <w:tcPr>
            <w:tcW w:w="8040" w:type="dxa"/>
            <w:vAlign w:val="bottom"/>
            <w:tcBorders>
              <w:bottom w:val="single" w:sz="8" w:color="C0C0C0"/>
            </w:tcBorders>
          </w:tcPr>
          <w:p>
            <w:pPr>
              <w:spacing w:after="0"/>
              <w:rPr>
                <w:sz w:val="15"/>
                <w:szCs w:val="15"/>
                <w:color w:val="auto"/>
              </w:rPr>
            </w:pPr>
          </w:p>
        </w:tc>
        <w:tc>
          <w:tcPr>
            <w:tcW w:w="3200" w:type="dxa"/>
            <w:vAlign w:val="bottom"/>
            <w:tcBorders>
              <w:bottom w:val="single" w:sz="8" w:color="C0C0C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-239395</wp:posOffset>
            </wp:positionV>
            <wp:extent cx="74549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ind w:left="280"/>
        <w:spacing w:after="0"/>
        <w:rPr>
          <w:sz w:val="20"/>
          <w:szCs w:val="20"/>
          <w:color w:val="auto"/>
        </w:rPr>
      </w:pPr>
      <w:r>
        <w:rPr>
          <w:rFonts w:ascii="Arial" w:cs="Arial" w:eastAsia="Arial" w:hAnsi="Arial"/>
          <w:sz w:val="16"/>
          <w:szCs w:val="16"/>
          <w:b w:val="1"/>
          <w:bCs w:val="1"/>
          <w:color w:val="235BA7"/>
        </w:rPr>
        <w:t xml:space="preserve">BOARD OF DIRECTORS </w:t>
      </w:r>
      <w:r>
        <w:rPr>
          <w:rFonts w:ascii="Arial" w:cs="Arial" w:eastAsia="Arial" w:hAnsi="Arial"/>
          <w:sz w:val="16"/>
          <w:szCs w:val="16"/>
          <w:color w:val="235BA7"/>
        </w:rPr>
        <w:t>/</w:t>
      </w:r>
      <w:r>
        <w:rPr>
          <w:rFonts w:ascii="Arial" w:cs="Arial" w:eastAsia="Arial" w:hAnsi="Arial"/>
          <w:sz w:val="16"/>
          <w:szCs w:val="16"/>
          <w:b w:val="1"/>
          <w:bCs w:val="1"/>
          <w:color w:val="235BA7"/>
        </w:rPr>
        <w:t xml:space="preserve"> </w:t>
      </w:r>
      <w:r>
        <w:rPr>
          <w:rFonts w:ascii="Arial" w:cs="Arial" w:eastAsia="Arial" w:hAnsi="Arial"/>
          <w:sz w:val="16"/>
          <w:szCs w:val="16"/>
          <w:b w:val="1"/>
          <w:bCs w:val="1"/>
          <w:color w:val="C24D5C"/>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195" w:lineRule="exact"/>
        <w:rPr>
          <w:sz w:val="20"/>
          <w:szCs w:val="20"/>
          <w:color w:val="auto"/>
        </w:rPr>
      </w:pPr>
    </w:p>
    <w:p>
      <w:pPr>
        <w:ind w:left="460" w:right="1019"/>
        <w:spacing w:after="0" w:line="242" w:lineRule="auto"/>
        <w:rPr>
          <w:sz w:val="20"/>
          <w:szCs w:val="20"/>
          <w:color w:val="auto"/>
        </w:rPr>
      </w:pPr>
      <w:r>
        <w:rPr>
          <w:rFonts w:ascii="Arial" w:cs="Arial" w:eastAsia="Arial" w:hAnsi="Arial"/>
          <w:sz w:val="15"/>
          <w:szCs w:val="15"/>
          <w:color w:val="231F20"/>
        </w:rPr>
        <w:t>While this formal self-assessment is conducted on an annual basis, directors share perspectives, feedback, and suggestions year-round, both inside and outside the boardroom.</w:t>
      </w:r>
    </w:p>
    <w:p>
      <w:pPr>
        <w:spacing w:after="0" w:line="101" w:lineRule="exact"/>
        <w:rPr>
          <w:sz w:val="20"/>
          <w:szCs w:val="20"/>
          <w:color w:val="auto"/>
        </w:rPr>
      </w:pPr>
    </w:p>
    <w:p>
      <w:pPr>
        <w:ind w:left="460" w:right="919"/>
        <w:spacing w:after="0" w:line="260" w:lineRule="auto"/>
        <w:rPr>
          <w:sz w:val="20"/>
          <w:szCs w:val="20"/>
          <w:color w:val="auto"/>
        </w:rPr>
      </w:pPr>
      <w:r>
        <w:rPr>
          <w:rFonts w:ascii="Arial" w:cs="Arial" w:eastAsia="Arial" w:hAnsi="Arial"/>
          <w:sz w:val="29"/>
          <w:szCs w:val="29"/>
          <w:b w:val="1"/>
          <w:bCs w:val="1"/>
          <w:color w:val="C24D5C"/>
        </w:rPr>
        <w:t>SHAREHOLDER RIGHTS TO REMOVE DIRECTORS FOR CAUSE AND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0831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21" w:lineRule="exact"/>
        <w:rPr>
          <w:sz w:val="20"/>
          <w:szCs w:val="20"/>
          <w:color w:val="auto"/>
        </w:rPr>
      </w:pPr>
    </w:p>
    <w:p>
      <w:pPr>
        <w:ind w:left="460" w:right="599"/>
        <w:spacing w:after="0" w:line="233" w:lineRule="auto"/>
        <w:rPr>
          <w:sz w:val="20"/>
          <w:szCs w:val="20"/>
          <w:color w:val="auto"/>
        </w:rPr>
      </w:pPr>
      <w:r>
        <w:rPr>
          <w:rFonts w:ascii="Arial" w:cs="Arial" w:eastAsia="Arial" w:hAnsi="Arial"/>
          <w:sz w:val="15"/>
          <w:szCs w:val="15"/>
          <w:color w:val="231F20"/>
        </w:rPr>
        <w:t>Regeneron’s charter documents give shareholders the rights to (i) 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24D5C"/>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460" w:right="619"/>
        <w:spacing w:after="0" w:line="229" w:lineRule="auto"/>
        <w:rPr>
          <w:sz w:val="20"/>
          <w:szCs w:val="20"/>
          <w:color w:val="auto"/>
        </w:rPr>
      </w:pPr>
      <w:r>
        <w:rPr>
          <w:rFonts w:ascii="Arial" w:cs="Arial" w:eastAsia="Arial" w:hAnsi="Arial"/>
          <w:sz w:val="15"/>
          <w:szCs w:val="15"/>
          <w:color w:val="231F20"/>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Christine A. Poon, Arthur F. Ryan, George L. Sing, Marc Tessier-Lavigne, Ph.D., and Huda Y. Zoghbi, M.D.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141" w:lineRule="exact"/>
        <w:rPr>
          <w:sz w:val="20"/>
          <w:szCs w:val="20"/>
          <w:color w:val="auto"/>
        </w:rPr>
      </w:pPr>
    </w:p>
    <w:p>
      <w:pPr>
        <w:ind w:left="460" w:right="759"/>
        <w:spacing w:after="0" w:line="233" w:lineRule="auto"/>
        <w:rPr>
          <w:sz w:val="20"/>
          <w:szCs w:val="20"/>
          <w:color w:val="auto"/>
        </w:rPr>
      </w:pPr>
      <w:r>
        <w:rPr>
          <w:rFonts w:ascii="Arial" w:cs="Arial" w:eastAsia="Arial" w:hAnsi="Arial"/>
          <w:sz w:val="15"/>
          <w:szCs w:val="15"/>
          <w:color w:val="231F20"/>
        </w:rPr>
        <w:t>The board of directors has determined that each of the current members of the Audit Committee, Messrs. Ryan and Sing and Dr. Coles, qualifies as an “audit committee financial expert” as that term is defined by SEC rules, and is independent as defined for audit committee members in the listing standards of The Nasdaq Stock Market LLC and SEC rules.</w:t>
      </w:r>
    </w:p>
    <w:p>
      <w:pPr>
        <w:spacing w:after="0" w:line="140" w:lineRule="exact"/>
        <w:rPr>
          <w:sz w:val="20"/>
          <w:szCs w:val="20"/>
          <w:color w:val="auto"/>
        </w:rPr>
      </w:pPr>
    </w:p>
    <w:p>
      <w:pPr>
        <w:ind w:left="460" w:right="579"/>
        <w:spacing w:after="0" w:line="233" w:lineRule="auto"/>
        <w:rPr>
          <w:sz w:val="20"/>
          <w:szCs w:val="20"/>
          <w:color w:val="auto"/>
        </w:rPr>
      </w:pPr>
      <w:r>
        <w:rPr>
          <w:rFonts w:ascii="Arial" w:cs="Arial" w:eastAsia="Arial" w:hAnsi="Arial"/>
          <w:sz w:val="15"/>
          <w:szCs w:val="15"/>
          <w:color w:val="231F20"/>
        </w:rPr>
        <w:t>In addition, the board of directors has determined that each of the current members of the Compensation Committee,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24D5C"/>
        </w:rPr>
        <w:t>BOARD LEADERSHIP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460" w:right="879"/>
        <w:spacing w:after="0" w:line="229" w:lineRule="auto"/>
        <w:rPr>
          <w:sz w:val="20"/>
          <w:szCs w:val="20"/>
          <w:color w:val="auto"/>
        </w:rPr>
      </w:pPr>
      <w:r>
        <w:rPr>
          <w:rFonts w:ascii="Arial" w:cs="Arial" w:eastAsia="Arial" w:hAnsi="Arial"/>
          <w:sz w:val="15"/>
          <w:szCs w:val="15"/>
          <w:color w:val="231F20"/>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The board executes its oversight responsibility for risk management directly and through its committees, as follows:</w:t>
      </w:r>
    </w:p>
    <w:p>
      <w:pPr>
        <w:spacing w:after="0" w:line="160" w:lineRule="exact"/>
        <w:rPr>
          <w:sz w:val="20"/>
          <w:szCs w:val="20"/>
          <w:color w:val="auto"/>
        </w:rPr>
      </w:pPr>
    </w:p>
    <w:p>
      <w:pPr>
        <w:ind w:left="700" w:right="519" w:hanging="246"/>
        <w:spacing w:after="0" w:line="245" w:lineRule="auto"/>
        <w:tabs>
          <w:tab w:leader="none" w:pos="700" w:val="left"/>
        </w:tabs>
        <w:numPr>
          <w:ilvl w:val="0"/>
          <w:numId w:val="44"/>
        </w:numPr>
        <w:rPr>
          <w:rFonts w:ascii="Arial" w:cs="Arial" w:eastAsia="Arial" w:hAnsi="Arial"/>
          <w:sz w:val="14"/>
          <w:szCs w:val="14"/>
          <w:color w:val="235BA7"/>
        </w:rPr>
      </w:pPr>
      <w:r>
        <w:rPr>
          <w:rFonts w:ascii="Arial" w:cs="Arial" w:eastAsia="Arial" w:hAnsi="Arial"/>
          <w:sz w:val="14"/>
          <w:szCs w:val="14"/>
          <w:color w:val="231F20"/>
        </w:rPr>
        <w:t>The Audit Committee oversees the Company’s risk management program. The risk management program focuses on the most significant risks the Company faces. The Company’s Chief Audit Executive, who reports independently to the Committee, facilitates the risk management program. Audit Committee meetings include discussions of specific risk areas throughout the year, including, among others, those relating to cybersecurity, and reports from the Chief Audit Executive on the Company’s enterprise risk profile on an annual basis.</w:t>
      </w:r>
    </w:p>
    <w:p>
      <w:pPr>
        <w:spacing w:after="0" w:line="150" w:lineRule="exact"/>
        <w:rPr>
          <w:rFonts w:ascii="Arial" w:cs="Arial" w:eastAsia="Arial" w:hAnsi="Arial"/>
          <w:sz w:val="14"/>
          <w:szCs w:val="14"/>
          <w:color w:val="235BA7"/>
        </w:rPr>
      </w:pPr>
    </w:p>
    <w:p>
      <w:pPr>
        <w:ind w:left="700" w:right="499" w:hanging="246"/>
        <w:spacing w:after="0" w:line="244" w:lineRule="auto"/>
        <w:tabs>
          <w:tab w:leader="none" w:pos="700" w:val="left"/>
        </w:tabs>
        <w:numPr>
          <w:ilvl w:val="0"/>
          <w:numId w:val="44"/>
        </w:numPr>
        <w:rPr>
          <w:rFonts w:ascii="Arial" w:cs="Arial" w:eastAsia="Arial" w:hAnsi="Arial"/>
          <w:sz w:val="14"/>
          <w:szCs w:val="14"/>
          <w:color w:val="235BA7"/>
        </w:rPr>
      </w:pPr>
      <w:r>
        <w:rPr>
          <w:rFonts w:ascii="Arial" w:cs="Arial" w:eastAsia="Arial" w:hAnsi="Arial"/>
          <w:sz w:val="14"/>
          <w:szCs w:val="14"/>
          <w:color w:val="231F20"/>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EEF"/>
        </w:rPr>
        <w:t xml:space="preserve">26  </w:t>
      </w:r>
      <w:r>
        <w:rPr>
          <w:rFonts w:ascii="Arial" w:cs="Arial" w:eastAsia="Arial" w:hAnsi="Arial"/>
          <w:sz w:val="14"/>
          <w:szCs w:val="14"/>
          <w:color w:val="00AEEF"/>
        </w:rPr>
        <w:t xml:space="preserve">/  </w:t>
      </w:r>
      <w:r>
        <w:rPr>
          <w:sz w:val="1"/>
          <w:szCs w:val="1"/>
          <w:color w:val="auto"/>
        </w:rPr>
        <w:drawing>
          <wp:inline distT="0" distB="0" distL="0" distR="0">
            <wp:extent cx="745490" cy="8572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35BA7"/>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109855</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7" w:name="page38"/>
    <w:bookmarkEnd w:id="37"/>
    <w:p>
      <w:pPr>
        <w:jc w:val="right"/>
        <w:ind w:right="1660"/>
        <w:spacing w:after="0"/>
        <w:rPr>
          <w:sz w:val="20"/>
          <w:szCs w:val="20"/>
          <w:color w:val="auto"/>
        </w:rPr>
      </w:pPr>
      <w:r>
        <w:rPr>
          <w:rFonts w:ascii="Arial" w:cs="Arial" w:eastAsia="Arial" w:hAnsi="Arial"/>
          <w:sz w:val="14"/>
          <w:szCs w:val="14"/>
          <w:b w:val="1"/>
          <w:bCs w:val="1"/>
          <w:color w:val="235BA7"/>
        </w:rPr>
        <w:t xml:space="preserve">BOARD OF DIRECTORS </w:t>
      </w:r>
      <w:r>
        <w:rPr>
          <w:rFonts w:ascii="Arial" w:cs="Arial" w:eastAsia="Arial" w:hAnsi="Arial"/>
          <w:sz w:val="14"/>
          <w:szCs w:val="14"/>
          <w:color w:val="235BA7"/>
        </w:rPr>
        <w:t>/</w:t>
      </w:r>
      <w:r>
        <w:rPr>
          <w:rFonts w:ascii="Arial" w:cs="Arial" w:eastAsia="Arial" w:hAnsi="Arial"/>
          <w:sz w:val="14"/>
          <w:szCs w:val="14"/>
          <w:b w:val="1"/>
          <w:bCs w:val="1"/>
          <w:color w:val="235BA7"/>
        </w:rPr>
        <w:t xml:space="preserve"> </w:t>
      </w:r>
      <w:r>
        <w:rPr>
          <w:rFonts w:ascii="Arial" w:cs="Arial" w:eastAsia="Arial" w:hAnsi="Arial"/>
          <w:sz w:val="14"/>
          <w:szCs w:val="14"/>
          <w:b w:val="1"/>
          <w:bCs w:val="1"/>
          <w:color w:val="C24D5C"/>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68580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75" w:lineRule="exact"/>
        <w:rPr>
          <w:sz w:val="20"/>
          <w:szCs w:val="20"/>
          <w:color w:val="auto"/>
        </w:rPr>
      </w:pPr>
    </w:p>
    <w:p>
      <w:pPr>
        <w:ind w:left="1820" w:right="1680" w:hanging="246"/>
        <w:spacing w:after="0" w:line="244" w:lineRule="auto"/>
        <w:tabs>
          <w:tab w:leader="none" w:pos="1820" w:val="left"/>
        </w:tabs>
        <w:numPr>
          <w:ilvl w:val="0"/>
          <w:numId w:val="45"/>
        </w:numPr>
        <w:rPr>
          <w:rFonts w:ascii="Arial" w:cs="Arial" w:eastAsia="Arial" w:hAnsi="Arial"/>
          <w:sz w:val="14"/>
          <w:szCs w:val="14"/>
          <w:color w:val="235BA7"/>
        </w:rPr>
      </w:pPr>
      <w:r>
        <w:rPr>
          <w:rFonts w:ascii="Arial" w:cs="Arial" w:eastAsia="Arial" w:hAnsi="Arial"/>
          <w:sz w:val="14"/>
          <w:szCs w:val="14"/>
          <w:color w:val="231F20"/>
        </w:rPr>
        <w:t>The board is kept abreast of its committees’ risk oversight and other activities via reports of the committee chairpersons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83" w:lineRule="exact"/>
        <w:rPr>
          <w:sz w:val="20"/>
          <w:szCs w:val="20"/>
          <w:color w:val="auto"/>
        </w:rPr>
      </w:pPr>
    </w:p>
    <w:p>
      <w:pPr>
        <w:ind w:left="1580" w:right="3040"/>
        <w:spacing w:after="0" w:line="260" w:lineRule="auto"/>
        <w:rPr>
          <w:sz w:val="20"/>
          <w:szCs w:val="20"/>
          <w:color w:val="auto"/>
        </w:rPr>
      </w:pPr>
      <w:r>
        <w:rPr>
          <w:rFonts w:ascii="Arial" w:cs="Arial" w:eastAsia="Arial" w:hAnsi="Arial"/>
          <w:sz w:val="29"/>
          <w:szCs w:val="29"/>
          <w:b w:val="1"/>
          <w:bCs w:val="1"/>
          <w:color w:val="C24D5C"/>
        </w:rPr>
        <w:t>EXECUTIVE COMPENSATION PROCESSES AND PROCEDURES; ROLE OF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-19050</wp:posOffset>
            </wp:positionV>
            <wp:extent cx="50831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21" w:lineRule="exact"/>
        <w:rPr>
          <w:sz w:val="20"/>
          <w:szCs w:val="20"/>
          <w:color w:val="auto"/>
        </w:rPr>
      </w:pPr>
    </w:p>
    <w:p>
      <w:pPr>
        <w:ind w:left="1580" w:right="1780"/>
        <w:spacing w:after="0" w:line="233" w:lineRule="auto"/>
        <w:rPr>
          <w:sz w:val="20"/>
          <w:szCs w:val="20"/>
          <w:color w:val="auto"/>
        </w:rPr>
      </w:pPr>
      <w:r>
        <w:rPr>
          <w:rFonts w:ascii="Arial" w:cs="Arial" w:eastAsia="Arial" w:hAnsi="Arial"/>
          <w:sz w:val="15"/>
          <w:szCs w:val="15"/>
          <w:color w:val="231F20"/>
        </w:rPr>
        <w:t>The Compensation Committee is responsible for overseeing the Company’s general compensation objectives and programs. We describe below under “Compensation-Related Matters — Compensation Discussion and Analysis — Our Compensation Processes” the role of the Compensation Committee, as well as the role of our executive officers, in decisions regarding executive compensation (particularly with respect to our Named Executive Officers).</w:t>
      </w:r>
    </w:p>
    <w:p>
      <w:pPr>
        <w:spacing w:after="0" w:line="140" w:lineRule="exact"/>
        <w:rPr>
          <w:sz w:val="20"/>
          <w:szCs w:val="20"/>
          <w:color w:val="auto"/>
        </w:rPr>
      </w:pPr>
    </w:p>
    <w:p>
      <w:pPr>
        <w:ind w:left="1580" w:right="1780"/>
        <w:spacing w:after="0" w:line="229" w:lineRule="auto"/>
        <w:rPr>
          <w:sz w:val="20"/>
          <w:szCs w:val="20"/>
          <w:color w:val="auto"/>
        </w:rPr>
      </w:pPr>
      <w:r>
        <w:rPr>
          <w:rFonts w:ascii="Arial" w:cs="Arial" w:eastAsia="Arial" w:hAnsi="Arial"/>
          <w:sz w:val="15"/>
          <w:szCs w:val="15"/>
          <w:color w:val="231F20"/>
        </w:rPr>
        <w:t>The Compensation Committee has the sole authority to retain its own third-party compensation consultants, and in 2019 utilized the services of Frederic W. Cook &amp; Co., Inc. (“Frederic W. Cook &amp; Co.”), an independent compensation consultant. Advice and recommendations provided by Frederic W. Cook &amp; Co. relate to both executive compensation (discussed in the section “Compensation-Related Matters” below) and director compensation matters (discussed in the subsection “Compensation of Directors” below). As discussed further below, the Corporate Governance and Compliance Committee has adopted a policy requiring the annual review of non-employee director compensation by an independent compensation consultant and separately engaged Frederic W. Cook &amp; Co. for that purpose.</w:t>
      </w:r>
    </w:p>
    <w:p>
      <w:pPr>
        <w:spacing w:after="0" w:line="144" w:lineRule="exact"/>
        <w:rPr>
          <w:sz w:val="20"/>
          <w:szCs w:val="20"/>
          <w:color w:val="auto"/>
        </w:rPr>
      </w:pPr>
    </w:p>
    <w:p>
      <w:pPr>
        <w:ind w:left="1580" w:right="1720"/>
        <w:spacing w:after="0" w:line="229" w:lineRule="auto"/>
        <w:rPr>
          <w:sz w:val="20"/>
          <w:szCs w:val="20"/>
          <w:color w:val="auto"/>
        </w:rPr>
      </w:pPr>
      <w:r>
        <w:rPr>
          <w:rFonts w:ascii="Arial" w:cs="Arial" w:eastAsia="Arial" w:hAnsi="Arial"/>
          <w:sz w:val="15"/>
          <w:szCs w:val="15"/>
          <w:color w:val="231F20"/>
        </w:rPr>
        <w:t>Management also retains another compensation consultant for its own use. In 2019,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Market Composite Data discussed in “Compensation-Related Matters — Compensation Discussion and Analysis” below);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35BA7"/>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27</w:t>
            </w:r>
          </w:p>
        </w:tc>
      </w:tr>
      <w:tr>
        <w:trPr>
          <w:trHeight w:val="181"/>
        </w:trPr>
        <w:tc>
          <w:tcPr>
            <w:tcW w:w="8040" w:type="dxa"/>
            <w:vAlign w:val="bottom"/>
            <w:tcBorders>
              <w:bottom w:val="single" w:sz="8" w:color="C0C0C0"/>
            </w:tcBorders>
          </w:tcPr>
          <w:p>
            <w:pPr>
              <w:spacing w:after="0"/>
              <w:rPr>
                <w:sz w:val="15"/>
                <w:szCs w:val="15"/>
                <w:color w:val="auto"/>
              </w:rPr>
            </w:pPr>
          </w:p>
        </w:tc>
        <w:tc>
          <w:tcPr>
            <w:tcW w:w="3200" w:type="dxa"/>
            <w:vAlign w:val="bottom"/>
            <w:tcBorders>
              <w:bottom w:val="single" w:sz="8" w:color="C0C0C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-239395</wp:posOffset>
            </wp:positionV>
            <wp:extent cx="74549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ind w:left="360"/>
        <w:spacing w:after="0"/>
        <w:rPr>
          <w:sz w:val="20"/>
          <w:szCs w:val="20"/>
          <w:color w:val="auto"/>
        </w:rPr>
      </w:pPr>
      <w:r>
        <w:rPr>
          <w:rFonts w:ascii="Arial" w:cs="Arial" w:eastAsia="Arial" w:hAnsi="Arial"/>
          <w:sz w:val="47"/>
          <w:szCs w:val="47"/>
          <w:b w:val="1"/>
          <w:bCs w:val="1"/>
          <w:color w:val="FFFFFF"/>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12515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5158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23" w:lineRule="exact"/>
        <w:rPr>
          <w:sz w:val="20"/>
          <w:szCs w:val="20"/>
          <w:color w:val="auto"/>
        </w:rPr>
      </w:pPr>
    </w:p>
    <w:p>
      <w:pPr>
        <w:ind w:left="460" w:right="679"/>
        <w:spacing w:after="0" w:line="231" w:lineRule="auto"/>
        <w:rPr>
          <w:sz w:val="20"/>
          <w:szCs w:val="20"/>
          <w:color w:val="auto"/>
        </w:rPr>
      </w:pPr>
      <w:r>
        <w:rPr>
          <w:rFonts w:ascii="Arial" w:cs="Arial" w:eastAsia="Arial" w:hAnsi="Arial"/>
          <w:sz w:val="15"/>
          <w:szCs w:val="15"/>
          <w:color w:val="231F20"/>
        </w:rPr>
        <w:t>The general philosophy we have applied to compensation of our non-employee directors and the Chairman of the Board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spacing w:after="0" w:line="142" w:lineRule="exact"/>
        <w:rPr>
          <w:sz w:val="20"/>
          <w:szCs w:val="20"/>
          <w:color w:val="auto"/>
        </w:rPr>
      </w:pPr>
    </w:p>
    <w:p>
      <w:pPr>
        <w:ind w:left="460" w:right="659"/>
        <w:spacing w:after="0" w:line="227" w:lineRule="auto"/>
        <w:rPr>
          <w:sz w:val="20"/>
          <w:szCs w:val="20"/>
          <w:color w:val="auto"/>
        </w:rPr>
      </w:pPr>
      <w:r>
        <w:rPr>
          <w:rFonts w:ascii="Arial" w:cs="Arial" w:eastAsia="Arial" w:hAnsi="Arial"/>
          <w:sz w:val="15"/>
          <w:szCs w:val="15"/>
          <w:color w:val="231F20"/>
        </w:rPr>
        <w:t>Non-employee director compensation matters are subject to annual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and recommends changes to such compensation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expertise, and demands on our directors, practices of similar companies in the</w:t>
      </w:r>
    </w:p>
    <w:p>
      <w:pPr>
        <w:ind w:left="460" w:right="599"/>
        <w:spacing w:after="0" w:line="209" w:lineRule="auto"/>
        <w:rPr>
          <w:sz w:val="20"/>
          <w:szCs w:val="20"/>
          <w:color w:val="auto"/>
        </w:rPr>
      </w:pPr>
      <w:r>
        <w:rPr>
          <w:rFonts w:ascii="Arial" w:cs="Arial" w:eastAsia="Arial" w:hAnsi="Arial"/>
          <w:sz w:val="15"/>
          <w:szCs w:val="15"/>
          <w:color w:val="231F20"/>
        </w:rPr>
        <w:t>biotechnology industry (including the Peer Group</w:t>
      </w:r>
      <w:r>
        <w:rPr>
          <w:rFonts w:ascii="Arial" w:cs="Arial" w:eastAsia="Arial" w:hAnsi="Arial"/>
          <w:sz w:val="25"/>
          <w:szCs w:val="25"/>
          <w:color w:val="231F20"/>
          <w:vertAlign w:val="superscript"/>
        </w:rPr>
        <w:t>2</w:t>
      </w:r>
      <w:r>
        <w:rPr>
          <w:rFonts w:ascii="Arial" w:cs="Arial" w:eastAsia="Arial" w:hAnsi="Arial"/>
          <w:sz w:val="15"/>
          <w:szCs w:val="15"/>
          <w:color w:val="231F20"/>
        </w:rPr>
        <w:t>), and any comparative information provided by Frederic W. Cook &amp; Co. In addition, since November 2018, the Corporate Governance and Compliance Committee has required the annual review of non-employee director compensation by an independent compensation consultant, and has engaged Frederic W. Cook &amp; Co. for this purpose in each of the last two years.</w:t>
      </w:r>
    </w:p>
    <w:p>
      <w:pPr>
        <w:spacing w:after="0" w:line="140" w:lineRule="exact"/>
        <w:rPr>
          <w:sz w:val="20"/>
          <w:szCs w:val="20"/>
          <w:color w:val="auto"/>
        </w:rPr>
      </w:pPr>
    </w:p>
    <w:p>
      <w:pPr>
        <w:ind w:left="460" w:right="1479"/>
        <w:spacing w:after="0" w:line="242" w:lineRule="auto"/>
        <w:rPr>
          <w:sz w:val="20"/>
          <w:szCs w:val="20"/>
          <w:color w:val="auto"/>
        </w:rPr>
      </w:pPr>
      <w:r>
        <w:rPr>
          <w:rFonts w:ascii="Arial" w:cs="Arial" w:eastAsia="Arial" w:hAnsi="Arial"/>
          <w:sz w:val="15"/>
          <w:szCs w:val="15"/>
          <w:color w:val="231F20"/>
        </w:rPr>
        <w:t>The process governing the compensation arrangements of the Chairman of the Board is described under “Compensation Arrangements of the Chairman of the Board of Directors” below.</w:t>
      </w:r>
    </w:p>
    <w:p>
      <w:pPr>
        <w:spacing w:after="0" w:line="138" w:lineRule="exact"/>
        <w:rPr>
          <w:sz w:val="20"/>
          <w:szCs w:val="20"/>
          <w:color w:val="auto"/>
        </w:rPr>
      </w:pPr>
    </w:p>
    <w:p>
      <w:pPr>
        <w:ind w:left="460" w:right="759"/>
        <w:spacing w:after="0" w:line="232" w:lineRule="auto"/>
        <w:rPr>
          <w:sz w:val="20"/>
          <w:szCs w:val="20"/>
          <w:color w:val="auto"/>
        </w:rPr>
      </w:pPr>
      <w:r>
        <w:rPr>
          <w:rFonts w:ascii="Arial" w:cs="Arial" w:eastAsia="Arial" w:hAnsi="Arial"/>
          <w:sz w:val="15"/>
          <w:szCs w:val="15"/>
          <w:color w:val="231F20"/>
        </w:rPr>
        <w:t>The current compensation program for our non-employee directors and the Chairman of the Board (which has been effective for our non-employee directors and the Chairman of the Board since January 2019 and December 2018,</w:t>
      </w:r>
    </w:p>
    <w:p>
      <w:pPr>
        <w:ind w:left="460"/>
        <w:spacing w:after="0"/>
        <w:rPr>
          <w:sz w:val="20"/>
          <w:szCs w:val="20"/>
          <w:color w:val="auto"/>
        </w:rPr>
      </w:pPr>
      <w:r>
        <w:rPr>
          <w:rFonts w:ascii="Arial" w:cs="Arial" w:eastAsia="Arial" w:hAnsi="Arial"/>
          <w:sz w:val="15"/>
          <w:szCs w:val="15"/>
          <w:color w:val="231F20"/>
        </w:rPr>
        <w:t>respectively, and is further described below) is referred to in this section as the “Current Compensation Program.”</w:t>
      </w:r>
      <w:r>
        <w:rPr>
          <w:rFonts w:ascii="Arial" w:cs="Arial" w:eastAsia="Arial" w:hAnsi="Arial"/>
          <w:sz w:val="25"/>
          <w:szCs w:val="25"/>
          <w:color w:val="231F20"/>
          <w:vertAlign w:val="superscript"/>
        </w:rPr>
        <w:t>3</w:t>
      </w:r>
    </w:p>
    <w:p>
      <w:pPr>
        <w:spacing w:after="0" w:line="112" w:lineRule="exact"/>
        <w:rPr>
          <w:sz w:val="20"/>
          <w:szCs w:val="20"/>
          <w:color w:val="auto"/>
        </w:rPr>
      </w:pPr>
    </w:p>
    <w:p>
      <w:pPr>
        <w:ind w:left="460" w:right="2239"/>
        <w:spacing w:after="0" w:line="278" w:lineRule="auto"/>
        <w:rPr>
          <w:sz w:val="20"/>
          <w:szCs w:val="20"/>
          <w:color w:val="auto"/>
        </w:rPr>
      </w:pPr>
      <w:r>
        <w:rPr>
          <w:rFonts w:ascii="Arial" w:cs="Arial" w:eastAsia="Arial" w:hAnsi="Arial"/>
          <w:sz w:val="29"/>
          <w:szCs w:val="29"/>
          <w:b w:val="1"/>
          <w:bCs w:val="1"/>
          <w:color w:val="C04C57"/>
        </w:rPr>
        <w:t>NON-EMPLOYEE DIRECTOR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-35560</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3" w:lineRule="exact"/>
        <w:rPr>
          <w:sz w:val="20"/>
          <w:szCs w:val="20"/>
          <w:color w:val="auto"/>
        </w:rPr>
      </w:pPr>
    </w:p>
    <w:p>
      <w:pPr>
        <w:ind w:left="460" w:right="559"/>
        <w:spacing w:after="0" w:line="228" w:lineRule="auto"/>
        <w:rPr>
          <w:sz w:val="20"/>
          <w:szCs w:val="20"/>
          <w:color w:val="auto"/>
        </w:rPr>
      </w:pPr>
      <w:r>
        <w:rPr>
          <w:rFonts w:ascii="Arial" w:cs="Arial" w:eastAsia="Arial" w:hAnsi="Arial"/>
          <w:sz w:val="15"/>
          <w:szCs w:val="15"/>
          <w:color w:val="231F20"/>
        </w:rPr>
        <w:t>Our philosophy for non-employee director compensation is simple: to attract the most highly qualified directors with a diverse skillset who will serve as stewards of the Company’s long-term prospects and scientific focus.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RSUs) for our non-employee directors. This feature of the Current Compensation Program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109220</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51" w:lineRule="exact"/>
        <w:rPr>
          <w:sz w:val="20"/>
          <w:szCs w:val="20"/>
          <w:color w:val="auto"/>
        </w:rPr>
      </w:pPr>
    </w:p>
    <w:p>
      <w:pPr>
        <w:ind w:left="580" w:right="539" w:hanging="126"/>
        <w:spacing w:after="0" w:line="258" w:lineRule="auto"/>
        <w:tabs>
          <w:tab w:leader="none" w:pos="580" w:val="left"/>
        </w:tabs>
        <w:numPr>
          <w:ilvl w:val="0"/>
          <w:numId w:val="46"/>
        </w:numPr>
        <w:rPr>
          <w:rFonts w:ascii="Arial" w:cs="Arial" w:eastAsia="Arial" w:hAnsi="Arial"/>
          <w:sz w:val="14"/>
          <w:szCs w:val="14"/>
          <w:b w:val="1"/>
          <w:bCs w:val="1"/>
          <w:color w:val="2952A4"/>
        </w:rPr>
      </w:pPr>
      <w:r>
        <w:rPr>
          <w:rFonts w:ascii="Arial" w:cs="Arial" w:eastAsia="Arial" w:hAnsi="Arial"/>
          <w:sz w:val="14"/>
          <w:szCs w:val="14"/>
          <w:color w:val="231F20"/>
        </w:rPr>
        <w:t>See “Compensation-Related Matters—Compensation Discussion and Analysis—Our Compensation Processes—Peer Data” below for a list of the companies included in our Peer Group.</w:t>
      </w:r>
    </w:p>
    <w:p>
      <w:pPr>
        <w:spacing w:after="0" w:line="32" w:lineRule="exact"/>
        <w:rPr>
          <w:sz w:val="20"/>
          <w:szCs w:val="20"/>
          <w:color w:val="auto"/>
        </w:rPr>
      </w:pPr>
    </w:p>
    <w:p>
      <w:pPr>
        <w:ind w:left="580" w:right="859" w:hanging="126"/>
        <w:spacing w:after="0" w:line="258" w:lineRule="auto"/>
        <w:tabs>
          <w:tab w:leader="none" w:pos="580" w:val="left"/>
        </w:tabs>
        <w:numPr>
          <w:ilvl w:val="0"/>
          <w:numId w:val="47"/>
        </w:numPr>
        <w:rPr>
          <w:rFonts w:ascii="Arial" w:cs="Arial" w:eastAsia="Arial" w:hAnsi="Arial"/>
          <w:sz w:val="14"/>
          <w:szCs w:val="14"/>
          <w:b w:val="1"/>
          <w:bCs w:val="1"/>
          <w:color w:val="2952A4"/>
        </w:rPr>
      </w:pPr>
      <w:r>
        <w:rPr>
          <w:rFonts w:ascii="Arial" w:cs="Arial" w:eastAsia="Arial" w:hAnsi="Arial"/>
          <w:sz w:val="14"/>
          <w:szCs w:val="14"/>
          <w:color w:val="231F20"/>
        </w:rPr>
        <w:t>The Current Compensation Program was implemented following the previously disclosed settlement of two shareholder derivative actions (the “Settlement”) and complies with the terms of the Settlement.</w:t>
      </w:r>
    </w:p>
    <w:p>
      <w:pPr>
        <w:spacing w:after="0" w:line="36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28  /  </w:t>
      </w:r>
      <w:r>
        <w:rPr>
          <w:sz w:val="1"/>
          <w:szCs w:val="1"/>
          <w:color w:val="auto"/>
        </w:rPr>
        <w:drawing>
          <wp:inline distT="0" distB="0" distL="0" distR="0">
            <wp:extent cx="745490" cy="857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39" w:name="page40"/>
    <w:bookmarkEnd w:id="39"/>
    <w:p>
      <w:pPr>
        <w:ind w:left="492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CASH FEES AND MATCHING GIFT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04" w:lineRule="exact"/>
        <w:rPr>
          <w:sz w:val="20"/>
          <w:szCs w:val="20"/>
          <w:color w:val="auto"/>
        </w:rPr>
      </w:pPr>
    </w:p>
    <w:p>
      <w:pPr>
        <w:ind w:left="1580" w:right="1700"/>
        <w:spacing w:after="0" w:line="228" w:lineRule="auto"/>
        <w:rPr>
          <w:sz w:val="20"/>
          <w:szCs w:val="20"/>
          <w:color w:val="auto"/>
        </w:rPr>
      </w:pPr>
      <w:r>
        <w:rPr>
          <w:rFonts w:ascii="Arial" w:cs="Arial" w:eastAsia="Arial" w:hAnsi="Arial"/>
          <w:sz w:val="15"/>
          <w:szCs w:val="15"/>
          <w:color w:val="231F20"/>
        </w:rPr>
        <w:t>In 2019, each non-employee director received an annual retainer of $90,000 and an annual committee retainer of $10,000 for each standing committee of the Company’s board of directors on which the director served. In addition, each chairperson of each standing committee received an additional annual retainer of $10,000. Compared to cash compensation of non-employee directors in our Peer Group, the 2019 annual retainer for board service was below the</w:t>
      </w:r>
    </w:p>
    <w:p>
      <w:pPr>
        <w:spacing w:after="0" w:line="2"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75th percentile and the additional retainers provided to our committee chairpersons were below the median.</w:t>
      </w:r>
      <w:r>
        <w:rPr>
          <w:rFonts w:ascii="Arial" w:cs="Arial" w:eastAsia="Arial" w:hAnsi="Arial"/>
          <w:sz w:val="25"/>
          <w:szCs w:val="25"/>
          <w:color w:val="231F20"/>
          <w:vertAlign w:val="superscript"/>
        </w:rPr>
        <w:t>4</w:t>
      </w:r>
    </w:p>
    <w:p>
      <w:pPr>
        <w:spacing w:after="0" w:line="67" w:lineRule="exact"/>
        <w:rPr>
          <w:sz w:val="20"/>
          <w:szCs w:val="20"/>
          <w:color w:val="auto"/>
        </w:rPr>
      </w:pPr>
    </w:p>
    <w:p>
      <w:pPr>
        <w:ind w:left="1580" w:right="1660"/>
        <w:spacing w:after="0" w:line="231" w:lineRule="auto"/>
        <w:rPr>
          <w:sz w:val="20"/>
          <w:szCs w:val="20"/>
          <w:color w:val="auto"/>
        </w:rPr>
      </w:pPr>
      <w:r>
        <w:rPr>
          <w:rFonts w:ascii="Arial" w:cs="Arial" w:eastAsia="Arial" w:hAnsi="Arial"/>
          <w:sz w:val="15"/>
          <w:szCs w:val="15"/>
          <w:color w:val="231F20"/>
        </w:rPr>
        <w:t>Non-employee directors are reimbursed for their actual expenses incurred in connection with their activities as directors, which included travel, hotel, and food and entertainment expenses.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of $5,000 per director or employee.</w:t>
      </w:r>
    </w:p>
    <w:p>
      <w:pPr>
        <w:spacing w:after="0" w:line="240"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2019 and 2020 Equity Awards</w:t>
      </w:r>
    </w:p>
    <w:p>
      <w:pPr>
        <w:spacing w:after="0" w:line="217" w:lineRule="exact"/>
        <w:rPr>
          <w:sz w:val="20"/>
          <w:szCs w:val="20"/>
          <w:color w:val="auto"/>
        </w:rPr>
      </w:pPr>
    </w:p>
    <w:p>
      <w:pPr>
        <w:ind w:left="1580" w:right="1660"/>
        <w:spacing w:after="0" w:line="230" w:lineRule="auto"/>
        <w:rPr>
          <w:sz w:val="20"/>
          <w:szCs w:val="20"/>
          <w:color w:val="auto"/>
        </w:rPr>
      </w:pPr>
      <w:r>
        <w:rPr>
          <w:rFonts w:ascii="Arial" w:cs="Arial" w:eastAsia="Arial" w:hAnsi="Arial"/>
          <w:sz w:val="15"/>
          <w:szCs w:val="15"/>
          <w:color w:val="231F20"/>
        </w:rPr>
        <w:t>The January 2019 and January 2020 annual equity awards to our non-employee directors were made in accordance with the Current Compensation Program and complied with the respective limits imposed by the Amended and Restated Regeneron Pharmaceuticals, Inc. 2014 Long-Term Incentive Plan and the Settlement. If approved by the shareholders at the 2020 Annual Meeting, such limits will also be incorporated into the Second Amended and Restated Regeneron Pharmaceuticals, Inc. 2014 Long-Term Incentive Plan. See “Proposal No. 3: Second Amendment and Restatement of Long-Term Incentive Plan” for more information on these limits and other terms of this Plan.</w:t>
      </w:r>
    </w:p>
    <w:p>
      <w:pPr>
        <w:spacing w:after="0" w:line="142" w:lineRule="exact"/>
        <w:rPr>
          <w:sz w:val="20"/>
          <w:szCs w:val="20"/>
          <w:color w:val="auto"/>
        </w:rPr>
      </w:pPr>
    </w:p>
    <w:p>
      <w:pPr>
        <w:ind w:left="1580" w:right="1680"/>
        <w:spacing w:after="0" w:line="228" w:lineRule="auto"/>
        <w:rPr>
          <w:sz w:val="20"/>
          <w:szCs w:val="20"/>
          <w:color w:val="auto"/>
        </w:rPr>
      </w:pPr>
      <w:r>
        <w:rPr>
          <w:rFonts w:ascii="Arial" w:cs="Arial" w:eastAsia="Arial" w:hAnsi="Arial"/>
          <w:sz w:val="15"/>
          <w:szCs w:val="15"/>
          <w:color w:val="231F20"/>
        </w:rPr>
        <w:t>With respect to each of the January 2019 and January 2020 annual equity awards, the board of directors (upon the recommendation of the Corporate Governance and Compliance Committee) determined that the targeted aggregate grant date fair value of such equity awards would be set at $600,000 per non-employee director and consist of stock options with a grant date fair value of $480,000 (or 80% thereof) and RSUs with a grant date fair value of $120,000 (or 20% thereof). The January 2019 annual equity awards to our non-employee directors are shown in the table below. On January 2, 2020, each of the then-serving nine non-employee directors received an equity award comprised of stock options representing 4,361 shares of common stock (with a grant date fair value of $480,281) and 320 RSUs (with a grant date fair value of $119,718). The aggregate grant date fair value of the January 2020 equity awards was $599,999 per non-employee director.</w:t>
      </w:r>
    </w:p>
    <w:p>
      <w:pPr>
        <w:spacing w:after="0" w:line="135"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Similar to the process undertaken in respect of the January 2019 annual equity awards, the Corporate Governance</w:t>
      </w:r>
    </w:p>
    <w:p>
      <w:pPr>
        <w:ind w:left="1580"/>
        <w:spacing w:after="0" w:line="225" w:lineRule="auto"/>
        <w:rPr>
          <w:sz w:val="20"/>
          <w:szCs w:val="20"/>
          <w:color w:val="auto"/>
        </w:rPr>
      </w:pPr>
      <w:r>
        <w:rPr>
          <w:rFonts w:ascii="Arial" w:cs="Arial" w:eastAsia="Arial" w:hAnsi="Arial"/>
          <w:sz w:val="15"/>
          <w:szCs w:val="15"/>
          <w:color w:val="231F20"/>
        </w:rPr>
        <w:t>and Compliance Committee recommended the approval of, and the board of directors approved, the terms of the</w:t>
      </w:r>
    </w:p>
    <w:p>
      <w:pPr>
        <w:ind w:left="1580"/>
        <w:spacing w:after="0" w:line="225" w:lineRule="auto"/>
        <w:rPr>
          <w:sz w:val="20"/>
          <w:szCs w:val="20"/>
          <w:color w:val="auto"/>
        </w:rPr>
      </w:pPr>
      <w:r>
        <w:rPr>
          <w:rFonts w:ascii="Arial" w:cs="Arial" w:eastAsia="Arial" w:hAnsi="Arial"/>
          <w:sz w:val="15"/>
          <w:szCs w:val="15"/>
          <w:color w:val="231F20"/>
        </w:rPr>
        <w:t>January 2020 annual equity awards after consideration of the review, analysis, and recommendations of</w:t>
      </w:r>
    </w:p>
    <w:p>
      <w:pPr>
        <w:ind w:left="1580"/>
        <w:spacing w:after="0" w:line="226" w:lineRule="auto"/>
        <w:rPr>
          <w:sz w:val="20"/>
          <w:szCs w:val="20"/>
          <w:color w:val="auto"/>
        </w:rPr>
      </w:pPr>
      <w:r>
        <w:rPr>
          <w:rFonts w:ascii="Arial" w:cs="Arial" w:eastAsia="Arial" w:hAnsi="Arial"/>
          <w:sz w:val="15"/>
          <w:szCs w:val="15"/>
          <w:color w:val="231F20"/>
        </w:rPr>
        <w:t>Frederic W. Cook &amp; Co. Such analysis focused on, among other matters, the market practices of companies in our</w:t>
      </w:r>
    </w:p>
    <w:p>
      <w:pPr>
        <w:ind w:left="1580"/>
        <w:spacing w:after="0" w:line="225" w:lineRule="auto"/>
        <w:rPr>
          <w:sz w:val="20"/>
          <w:szCs w:val="20"/>
          <w:color w:val="auto"/>
        </w:rPr>
      </w:pPr>
      <w:r>
        <w:rPr>
          <w:rFonts w:ascii="Arial" w:cs="Arial" w:eastAsia="Arial" w:hAnsi="Arial"/>
          <w:sz w:val="15"/>
          <w:szCs w:val="15"/>
          <w:color w:val="231F20"/>
        </w:rPr>
        <w:t>Peer Group, other relevant industry and market data points, Regeneron’s non-employee director compensation</w:t>
      </w:r>
    </w:p>
    <w:p>
      <w:pPr>
        <w:ind w:left="1580"/>
        <w:spacing w:after="0"/>
        <w:rPr>
          <w:sz w:val="20"/>
          <w:szCs w:val="20"/>
          <w:color w:val="auto"/>
        </w:rPr>
      </w:pPr>
      <w:r>
        <w:rPr>
          <w:rFonts w:ascii="Arial" w:cs="Arial" w:eastAsia="Arial" w:hAnsi="Arial"/>
          <w:sz w:val="15"/>
          <w:szCs w:val="15"/>
          <w:color w:val="231F20"/>
        </w:rPr>
        <w:t>philosophy (including its emphasis on long-term incentives), and the terms of the Settlement.</w:t>
      </w:r>
    </w:p>
    <w:p>
      <w:pPr>
        <w:spacing w:after="0" w:line="13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Terms of Equity Awards</w:t>
      </w:r>
    </w:p>
    <w:p>
      <w:pPr>
        <w:spacing w:after="0" w:line="217" w:lineRule="exact"/>
        <w:rPr>
          <w:sz w:val="20"/>
          <w:szCs w:val="20"/>
          <w:color w:val="auto"/>
        </w:rPr>
      </w:pPr>
    </w:p>
    <w:p>
      <w:pPr>
        <w:ind w:left="1580" w:right="1820"/>
        <w:spacing w:after="0" w:line="233" w:lineRule="auto"/>
        <w:rPr>
          <w:sz w:val="20"/>
          <w:szCs w:val="20"/>
          <w:color w:val="auto"/>
        </w:rPr>
      </w:pPr>
      <w:r>
        <w:rPr>
          <w:rFonts w:ascii="Arial" w:cs="Arial" w:eastAsia="Arial" w:hAnsi="Arial"/>
          <w:sz w:val="15"/>
          <w:szCs w:val="15"/>
          <w:color w:val="231F20"/>
        </w:rPr>
        <w:t>The exercise price of a non-employee director stock option is equal to the fair market value of a share of common stock on the date of grant (determined as the average of the high and low sales price per share of common stock on the Nasdaq Global Select Market on the date of grant or, if such date is not a trading day, on the last preceding date on which there was a sale of the Company’s common stock on the Nasdaq Global Select Market).</w:t>
      </w:r>
    </w:p>
    <w:p>
      <w:pPr>
        <w:spacing w:after="0" w:line="140"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Under the Current Compensation Program, a pro-rata portion of each equity award (i.e., each stock option and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115570</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61" w:lineRule="exact"/>
        <w:rPr>
          <w:sz w:val="20"/>
          <w:szCs w:val="20"/>
          <w:color w:val="auto"/>
        </w:rPr>
      </w:pPr>
    </w:p>
    <w:p>
      <w:pPr>
        <w:ind w:left="1700" w:hanging="126"/>
        <w:spacing w:after="0"/>
        <w:tabs>
          <w:tab w:leader="none" w:pos="1700" w:val="left"/>
        </w:tabs>
        <w:numPr>
          <w:ilvl w:val="0"/>
          <w:numId w:val="48"/>
        </w:numPr>
        <w:rPr>
          <w:rFonts w:ascii="Arial" w:cs="Arial" w:eastAsia="Arial" w:hAnsi="Arial"/>
          <w:sz w:val="14"/>
          <w:szCs w:val="14"/>
          <w:b w:val="1"/>
          <w:bCs w:val="1"/>
          <w:color w:val="2952A4"/>
        </w:rPr>
      </w:pPr>
      <w:r>
        <w:rPr>
          <w:rFonts w:ascii="Arial" w:cs="Arial" w:eastAsia="Arial" w:hAnsi="Arial"/>
          <w:sz w:val="14"/>
          <w:szCs w:val="14"/>
          <w:color w:val="231F20"/>
        </w:rPr>
        <w:t>Based on information reported by our Peer Group companies in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b w:val="1"/>
                <w:bCs w:val="1"/>
                <w:color w:val="00A5EC"/>
              </w:rPr>
              <w:t>/  29</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-290830</wp:posOffset>
            </wp:positionV>
            <wp:extent cx="74549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36" w:lineRule="exact"/>
        <w:rPr>
          <w:sz w:val="20"/>
          <w:szCs w:val="20"/>
          <w:color w:val="auto"/>
        </w:rPr>
      </w:pPr>
    </w:p>
    <w:p>
      <w:pPr>
        <w:ind w:left="460" w:right="639"/>
        <w:spacing w:after="0" w:line="228" w:lineRule="auto"/>
        <w:rPr>
          <w:sz w:val="20"/>
          <w:szCs w:val="20"/>
          <w:color w:val="auto"/>
        </w:rPr>
      </w:pPr>
      <w:r>
        <w:rPr>
          <w:rFonts w:ascii="Arial" w:cs="Arial" w:eastAsia="Arial" w:hAnsi="Arial"/>
          <w:sz w:val="15"/>
          <w:szCs w:val="15"/>
          <w:color w:val="231F20"/>
        </w:rPr>
        <w:t>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Amended and Restated Regeneron Pharmaceuticals, Inc. 2014 Long-Term Incentive Plan).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spacing w:after="0" w:line="143" w:lineRule="exact"/>
        <w:rPr>
          <w:sz w:val="20"/>
          <w:szCs w:val="20"/>
          <w:color w:val="auto"/>
        </w:rPr>
      </w:pPr>
    </w:p>
    <w:p>
      <w:pPr>
        <w:ind w:left="460" w:right="819"/>
        <w:spacing w:after="0" w:line="233" w:lineRule="auto"/>
        <w:rPr>
          <w:sz w:val="20"/>
          <w:szCs w:val="20"/>
          <w:color w:val="auto"/>
        </w:rPr>
      </w:pPr>
      <w:r>
        <w:rPr>
          <w:rFonts w:ascii="Arial" w:cs="Arial" w:eastAsia="Arial" w:hAnsi="Arial"/>
          <w:sz w:val="15"/>
          <w:szCs w:val="15"/>
          <w:color w:val="231F20"/>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spacing w:after="0" w:line="140" w:lineRule="exact"/>
        <w:rPr>
          <w:sz w:val="20"/>
          <w:szCs w:val="20"/>
          <w:color w:val="auto"/>
        </w:rPr>
      </w:pPr>
    </w:p>
    <w:p>
      <w:pPr>
        <w:ind w:left="460" w:right="579"/>
        <w:spacing w:after="0" w:line="233" w:lineRule="auto"/>
        <w:rPr>
          <w:sz w:val="20"/>
          <w:szCs w:val="20"/>
          <w:color w:val="auto"/>
        </w:rPr>
      </w:pPr>
      <w:r>
        <w:rPr>
          <w:rFonts w:ascii="Arial" w:cs="Arial" w:eastAsia="Arial" w:hAnsi="Arial"/>
          <w:sz w:val="15"/>
          <w:szCs w:val="15"/>
          <w:color w:val="231F20"/>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EQUITY AWARDS TO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04" w:lineRule="exact"/>
        <w:rPr>
          <w:sz w:val="20"/>
          <w:szCs w:val="20"/>
          <w:color w:val="auto"/>
        </w:rPr>
      </w:pPr>
    </w:p>
    <w:p>
      <w:pPr>
        <w:ind w:left="460" w:right="619"/>
        <w:spacing w:after="0"/>
        <w:rPr>
          <w:sz w:val="20"/>
          <w:szCs w:val="20"/>
          <w:color w:val="auto"/>
        </w:rPr>
      </w:pPr>
      <w:r>
        <w:rPr>
          <w:rFonts w:ascii="Arial" w:cs="Arial" w:eastAsia="Arial" w:hAnsi="Arial"/>
          <w:sz w:val="15"/>
          <w:szCs w:val="15"/>
          <w:color w:val="231F20"/>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w:t>
      </w:r>
    </w:p>
    <w:p>
      <w:pPr>
        <w:spacing w:after="0" w:line="370" w:lineRule="exact"/>
        <w:rPr>
          <w:sz w:val="20"/>
          <w:szCs w:val="20"/>
          <w:color w:val="auto"/>
        </w:rPr>
      </w:pPr>
    </w:p>
    <w:p>
      <w:pPr>
        <w:ind w:left="460" w:right="919"/>
        <w:spacing w:after="0" w:line="278" w:lineRule="auto"/>
        <w:rPr>
          <w:sz w:val="20"/>
          <w:szCs w:val="20"/>
          <w:color w:val="auto"/>
        </w:rPr>
      </w:pPr>
      <w:r>
        <w:rPr>
          <w:rFonts w:ascii="Arial" w:cs="Arial" w:eastAsia="Arial" w:hAnsi="Arial"/>
          <w:sz w:val="29"/>
          <w:szCs w:val="29"/>
          <w:b w:val="1"/>
          <w:bCs w:val="1"/>
          <w:color w:val="C04C57"/>
        </w:rPr>
        <w:t>COMPENSATION ARRANGEMENTS OF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-35560</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On December 31, 1998, we entered into an employment agreement with the Chairman of the board of directors,</w:t>
      </w:r>
    </w:p>
    <w:p>
      <w:pPr>
        <w:ind w:left="460" w:right="699"/>
        <w:spacing w:after="0" w:line="242" w:lineRule="auto"/>
        <w:rPr>
          <w:sz w:val="20"/>
          <w:szCs w:val="20"/>
          <w:color w:val="auto"/>
        </w:rPr>
      </w:pPr>
      <w:r>
        <w:rPr>
          <w:rFonts w:ascii="Arial" w:cs="Arial" w:eastAsia="Arial" w:hAnsi="Arial"/>
          <w:sz w:val="15"/>
          <w:szCs w:val="15"/>
          <w:color w:val="231F20"/>
        </w:rPr>
        <w:t>Dr. Vagelos. Pursuant to the terms of his employment agreement, Dr. Vagelos receives an annual salary of $100,000 as a non-officer employee.</w:t>
      </w:r>
    </w:p>
    <w:p>
      <w:pPr>
        <w:spacing w:after="0" w:line="138" w:lineRule="exact"/>
        <w:rPr>
          <w:sz w:val="20"/>
          <w:szCs w:val="20"/>
          <w:color w:val="auto"/>
        </w:rPr>
      </w:pPr>
    </w:p>
    <w:p>
      <w:pPr>
        <w:ind w:left="460" w:right="599"/>
        <w:spacing w:after="0" w:line="228" w:lineRule="auto"/>
        <w:rPr>
          <w:sz w:val="20"/>
          <w:szCs w:val="20"/>
          <w:color w:val="auto"/>
        </w:rPr>
      </w:pPr>
      <w:r>
        <w:rPr>
          <w:rFonts w:ascii="Arial" w:cs="Arial" w:eastAsia="Arial" w:hAnsi="Arial"/>
          <w:sz w:val="15"/>
          <w:szCs w:val="15"/>
          <w:color w:val="231F20"/>
        </w:rPr>
        <w:t>Under the Current Compensation Program, the board of directors determined that stock options and performance-based restricted stock units (also referred to as “PSUs”) would comprise 70% and 30% of the 2019 annual equity award to Dr. Vagelos, respectively, and set the targeted aggregate grant date fair value of such award at (but no more than) ten times the aggregate grant date fair value of the corresponding annual equity award for our non-employee directors. As in prior years, Dr. Vagelos’s 2019 annual equity award reflects, among other things, the key contributions that Dr. Vagelos makes as the Company continues to develop into a fully integrated biotech company with multiple class-leading products, as well as Dr. Vagelos’s crucial role as a trusted advisor to the CEO, other senior managers, and the non-employee directors. It is also designed to incentivize further contributions and ensure Dr. Vagelos’s continued service to the Company in the future.</w:t>
      </w:r>
    </w:p>
    <w:p>
      <w:pPr>
        <w:spacing w:after="0" w:line="145" w:lineRule="exact"/>
        <w:rPr>
          <w:sz w:val="20"/>
          <w:szCs w:val="20"/>
          <w:color w:val="auto"/>
        </w:rPr>
      </w:pPr>
    </w:p>
    <w:p>
      <w:pPr>
        <w:ind w:left="460" w:right="579"/>
        <w:spacing w:after="0" w:line="230" w:lineRule="auto"/>
        <w:rPr>
          <w:sz w:val="20"/>
          <w:szCs w:val="20"/>
          <w:color w:val="auto"/>
        </w:rPr>
      </w:pPr>
      <w:r>
        <w:rPr>
          <w:rFonts w:ascii="Arial" w:cs="Arial" w:eastAsia="Arial" w:hAnsi="Arial"/>
          <w:sz w:val="15"/>
          <w:szCs w:val="15"/>
          <w:color w:val="231F20"/>
        </w:rPr>
        <w:t>The 2019 stock option award granted to Dr. Vagelos vests ratably over four years subject to his continued service and contains change-of-control provisions consistent with those described above for equity grants to non-employee directors. The 2019 PSU award granted to Dr. Vagelos contains vesting conditions consistent with those described below under “Compensation Discussion and Analysis – Components of Executive Pay: What We Pay and Why We Pay It – Annual Equity Awards.” In addition, if any PSUs held by Dr. Vagelos vest upon a change of control (as a result of performance exceeding the relevant TSR goal for the period from the date of grant to the date of the change of</w:t>
      </w:r>
    </w:p>
    <w:p>
      <w:pPr>
        <w:spacing w:after="0" w:line="37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30  /  </w:t>
      </w:r>
      <w:r>
        <w:rPr>
          <w:sz w:val="1"/>
          <w:szCs w:val="1"/>
          <w:color w:val="auto"/>
        </w:rPr>
        <w:drawing>
          <wp:inline distT="0" distB="0" distL="0" distR="0">
            <wp:extent cx="745490" cy="8572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41" w:name="page42"/>
    <w:bookmarkEnd w:id="41"/>
    <w:p>
      <w:pPr>
        <w:ind w:left="492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36" w:lineRule="exact"/>
        <w:rPr>
          <w:sz w:val="20"/>
          <w:szCs w:val="20"/>
          <w:color w:val="auto"/>
        </w:rPr>
      </w:pPr>
    </w:p>
    <w:p>
      <w:pPr>
        <w:ind w:left="1580" w:right="1720"/>
        <w:spacing w:after="0" w:line="230" w:lineRule="auto"/>
        <w:rPr>
          <w:sz w:val="20"/>
          <w:szCs w:val="20"/>
          <w:color w:val="auto"/>
        </w:rPr>
      </w:pPr>
      <w:r>
        <w:rPr>
          <w:rFonts w:ascii="Arial" w:cs="Arial" w:eastAsia="Arial" w:hAnsi="Arial"/>
          <w:sz w:val="15"/>
          <w:szCs w:val="15"/>
          <w:color w:val="231F20"/>
        </w:rPr>
        <w:t>control), the earned shares will be delivered within 30 days of the vesting determination. Pursuant to the terms of his employment agreement, if Dr. Vagelos dies or is disabled during the term of his employment, all stock options granted to him by the Company will immediately become vested and exercisable. In addition, the award agreements with Dr. Vagelos relating to his 2018 and 2019 stock option awards and 2019 PSU award provide that each such award will continue to vest in accordance with the terms of the applicable award agreement following his qualified retirement (as defined in the applicable Company policy; Dr. Vagelos currently meets the policy requirement).</w:t>
      </w:r>
    </w:p>
    <w:p>
      <w:pPr>
        <w:spacing w:after="0" w:line="142" w:lineRule="exact"/>
        <w:rPr>
          <w:sz w:val="20"/>
          <w:szCs w:val="20"/>
          <w:color w:val="auto"/>
        </w:rPr>
      </w:pPr>
    </w:p>
    <w:p>
      <w:pPr>
        <w:ind w:left="1580" w:right="1900"/>
        <w:spacing w:after="0" w:line="235" w:lineRule="auto"/>
        <w:rPr>
          <w:sz w:val="20"/>
          <w:szCs w:val="20"/>
          <w:color w:val="auto"/>
        </w:rPr>
      </w:pPr>
      <w:r>
        <w:rPr>
          <w:rFonts w:ascii="Arial" w:cs="Arial" w:eastAsia="Arial" w:hAnsi="Arial"/>
          <w:sz w:val="15"/>
          <w:szCs w:val="15"/>
          <w:color w:val="231F20"/>
        </w:rPr>
        <w:t>The following table and explanatory footnotes provide information with respect to compensation paid to Dr. Vagelos and each non-employee director for their service in 2019 in accordance with the policies, plans, and employment agreement described above:</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C04C57"/>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140335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0" w:lineRule="exact"/>
        <w:rPr>
          <w:sz w:val="20"/>
          <w:szCs w:val="20"/>
          <w:color w:val="auto"/>
        </w:rPr>
      </w:pPr>
    </w:p>
    <w:tbl>
      <w:tblPr>
        <w:tblLayout w:type="fixed"/>
        <w:tblInd w:w="1580" w:type="dxa"/>
        <w:tblCellMar>
          <w:top w:w="0" w:type="dxa"/>
          <w:left w:w="0" w:type="dxa"/>
          <w:bottom w:w="0" w:type="dxa"/>
          <w:right w:w="0" w:type="dxa"/>
        </w:tblCellMar>
      </w:tblPr>
      <w:tr>
        <w:trPr>
          <w:trHeight w:val="167"/>
        </w:trPr>
        <w:tc>
          <w:tcPr>
            <w:tcW w:w="1260" w:type="dxa"/>
            <w:vAlign w:val="bottom"/>
            <w:tcBorders>
              <w:bottom w:val="single" w:sz="8" w:color="235BA7"/>
            </w:tcBorders>
          </w:tcPr>
          <w:p>
            <w:pPr>
              <w:ind w:left="560"/>
              <w:spacing w:after="0"/>
              <w:rPr>
                <w:sz w:val="20"/>
                <w:szCs w:val="20"/>
                <w:color w:val="auto"/>
              </w:rPr>
            </w:pPr>
            <w:r>
              <w:rPr>
                <w:rFonts w:ascii="Arial" w:cs="Arial" w:eastAsia="Arial" w:hAnsi="Arial"/>
                <w:sz w:val="12"/>
                <w:szCs w:val="12"/>
                <w:b w:val="1"/>
                <w:bCs w:val="1"/>
                <w:color w:val="2952A4"/>
              </w:rPr>
              <w:t>A</w:t>
            </w:r>
          </w:p>
        </w:tc>
        <w:tc>
          <w:tcPr>
            <w:tcW w:w="102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w w:val="91"/>
              </w:rPr>
              <w:t>B</w:t>
            </w:r>
          </w:p>
        </w:tc>
        <w:tc>
          <w:tcPr>
            <w:tcW w:w="96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w w:val="91"/>
              </w:rPr>
              <w:t>C</w:t>
            </w:r>
          </w:p>
        </w:tc>
        <w:tc>
          <w:tcPr>
            <w:tcW w:w="76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w w:val="91"/>
              </w:rPr>
              <w:t>D</w:t>
            </w:r>
          </w:p>
        </w:tc>
        <w:tc>
          <w:tcPr>
            <w:tcW w:w="92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w w:val="99"/>
              </w:rPr>
              <w:t>E</w:t>
            </w:r>
          </w:p>
        </w:tc>
        <w:tc>
          <w:tcPr>
            <w:tcW w:w="148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rPr>
              <w:t>F</w:t>
            </w:r>
          </w:p>
        </w:tc>
        <w:tc>
          <w:tcPr>
            <w:tcW w:w="96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w w:val="85"/>
              </w:rPr>
              <w:t>G</w:t>
            </w:r>
          </w:p>
        </w:tc>
        <w:tc>
          <w:tcPr>
            <w:tcW w:w="740" w:type="dxa"/>
            <w:vAlign w:val="bottom"/>
            <w:tcBorders>
              <w:bottom w:val="single" w:sz="8" w:color="235BA7"/>
            </w:tcBorders>
          </w:tcPr>
          <w:p>
            <w:pPr>
              <w:jc w:val="center"/>
              <w:spacing w:after="0"/>
              <w:rPr>
                <w:sz w:val="20"/>
                <w:szCs w:val="20"/>
                <w:color w:val="auto"/>
              </w:rPr>
            </w:pPr>
            <w:r>
              <w:rPr>
                <w:rFonts w:ascii="Arial" w:cs="Arial" w:eastAsia="Arial" w:hAnsi="Arial"/>
                <w:sz w:val="12"/>
                <w:szCs w:val="12"/>
                <w:b w:val="1"/>
                <w:bCs w:val="1"/>
                <w:color w:val="2952A4"/>
                <w:w w:val="91"/>
              </w:rPr>
              <w:t>H</w:t>
            </w: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2952A4"/>
                <w:w w:val="92"/>
              </w:rPr>
              <w:t>Option</w:t>
            </w:r>
          </w:p>
        </w:tc>
        <w:tc>
          <w:tcPr>
            <w:tcW w:w="920" w:type="dxa"/>
            <w:vAlign w:val="bottom"/>
          </w:tcPr>
          <w:p>
            <w:pPr>
              <w:jc w:val="center"/>
              <w:spacing w:after="0" w:line="124" w:lineRule="exact"/>
              <w:rPr>
                <w:sz w:val="20"/>
                <w:szCs w:val="20"/>
                <w:color w:val="auto"/>
              </w:rPr>
            </w:pPr>
            <w:r>
              <w:rPr>
                <w:rFonts w:ascii="Arial" w:cs="Arial" w:eastAsia="Arial" w:hAnsi="Arial"/>
                <w:sz w:val="12"/>
                <w:szCs w:val="12"/>
                <w:b w:val="1"/>
                <w:bCs w:val="1"/>
                <w:color w:val="2952A4"/>
                <w:w w:val="95"/>
              </w:rPr>
              <w:t>Non-equity</w:t>
            </w:r>
          </w:p>
        </w:tc>
        <w:tc>
          <w:tcPr>
            <w:tcW w:w="1480" w:type="dxa"/>
            <w:vAlign w:val="bottom"/>
          </w:tcPr>
          <w:p>
            <w:pPr>
              <w:jc w:val="center"/>
              <w:spacing w:after="0" w:line="124" w:lineRule="exact"/>
              <w:rPr>
                <w:sz w:val="20"/>
                <w:szCs w:val="20"/>
                <w:color w:val="auto"/>
              </w:rPr>
            </w:pPr>
            <w:r>
              <w:rPr>
                <w:rFonts w:ascii="Arial" w:cs="Arial" w:eastAsia="Arial" w:hAnsi="Arial"/>
                <w:sz w:val="12"/>
                <w:szCs w:val="12"/>
                <w:b w:val="1"/>
                <w:bCs w:val="1"/>
                <w:color w:val="2952A4"/>
                <w:w w:val="97"/>
              </w:rPr>
              <w:t>Change in pension value</w:t>
            </w: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2952A4"/>
                <w:w w:val="98"/>
              </w:rPr>
              <w:t>All other</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260" w:type="dxa"/>
            <w:vAlign w:val="bottom"/>
          </w:tcPr>
          <w:p>
            <w:pPr>
              <w:spacing w:after="0"/>
              <w:rPr>
                <w:sz w:val="8"/>
                <w:szCs w:val="8"/>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952A4"/>
                <w:w w:val="97"/>
              </w:rPr>
              <w:t>Fees earned</w:t>
            </w:r>
          </w:p>
        </w:tc>
        <w:tc>
          <w:tcPr>
            <w:tcW w:w="9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952A4"/>
                <w:w w:val="97"/>
              </w:rPr>
              <w:t>incentive plan</w:t>
            </w:r>
          </w:p>
        </w:tc>
        <w:tc>
          <w:tcPr>
            <w:tcW w:w="14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952A4"/>
                <w:w w:val="97"/>
              </w:rPr>
              <w:t>and non-qualified</w:t>
            </w:r>
          </w:p>
        </w:tc>
        <w:tc>
          <w:tcPr>
            <w:tcW w:w="9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96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952A4"/>
                <w:w w:val="94"/>
              </w:rPr>
              <w:t>Stock awards</w:t>
            </w:r>
            <w:r>
              <w:rPr>
                <w:rFonts w:ascii="Arial" w:cs="Arial" w:eastAsia="Arial" w:hAnsi="Arial"/>
                <w:sz w:val="19"/>
                <w:szCs w:val="19"/>
                <w:b w:val="1"/>
                <w:bCs w:val="1"/>
                <w:color w:val="2952A4"/>
                <w:w w:val="94"/>
                <w:vertAlign w:val="superscript"/>
              </w:rPr>
              <w:t>1</w:t>
            </w:r>
          </w:p>
        </w:tc>
        <w:tc>
          <w:tcPr>
            <w:tcW w:w="76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952A4"/>
                <w:w w:val="91"/>
              </w:rPr>
              <w:t>awards</w:t>
            </w:r>
            <w:r>
              <w:rPr>
                <w:rFonts w:ascii="Arial" w:cs="Arial" w:eastAsia="Arial" w:hAnsi="Arial"/>
                <w:sz w:val="19"/>
                <w:szCs w:val="19"/>
                <w:b w:val="1"/>
                <w:bCs w:val="1"/>
                <w:color w:val="2952A4"/>
                <w:w w:val="91"/>
                <w:vertAlign w:val="superscript"/>
              </w:rPr>
              <w:t>1,2</w:t>
            </w:r>
          </w:p>
        </w:tc>
        <w:tc>
          <w:tcPr>
            <w:tcW w:w="92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96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952A4"/>
                <w:w w:val="97"/>
              </w:rPr>
              <w:t>compensation</w:t>
            </w:r>
            <w:r>
              <w:rPr>
                <w:rFonts w:ascii="Arial" w:cs="Arial" w:eastAsia="Arial" w:hAnsi="Arial"/>
                <w:sz w:val="19"/>
                <w:szCs w:val="19"/>
                <w:b w:val="1"/>
                <w:bCs w:val="1"/>
                <w:color w:val="2952A4"/>
                <w:w w:val="97"/>
                <w:vertAlign w:val="superscript"/>
              </w:rPr>
              <w:t>3</w:t>
            </w: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or paid in cash</w:t>
            </w: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compensation</w:t>
            </w:r>
          </w:p>
        </w:tc>
        <w:tc>
          <w:tcPr>
            <w:tcW w:w="14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deferred</w:t>
            </w:r>
          </w:p>
        </w:tc>
        <w:tc>
          <w:tcPr>
            <w:tcW w:w="960" w:type="dxa"/>
            <w:vAlign w:val="bottom"/>
            <w:vMerge w:val="continue"/>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Total</w:t>
            </w:r>
          </w:p>
        </w:tc>
        <w:tc>
          <w:tcPr>
            <w:tcW w:w="0" w:type="dxa"/>
            <w:vAlign w:val="bottom"/>
          </w:tcPr>
          <w:p>
            <w:pPr>
              <w:spacing w:after="0"/>
              <w:rPr>
                <w:sz w:val="1"/>
                <w:szCs w:val="1"/>
                <w:color w:val="auto"/>
              </w:rPr>
            </w:pPr>
          </w:p>
        </w:tc>
      </w:tr>
      <w:tr>
        <w:trPr>
          <w:trHeight w:val="154"/>
        </w:trPr>
        <w:tc>
          <w:tcPr>
            <w:tcW w:w="1260" w:type="dxa"/>
            <w:vAlign w:val="bottom"/>
            <w:tcBorders>
              <w:bottom w:val="single" w:sz="8" w:color="2952A4"/>
            </w:tcBorders>
          </w:tcPr>
          <w:p>
            <w:pPr>
              <w:ind w:left="440"/>
              <w:spacing w:after="0"/>
              <w:rPr>
                <w:sz w:val="20"/>
                <w:szCs w:val="20"/>
                <w:color w:val="auto"/>
              </w:rPr>
            </w:pPr>
            <w:r>
              <w:rPr>
                <w:rFonts w:ascii="Arial" w:cs="Arial" w:eastAsia="Arial" w:hAnsi="Arial"/>
                <w:sz w:val="12"/>
                <w:szCs w:val="12"/>
                <w:b w:val="1"/>
                <w:bCs w:val="1"/>
                <w:color w:val="2952A4"/>
              </w:rPr>
              <w:t>Name</w:t>
            </w:r>
          </w:p>
        </w:tc>
        <w:tc>
          <w:tcPr>
            <w:tcW w:w="102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9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7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w:t>
            </w:r>
          </w:p>
        </w:tc>
        <w:tc>
          <w:tcPr>
            <w:tcW w:w="92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14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7"/>
              </w:rPr>
              <w:t>compensation earnings</w:t>
            </w:r>
          </w:p>
        </w:tc>
        <w:tc>
          <w:tcPr>
            <w:tcW w:w="9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w:t>
            </w:r>
          </w:p>
        </w:tc>
        <w:tc>
          <w:tcPr>
            <w:tcW w:w="74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0" w:type="dxa"/>
            <w:vAlign w:val="bottom"/>
          </w:tcPr>
          <w:p>
            <w:pPr>
              <w:spacing w:after="0"/>
              <w:rPr>
                <w:sz w:val="1"/>
                <w:szCs w:val="1"/>
                <w:color w:val="auto"/>
              </w:rPr>
            </w:pPr>
          </w:p>
        </w:tc>
      </w:tr>
      <w:tr>
        <w:trPr>
          <w:trHeight w:val="140"/>
        </w:trPr>
        <w:tc>
          <w:tcPr>
            <w:tcW w:w="1260" w:type="dxa"/>
            <w:vAlign w:val="bottom"/>
          </w:tcPr>
          <w:p>
            <w:pPr>
              <w:ind w:left="40"/>
              <w:spacing w:after="0" w:line="140" w:lineRule="exact"/>
              <w:rPr>
                <w:sz w:val="20"/>
                <w:szCs w:val="20"/>
                <w:color w:val="auto"/>
              </w:rPr>
            </w:pPr>
            <w:r>
              <w:rPr>
                <w:rFonts w:ascii="Arial" w:cs="Arial" w:eastAsia="Arial" w:hAnsi="Arial"/>
                <w:sz w:val="13"/>
                <w:szCs w:val="13"/>
                <w:b w:val="1"/>
                <w:bCs w:val="1"/>
                <w:color w:val="C04C57"/>
              </w:rPr>
              <w:t>Bonnie L. Bassler,</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Ph.D.</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231F20"/>
              </w:rPr>
              <w:t>110,000</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231F20"/>
              </w:rPr>
              <w:t>709,993</w:t>
            </w:r>
          </w:p>
        </w:tc>
        <w:tc>
          <w:tcPr>
            <w:tcW w:w="0" w:type="dxa"/>
            <w:vAlign w:val="bottom"/>
          </w:tcPr>
          <w:p>
            <w:pPr>
              <w:spacing w:after="0"/>
              <w:rPr>
                <w:sz w:val="1"/>
                <w:szCs w:val="1"/>
                <w:color w:val="auto"/>
              </w:rPr>
            </w:pPr>
          </w:p>
        </w:tc>
      </w:tr>
      <w:tr>
        <w:trPr>
          <w:trHeight w:val="140"/>
        </w:trPr>
        <w:tc>
          <w:tcPr>
            <w:tcW w:w="1260" w:type="dxa"/>
            <w:vAlign w:val="bottom"/>
            <w:shd w:val="clear" w:color="auto" w:fill="EAEAEC"/>
          </w:tcPr>
          <w:p>
            <w:pPr>
              <w:ind w:left="40"/>
              <w:spacing w:after="0" w:line="140" w:lineRule="exact"/>
              <w:rPr>
                <w:sz w:val="20"/>
                <w:szCs w:val="20"/>
                <w:color w:val="auto"/>
              </w:rPr>
            </w:pPr>
            <w:r>
              <w:rPr>
                <w:rFonts w:ascii="Arial" w:cs="Arial" w:eastAsia="Arial" w:hAnsi="Arial"/>
                <w:sz w:val="13"/>
                <w:szCs w:val="13"/>
                <w:b w:val="1"/>
                <w:bCs w:val="1"/>
                <w:color w:val="C04C57"/>
              </w:rPr>
              <w:t>Michael S. Brown,</w:t>
            </w:r>
          </w:p>
        </w:tc>
        <w:tc>
          <w:tcPr>
            <w:tcW w:w="1020" w:type="dxa"/>
            <w:vAlign w:val="bottom"/>
            <w:shd w:val="clear" w:color="auto" w:fill="EAEAEC"/>
          </w:tcPr>
          <w:p>
            <w:pPr>
              <w:spacing w:after="0"/>
              <w:rPr>
                <w:sz w:val="12"/>
                <w:szCs w:val="12"/>
                <w:color w:val="auto"/>
              </w:rPr>
            </w:pPr>
          </w:p>
        </w:tc>
        <w:tc>
          <w:tcPr>
            <w:tcW w:w="960" w:type="dxa"/>
            <w:vAlign w:val="bottom"/>
            <w:shd w:val="clear" w:color="auto" w:fill="EAEAEC"/>
          </w:tcPr>
          <w:p>
            <w:pPr>
              <w:spacing w:after="0"/>
              <w:rPr>
                <w:sz w:val="12"/>
                <w:szCs w:val="12"/>
                <w:color w:val="auto"/>
              </w:rPr>
            </w:pPr>
          </w:p>
        </w:tc>
        <w:tc>
          <w:tcPr>
            <w:tcW w:w="760" w:type="dxa"/>
            <w:vAlign w:val="bottom"/>
            <w:shd w:val="clear" w:color="auto" w:fill="EAEAEC"/>
          </w:tcPr>
          <w:p>
            <w:pPr>
              <w:spacing w:after="0"/>
              <w:rPr>
                <w:sz w:val="12"/>
                <w:szCs w:val="12"/>
                <w:color w:val="auto"/>
              </w:rPr>
            </w:pPr>
          </w:p>
        </w:tc>
        <w:tc>
          <w:tcPr>
            <w:tcW w:w="920" w:type="dxa"/>
            <w:vAlign w:val="bottom"/>
            <w:shd w:val="clear" w:color="auto" w:fill="EAEAEC"/>
          </w:tcPr>
          <w:p>
            <w:pPr>
              <w:spacing w:after="0"/>
              <w:rPr>
                <w:sz w:val="12"/>
                <w:szCs w:val="12"/>
                <w:color w:val="auto"/>
              </w:rPr>
            </w:pPr>
          </w:p>
        </w:tc>
        <w:tc>
          <w:tcPr>
            <w:tcW w:w="1480" w:type="dxa"/>
            <w:vAlign w:val="bottom"/>
            <w:shd w:val="clear" w:color="auto" w:fill="EAEAEC"/>
          </w:tcPr>
          <w:p>
            <w:pPr>
              <w:spacing w:after="0"/>
              <w:rPr>
                <w:sz w:val="12"/>
                <w:szCs w:val="12"/>
                <w:color w:val="auto"/>
              </w:rPr>
            </w:pPr>
          </w:p>
        </w:tc>
        <w:tc>
          <w:tcPr>
            <w:tcW w:w="960" w:type="dxa"/>
            <w:vAlign w:val="bottom"/>
            <w:shd w:val="clear" w:color="auto" w:fill="EAEAEC"/>
          </w:tcPr>
          <w:p>
            <w:pPr>
              <w:spacing w:after="0"/>
              <w:rPr>
                <w:sz w:val="12"/>
                <w:szCs w:val="12"/>
                <w:color w:val="auto"/>
              </w:rPr>
            </w:pPr>
          </w:p>
        </w:tc>
        <w:tc>
          <w:tcPr>
            <w:tcW w:w="740" w:type="dxa"/>
            <w:vAlign w:val="bottom"/>
            <w:shd w:val="clear" w:color="auto" w:fill="EAEAE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M.D.</w:t>
            </w:r>
          </w:p>
        </w:tc>
        <w:tc>
          <w:tcPr>
            <w:tcW w:w="1020" w:type="dxa"/>
            <w:vAlign w:val="bottom"/>
            <w:tcBorders>
              <w:bottom w:val="single" w:sz="8" w:color="auto"/>
            </w:tcBorders>
            <w:shd w:val="clear" w:color="auto" w:fill="EAEAEC"/>
          </w:tcPr>
          <w:p>
            <w:pPr>
              <w:jc w:val="right"/>
              <w:ind w:right="98"/>
              <w:spacing w:after="0"/>
              <w:rPr>
                <w:sz w:val="20"/>
                <w:szCs w:val="20"/>
                <w:color w:val="auto"/>
              </w:rPr>
            </w:pPr>
            <w:r>
              <w:rPr>
                <w:rFonts w:ascii="Arial" w:cs="Arial" w:eastAsia="Arial" w:hAnsi="Arial"/>
                <w:sz w:val="13"/>
                <w:szCs w:val="13"/>
                <w:color w:val="231F20"/>
              </w:rPr>
              <w:t>120,000</w:t>
            </w:r>
          </w:p>
        </w:tc>
        <w:tc>
          <w:tcPr>
            <w:tcW w:w="960" w:type="dxa"/>
            <w:vAlign w:val="bottom"/>
            <w:tcBorders>
              <w:bottom w:val="single" w:sz="8" w:color="auto"/>
            </w:tcBorders>
            <w:shd w:val="clear" w:color="auto" w:fill="EAEAEC"/>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shd w:val="clear" w:color="auto" w:fill="EAEAEC"/>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shd w:val="clear" w:color="auto" w:fill="EAEAEC"/>
          </w:tcPr>
          <w:p>
            <w:pPr>
              <w:jc w:val="right"/>
              <w:ind w:right="218"/>
              <w:spacing w:after="0" w:line="184" w:lineRule="exact"/>
              <w:rPr>
                <w:sz w:val="20"/>
                <w:szCs w:val="20"/>
                <w:color w:val="auto"/>
              </w:rPr>
            </w:pPr>
            <w:r>
              <w:rPr>
                <w:rFonts w:ascii="Arial" w:cs="Arial" w:eastAsia="Arial" w:hAnsi="Arial"/>
                <w:sz w:val="13"/>
                <w:szCs w:val="13"/>
                <w:color w:val="231F20"/>
              </w:rPr>
              <w:t>5,000</w:t>
            </w:r>
            <w:r>
              <w:rPr>
                <w:rFonts w:ascii="Arial" w:cs="Arial" w:eastAsia="Arial" w:hAnsi="Arial"/>
                <w:sz w:val="20"/>
                <w:szCs w:val="20"/>
                <w:color w:val="231F20"/>
                <w:vertAlign w:val="superscript"/>
              </w:rPr>
              <w:t>4</w:t>
            </w:r>
          </w:p>
        </w:tc>
        <w:tc>
          <w:tcPr>
            <w:tcW w:w="740" w:type="dxa"/>
            <w:vAlign w:val="bottom"/>
            <w:tcBorders>
              <w:bottom w:val="single" w:sz="8" w:color="auto"/>
            </w:tcBorders>
            <w:shd w:val="clear" w:color="auto" w:fill="EAEAEC"/>
          </w:tcPr>
          <w:p>
            <w:pPr>
              <w:jc w:val="right"/>
              <w:ind w:right="58"/>
              <w:spacing w:after="0"/>
              <w:rPr>
                <w:sz w:val="20"/>
                <w:szCs w:val="20"/>
                <w:color w:val="auto"/>
              </w:rPr>
            </w:pPr>
            <w:r>
              <w:rPr>
                <w:rFonts w:ascii="Arial" w:cs="Arial" w:eastAsia="Arial" w:hAnsi="Arial"/>
                <w:sz w:val="13"/>
                <w:szCs w:val="13"/>
                <w:color w:val="231F20"/>
              </w:rPr>
              <w:t>724,993</w:t>
            </w:r>
          </w:p>
        </w:tc>
        <w:tc>
          <w:tcPr>
            <w:tcW w:w="0" w:type="dxa"/>
            <w:vAlign w:val="bottom"/>
          </w:tcPr>
          <w:p>
            <w:pPr>
              <w:spacing w:after="0"/>
              <w:rPr>
                <w:sz w:val="1"/>
                <w:szCs w:val="1"/>
                <w:color w:val="auto"/>
              </w:rPr>
            </w:pPr>
          </w:p>
        </w:tc>
      </w:tr>
      <w:tr>
        <w:trPr>
          <w:trHeight w:val="134"/>
        </w:trPr>
        <w:tc>
          <w:tcPr>
            <w:tcW w:w="1260" w:type="dxa"/>
            <w:vAlign w:val="bottom"/>
          </w:tcPr>
          <w:p>
            <w:pPr>
              <w:ind w:left="40"/>
              <w:spacing w:after="0" w:line="134" w:lineRule="exact"/>
              <w:rPr>
                <w:sz w:val="20"/>
                <w:szCs w:val="20"/>
                <w:color w:val="auto"/>
              </w:rPr>
            </w:pPr>
            <w:r>
              <w:rPr>
                <w:rFonts w:ascii="Arial" w:cs="Arial" w:eastAsia="Arial" w:hAnsi="Arial"/>
                <w:sz w:val="13"/>
                <w:szCs w:val="13"/>
                <w:b w:val="1"/>
                <w:bCs w:val="1"/>
                <w:color w:val="C04C57"/>
              </w:rPr>
              <w:t>N. Anthony Coles,</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M.D.</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231F20"/>
              </w:rPr>
              <w:t>100,000</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tcPr>
          <w:p>
            <w:pPr>
              <w:jc w:val="right"/>
              <w:ind w:right="218"/>
              <w:spacing w:after="0" w:line="184" w:lineRule="exact"/>
              <w:rPr>
                <w:sz w:val="20"/>
                <w:szCs w:val="20"/>
                <w:color w:val="auto"/>
              </w:rPr>
            </w:pPr>
            <w:r>
              <w:rPr>
                <w:rFonts w:ascii="Arial" w:cs="Arial" w:eastAsia="Arial" w:hAnsi="Arial"/>
                <w:sz w:val="13"/>
                <w:szCs w:val="13"/>
                <w:color w:val="231F20"/>
              </w:rPr>
              <w:t>5,000</w:t>
            </w:r>
            <w:r>
              <w:rPr>
                <w:rFonts w:ascii="Arial" w:cs="Arial" w:eastAsia="Arial" w:hAnsi="Arial"/>
                <w:sz w:val="20"/>
                <w:szCs w:val="20"/>
                <w:color w:val="231F20"/>
                <w:vertAlign w:val="superscript"/>
              </w:rPr>
              <w:t>4</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231F20"/>
              </w:rPr>
              <w:t>704,993</w:t>
            </w:r>
          </w:p>
        </w:tc>
        <w:tc>
          <w:tcPr>
            <w:tcW w:w="0" w:type="dxa"/>
            <w:vAlign w:val="bottom"/>
          </w:tcPr>
          <w:p>
            <w:pPr>
              <w:spacing w:after="0"/>
              <w:rPr>
                <w:sz w:val="1"/>
                <w:szCs w:val="1"/>
                <w:color w:val="auto"/>
              </w:rPr>
            </w:pPr>
          </w:p>
        </w:tc>
      </w:tr>
      <w:tr>
        <w:trPr>
          <w:trHeight w:val="134"/>
        </w:trPr>
        <w:tc>
          <w:tcPr>
            <w:tcW w:w="1260" w:type="dxa"/>
            <w:vAlign w:val="bottom"/>
            <w:shd w:val="clear" w:color="auto" w:fill="EAEAEC"/>
          </w:tcPr>
          <w:p>
            <w:pPr>
              <w:ind w:left="40"/>
              <w:spacing w:after="0" w:line="134" w:lineRule="exact"/>
              <w:rPr>
                <w:sz w:val="20"/>
                <w:szCs w:val="20"/>
                <w:color w:val="auto"/>
              </w:rPr>
            </w:pPr>
            <w:r>
              <w:rPr>
                <w:rFonts w:ascii="Arial" w:cs="Arial" w:eastAsia="Arial" w:hAnsi="Arial"/>
                <w:sz w:val="13"/>
                <w:szCs w:val="13"/>
                <w:b w:val="1"/>
                <w:bCs w:val="1"/>
                <w:color w:val="C04C57"/>
              </w:rPr>
              <w:t>Joseph L.</w:t>
            </w:r>
          </w:p>
        </w:tc>
        <w:tc>
          <w:tcPr>
            <w:tcW w:w="1020" w:type="dxa"/>
            <w:vAlign w:val="bottom"/>
            <w:shd w:val="clear" w:color="auto" w:fill="EAEAEC"/>
          </w:tcPr>
          <w:p>
            <w:pPr>
              <w:spacing w:after="0"/>
              <w:rPr>
                <w:sz w:val="11"/>
                <w:szCs w:val="11"/>
                <w:color w:val="auto"/>
              </w:rPr>
            </w:pPr>
          </w:p>
        </w:tc>
        <w:tc>
          <w:tcPr>
            <w:tcW w:w="960" w:type="dxa"/>
            <w:vAlign w:val="bottom"/>
            <w:shd w:val="clear" w:color="auto" w:fill="EAEAEC"/>
          </w:tcPr>
          <w:p>
            <w:pPr>
              <w:spacing w:after="0"/>
              <w:rPr>
                <w:sz w:val="11"/>
                <w:szCs w:val="11"/>
                <w:color w:val="auto"/>
              </w:rPr>
            </w:pPr>
          </w:p>
        </w:tc>
        <w:tc>
          <w:tcPr>
            <w:tcW w:w="760" w:type="dxa"/>
            <w:vAlign w:val="bottom"/>
            <w:shd w:val="clear" w:color="auto" w:fill="EAEAEC"/>
          </w:tcPr>
          <w:p>
            <w:pPr>
              <w:spacing w:after="0"/>
              <w:rPr>
                <w:sz w:val="11"/>
                <w:szCs w:val="11"/>
                <w:color w:val="auto"/>
              </w:rPr>
            </w:pPr>
          </w:p>
        </w:tc>
        <w:tc>
          <w:tcPr>
            <w:tcW w:w="920" w:type="dxa"/>
            <w:vAlign w:val="bottom"/>
            <w:shd w:val="clear" w:color="auto" w:fill="EAEAEC"/>
          </w:tcPr>
          <w:p>
            <w:pPr>
              <w:spacing w:after="0"/>
              <w:rPr>
                <w:sz w:val="11"/>
                <w:szCs w:val="11"/>
                <w:color w:val="auto"/>
              </w:rPr>
            </w:pPr>
          </w:p>
        </w:tc>
        <w:tc>
          <w:tcPr>
            <w:tcW w:w="1480" w:type="dxa"/>
            <w:vAlign w:val="bottom"/>
            <w:shd w:val="clear" w:color="auto" w:fill="EAEAEC"/>
          </w:tcPr>
          <w:p>
            <w:pPr>
              <w:spacing w:after="0"/>
              <w:rPr>
                <w:sz w:val="11"/>
                <w:szCs w:val="11"/>
                <w:color w:val="auto"/>
              </w:rPr>
            </w:pPr>
          </w:p>
        </w:tc>
        <w:tc>
          <w:tcPr>
            <w:tcW w:w="960" w:type="dxa"/>
            <w:vAlign w:val="bottom"/>
            <w:shd w:val="clear" w:color="auto" w:fill="EAEAEC"/>
          </w:tcPr>
          <w:p>
            <w:pPr>
              <w:spacing w:after="0"/>
              <w:rPr>
                <w:sz w:val="11"/>
                <w:szCs w:val="11"/>
                <w:color w:val="auto"/>
              </w:rPr>
            </w:pPr>
          </w:p>
        </w:tc>
        <w:tc>
          <w:tcPr>
            <w:tcW w:w="740" w:type="dxa"/>
            <w:vAlign w:val="bottom"/>
            <w:shd w:val="clear" w:color="auto" w:fill="EAEAEC"/>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26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Goldstein, M.D.</w:t>
            </w:r>
          </w:p>
        </w:tc>
        <w:tc>
          <w:tcPr>
            <w:tcW w:w="1020" w:type="dxa"/>
            <w:vAlign w:val="bottom"/>
            <w:tcBorders>
              <w:bottom w:val="single" w:sz="8" w:color="auto"/>
            </w:tcBorders>
            <w:shd w:val="clear" w:color="auto" w:fill="EAEAEC"/>
          </w:tcPr>
          <w:p>
            <w:pPr>
              <w:jc w:val="right"/>
              <w:ind w:right="98"/>
              <w:spacing w:after="0"/>
              <w:rPr>
                <w:sz w:val="20"/>
                <w:szCs w:val="20"/>
                <w:color w:val="auto"/>
              </w:rPr>
            </w:pPr>
            <w:r>
              <w:rPr>
                <w:rFonts w:ascii="Arial" w:cs="Arial" w:eastAsia="Arial" w:hAnsi="Arial"/>
                <w:sz w:val="13"/>
                <w:szCs w:val="13"/>
                <w:color w:val="231F20"/>
              </w:rPr>
              <w:t>110,000</w:t>
            </w:r>
          </w:p>
        </w:tc>
        <w:tc>
          <w:tcPr>
            <w:tcW w:w="960" w:type="dxa"/>
            <w:vAlign w:val="bottom"/>
            <w:tcBorders>
              <w:bottom w:val="single" w:sz="8" w:color="auto"/>
            </w:tcBorders>
            <w:shd w:val="clear" w:color="auto" w:fill="EAEAEC"/>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shd w:val="clear" w:color="auto" w:fill="EAEAEC"/>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shd w:val="clear" w:color="auto" w:fill="EAEAEC"/>
          </w:tcPr>
          <w:p>
            <w:pPr>
              <w:jc w:val="right"/>
              <w:ind w:right="278"/>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shd w:val="clear" w:color="auto" w:fill="EAEAEC"/>
          </w:tcPr>
          <w:p>
            <w:pPr>
              <w:jc w:val="right"/>
              <w:ind w:right="58"/>
              <w:spacing w:after="0"/>
              <w:rPr>
                <w:sz w:val="20"/>
                <w:szCs w:val="20"/>
                <w:color w:val="auto"/>
              </w:rPr>
            </w:pPr>
            <w:r>
              <w:rPr>
                <w:rFonts w:ascii="Arial" w:cs="Arial" w:eastAsia="Arial" w:hAnsi="Arial"/>
                <w:sz w:val="13"/>
                <w:szCs w:val="13"/>
                <w:color w:val="231F20"/>
              </w:rPr>
              <w:t>709,993</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Christine A. Poon</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231F20"/>
              </w:rPr>
              <w:t>120,000</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231F20"/>
              </w:rPr>
              <w:t>719,993</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Arthur F. Ryan</w:t>
            </w:r>
          </w:p>
        </w:tc>
        <w:tc>
          <w:tcPr>
            <w:tcW w:w="1020" w:type="dxa"/>
            <w:vAlign w:val="bottom"/>
            <w:tcBorders>
              <w:bottom w:val="single" w:sz="8" w:color="auto"/>
            </w:tcBorders>
            <w:shd w:val="clear" w:color="auto" w:fill="EAEAEC"/>
          </w:tcPr>
          <w:p>
            <w:pPr>
              <w:jc w:val="right"/>
              <w:ind w:right="98"/>
              <w:spacing w:after="0"/>
              <w:rPr>
                <w:sz w:val="20"/>
                <w:szCs w:val="20"/>
                <w:color w:val="auto"/>
              </w:rPr>
            </w:pPr>
            <w:r>
              <w:rPr>
                <w:rFonts w:ascii="Arial" w:cs="Arial" w:eastAsia="Arial" w:hAnsi="Arial"/>
                <w:sz w:val="13"/>
                <w:szCs w:val="13"/>
                <w:color w:val="231F20"/>
              </w:rPr>
              <w:t>120,000</w:t>
            </w:r>
          </w:p>
        </w:tc>
        <w:tc>
          <w:tcPr>
            <w:tcW w:w="960" w:type="dxa"/>
            <w:vAlign w:val="bottom"/>
            <w:tcBorders>
              <w:bottom w:val="single" w:sz="8" w:color="auto"/>
            </w:tcBorders>
            <w:shd w:val="clear" w:color="auto" w:fill="EAEAEC"/>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shd w:val="clear" w:color="auto" w:fill="EAEAEC"/>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shd w:val="clear" w:color="auto" w:fill="EAEAEC"/>
          </w:tcPr>
          <w:p>
            <w:pPr>
              <w:jc w:val="right"/>
              <w:ind w:right="218"/>
              <w:spacing w:after="0" w:line="203" w:lineRule="exact"/>
              <w:rPr>
                <w:sz w:val="20"/>
                <w:szCs w:val="20"/>
                <w:color w:val="auto"/>
              </w:rPr>
            </w:pPr>
            <w:r>
              <w:rPr>
                <w:rFonts w:ascii="Arial" w:cs="Arial" w:eastAsia="Arial" w:hAnsi="Arial"/>
                <w:sz w:val="13"/>
                <w:szCs w:val="13"/>
                <w:color w:val="231F20"/>
              </w:rPr>
              <w:t>5,000</w:t>
            </w:r>
            <w:r>
              <w:rPr>
                <w:rFonts w:ascii="Arial" w:cs="Arial" w:eastAsia="Arial" w:hAnsi="Arial"/>
                <w:sz w:val="20"/>
                <w:szCs w:val="20"/>
                <w:color w:val="231F20"/>
                <w:vertAlign w:val="superscript"/>
              </w:rPr>
              <w:t>4</w:t>
            </w:r>
          </w:p>
        </w:tc>
        <w:tc>
          <w:tcPr>
            <w:tcW w:w="740" w:type="dxa"/>
            <w:vAlign w:val="bottom"/>
            <w:tcBorders>
              <w:bottom w:val="single" w:sz="8" w:color="auto"/>
            </w:tcBorders>
            <w:shd w:val="clear" w:color="auto" w:fill="EAEAEC"/>
          </w:tcPr>
          <w:p>
            <w:pPr>
              <w:jc w:val="right"/>
              <w:ind w:right="58"/>
              <w:spacing w:after="0"/>
              <w:rPr>
                <w:sz w:val="20"/>
                <w:szCs w:val="20"/>
                <w:color w:val="auto"/>
              </w:rPr>
            </w:pPr>
            <w:r>
              <w:rPr>
                <w:rFonts w:ascii="Arial" w:cs="Arial" w:eastAsia="Arial" w:hAnsi="Arial"/>
                <w:sz w:val="13"/>
                <w:szCs w:val="13"/>
                <w:color w:val="231F20"/>
              </w:rPr>
              <w:t>724,993</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George L. Sing</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231F20"/>
              </w:rPr>
              <w:t>120,000</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tcPr>
          <w:p>
            <w:pPr>
              <w:jc w:val="right"/>
              <w:ind w:right="218"/>
              <w:spacing w:after="0" w:line="196" w:lineRule="exact"/>
              <w:rPr>
                <w:sz w:val="20"/>
                <w:szCs w:val="20"/>
                <w:color w:val="auto"/>
              </w:rPr>
            </w:pPr>
            <w:r>
              <w:rPr>
                <w:rFonts w:ascii="Arial" w:cs="Arial" w:eastAsia="Arial" w:hAnsi="Arial"/>
                <w:sz w:val="13"/>
                <w:szCs w:val="13"/>
                <w:color w:val="231F20"/>
              </w:rPr>
              <w:t>3,000</w:t>
            </w:r>
            <w:r>
              <w:rPr>
                <w:rFonts w:ascii="Arial" w:cs="Arial" w:eastAsia="Arial" w:hAnsi="Arial"/>
                <w:sz w:val="20"/>
                <w:szCs w:val="20"/>
                <w:color w:val="231F20"/>
                <w:vertAlign w:val="superscript"/>
              </w:rPr>
              <w:t>4</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231F20"/>
              </w:rPr>
              <w:t>722,993</w:t>
            </w:r>
          </w:p>
        </w:tc>
        <w:tc>
          <w:tcPr>
            <w:tcW w:w="0" w:type="dxa"/>
            <w:vAlign w:val="bottom"/>
          </w:tcPr>
          <w:p>
            <w:pPr>
              <w:spacing w:after="0"/>
              <w:rPr>
                <w:sz w:val="1"/>
                <w:szCs w:val="1"/>
                <w:color w:val="auto"/>
              </w:rPr>
            </w:pPr>
          </w:p>
        </w:tc>
      </w:tr>
      <w:tr>
        <w:trPr>
          <w:trHeight w:val="134"/>
        </w:trPr>
        <w:tc>
          <w:tcPr>
            <w:tcW w:w="1260" w:type="dxa"/>
            <w:vAlign w:val="bottom"/>
            <w:shd w:val="clear" w:color="auto" w:fill="EAEAEC"/>
          </w:tcPr>
          <w:p>
            <w:pPr>
              <w:ind w:left="40"/>
              <w:spacing w:after="0" w:line="134" w:lineRule="exact"/>
              <w:rPr>
                <w:sz w:val="20"/>
                <w:szCs w:val="20"/>
                <w:color w:val="auto"/>
              </w:rPr>
            </w:pPr>
            <w:r>
              <w:rPr>
                <w:rFonts w:ascii="Arial" w:cs="Arial" w:eastAsia="Arial" w:hAnsi="Arial"/>
                <w:sz w:val="13"/>
                <w:szCs w:val="13"/>
                <w:b w:val="1"/>
                <w:bCs w:val="1"/>
                <w:color w:val="C04C57"/>
              </w:rPr>
              <w:t>Marc Tessier-</w:t>
            </w:r>
          </w:p>
        </w:tc>
        <w:tc>
          <w:tcPr>
            <w:tcW w:w="1020" w:type="dxa"/>
            <w:vAlign w:val="bottom"/>
            <w:shd w:val="clear" w:color="auto" w:fill="EAEAEC"/>
          </w:tcPr>
          <w:p>
            <w:pPr>
              <w:spacing w:after="0"/>
              <w:rPr>
                <w:sz w:val="11"/>
                <w:szCs w:val="11"/>
                <w:color w:val="auto"/>
              </w:rPr>
            </w:pPr>
          </w:p>
        </w:tc>
        <w:tc>
          <w:tcPr>
            <w:tcW w:w="960" w:type="dxa"/>
            <w:vAlign w:val="bottom"/>
            <w:shd w:val="clear" w:color="auto" w:fill="EAEAEC"/>
          </w:tcPr>
          <w:p>
            <w:pPr>
              <w:spacing w:after="0"/>
              <w:rPr>
                <w:sz w:val="11"/>
                <w:szCs w:val="11"/>
                <w:color w:val="auto"/>
              </w:rPr>
            </w:pPr>
          </w:p>
        </w:tc>
        <w:tc>
          <w:tcPr>
            <w:tcW w:w="760" w:type="dxa"/>
            <w:vAlign w:val="bottom"/>
            <w:shd w:val="clear" w:color="auto" w:fill="EAEAEC"/>
          </w:tcPr>
          <w:p>
            <w:pPr>
              <w:spacing w:after="0"/>
              <w:rPr>
                <w:sz w:val="11"/>
                <w:szCs w:val="11"/>
                <w:color w:val="auto"/>
              </w:rPr>
            </w:pPr>
          </w:p>
        </w:tc>
        <w:tc>
          <w:tcPr>
            <w:tcW w:w="920" w:type="dxa"/>
            <w:vAlign w:val="bottom"/>
            <w:shd w:val="clear" w:color="auto" w:fill="EAEAEC"/>
          </w:tcPr>
          <w:p>
            <w:pPr>
              <w:spacing w:after="0"/>
              <w:rPr>
                <w:sz w:val="11"/>
                <w:szCs w:val="11"/>
                <w:color w:val="auto"/>
              </w:rPr>
            </w:pPr>
          </w:p>
        </w:tc>
        <w:tc>
          <w:tcPr>
            <w:tcW w:w="1480" w:type="dxa"/>
            <w:vAlign w:val="bottom"/>
            <w:shd w:val="clear" w:color="auto" w:fill="EAEAEC"/>
          </w:tcPr>
          <w:p>
            <w:pPr>
              <w:spacing w:after="0"/>
              <w:rPr>
                <w:sz w:val="11"/>
                <w:szCs w:val="11"/>
                <w:color w:val="auto"/>
              </w:rPr>
            </w:pPr>
          </w:p>
        </w:tc>
        <w:tc>
          <w:tcPr>
            <w:tcW w:w="960" w:type="dxa"/>
            <w:vAlign w:val="bottom"/>
            <w:shd w:val="clear" w:color="auto" w:fill="EAEAEC"/>
          </w:tcPr>
          <w:p>
            <w:pPr>
              <w:spacing w:after="0"/>
              <w:rPr>
                <w:sz w:val="11"/>
                <w:szCs w:val="11"/>
                <w:color w:val="auto"/>
              </w:rPr>
            </w:pPr>
          </w:p>
        </w:tc>
        <w:tc>
          <w:tcPr>
            <w:tcW w:w="740" w:type="dxa"/>
            <w:vAlign w:val="bottom"/>
            <w:shd w:val="clear" w:color="auto" w:fill="EAEAEC"/>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26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Lavigne, Ph.D.</w:t>
            </w:r>
          </w:p>
        </w:tc>
        <w:tc>
          <w:tcPr>
            <w:tcW w:w="1020" w:type="dxa"/>
            <w:vAlign w:val="bottom"/>
            <w:tcBorders>
              <w:bottom w:val="single" w:sz="8" w:color="auto"/>
            </w:tcBorders>
            <w:shd w:val="clear" w:color="auto" w:fill="EAEAEC"/>
          </w:tcPr>
          <w:p>
            <w:pPr>
              <w:jc w:val="right"/>
              <w:ind w:right="98"/>
              <w:spacing w:after="0"/>
              <w:rPr>
                <w:sz w:val="20"/>
                <w:szCs w:val="20"/>
                <w:color w:val="auto"/>
              </w:rPr>
            </w:pPr>
            <w:r>
              <w:rPr>
                <w:rFonts w:ascii="Arial" w:cs="Arial" w:eastAsia="Arial" w:hAnsi="Arial"/>
                <w:sz w:val="13"/>
                <w:szCs w:val="13"/>
                <w:color w:val="231F20"/>
              </w:rPr>
              <w:t>100,000</w:t>
            </w:r>
          </w:p>
        </w:tc>
        <w:tc>
          <w:tcPr>
            <w:tcW w:w="960" w:type="dxa"/>
            <w:vAlign w:val="bottom"/>
            <w:tcBorders>
              <w:bottom w:val="single" w:sz="8" w:color="auto"/>
            </w:tcBorders>
            <w:shd w:val="clear" w:color="auto" w:fill="EAEAEC"/>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auto"/>
            </w:tcBorders>
            <w:shd w:val="clear" w:color="auto" w:fill="EAEAEC"/>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shd w:val="clear" w:color="auto" w:fill="EAEAEC"/>
          </w:tcPr>
          <w:p>
            <w:pPr>
              <w:jc w:val="right"/>
              <w:ind w:right="278"/>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shd w:val="clear" w:color="auto" w:fill="EAEAEC"/>
          </w:tcPr>
          <w:p>
            <w:pPr>
              <w:jc w:val="right"/>
              <w:ind w:right="58"/>
              <w:spacing w:after="0"/>
              <w:rPr>
                <w:sz w:val="20"/>
                <w:szCs w:val="20"/>
                <w:color w:val="auto"/>
              </w:rPr>
            </w:pPr>
            <w:r>
              <w:rPr>
                <w:rFonts w:ascii="Arial" w:cs="Arial" w:eastAsia="Arial" w:hAnsi="Arial"/>
                <w:sz w:val="13"/>
                <w:szCs w:val="13"/>
                <w:color w:val="231F20"/>
              </w:rPr>
              <w:t>699,993</w:t>
            </w:r>
          </w:p>
        </w:tc>
        <w:tc>
          <w:tcPr>
            <w:tcW w:w="0" w:type="dxa"/>
            <w:vAlign w:val="bottom"/>
          </w:tcPr>
          <w:p>
            <w:pPr>
              <w:spacing w:after="0"/>
              <w:rPr>
                <w:sz w:val="1"/>
                <w:szCs w:val="1"/>
                <w:color w:val="auto"/>
              </w:rPr>
            </w:pPr>
          </w:p>
        </w:tc>
      </w:tr>
      <w:tr>
        <w:trPr>
          <w:trHeight w:val="140"/>
        </w:trPr>
        <w:tc>
          <w:tcPr>
            <w:tcW w:w="1260" w:type="dxa"/>
            <w:vAlign w:val="bottom"/>
          </w:tcPr>
          <w:p>
            <w:pPr>
              <w:ind w:left="40"/>
              <w:spacing w:after="0" w:line="140" w:lineRule="exact"/>
              <w:rPr>
                <w:sz w:val="20"/>
                <w:szCs w:val="20"/>
                <w:color w:val="auto"/>
              </w:rPr>
            </w:pPr>
            <w:r>
              <w:rPr>
                <w:rFonts w:ascii="Arial" w:cs="Arial" w:eastAsia="Arial" w:hAnsi="Arial"/>
                <w:sz w:val="13"/>
                <w:szCs w:val="13"/>
                <w:b w:val="1"/>
                <w:bCs w:val="1"/>
                <w:color w:val="C04C57"/>
              </w:rPr>
              <w:t>P. Roy Vagelos,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M.D.</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231F20"/>
              </w:rPr>
              <w:t>1,799,9445</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231F20"/>
              </w:rPr>
              <w:t>4,199,881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auto"/>
            </w:tcBorders>
          </w:tcPr>
          <w:p>
            <w:pPr>
              <w:jc w:val="right"/>
              <w:ind w:right="218"/>
              <w:spacing w:after="0" w:line="184" w:lineRule="exact"/>
              <w:rPr>
                <w:sz w:val="20"/>
                <w:szCs w:val="20"/>
                <w:color w:val="auto"/>
              </w:rPr>
            </w:pPr>
            <w:r>
              <w:rPr>
                <w:rFonts w:ascii="Arial" w:cs="Arial" w:eastAsia="Arial" w:hAnsi="Arial"/>
                <w:sz w:val="13"/>
                <w:szCs w:val="13"/>
                <w:color w:val="231F20"/>
              </w:rPr>
              <w:t>105,000</w:t>
            </w:r>
            <w:r>
              <w:rPr>
                <w:rFonts w:ascii="Arial" w:cs="Arial" w:eastAsia="Arial" w:hAnsi="Arial"/>
                <w:sz w:val="20"/>
                <w:szCs w:val="20"/>
                <w:color w:val="231F20"/>
                <w:vertAlign w:val="superscript"/>
              </w:rPr>
              <w:t>6</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231F20"/>
              </w:rPr>
              <w:t>6,104,825</w:t>
            </w:r>
          </w:p>
        </w:tc>
        <w:tc>
          <w:tcPr>
            <w:tcW w:w="0" w:type="dxa"/>
            <w:vAlign w:val="bottom"/>
          </w:tcPr>
          <w:p>
            <w:pPr>
              <w:spacing w:after="0"/>
              <w:rPr>
                <w:sz w:val="1"/>
                <w:szCs w:val="1"/>
                <w:color w:val="auto"/>
              </w:rPr>
            </w:pPr>
          </w:p>
        </w:tc>
      </w:tr>
      <w:tr>
        <w:trPr>
          <w:trHeight w:val="134"/>
        </w:trPr>
        <w:tc>
          <w:tcPr>
            <w:tcW w:w="1260" w:type="dxa"/>
            <w:vAlign w:val="bottom"/>
            <w:shd w:val="clear" w:color="auto" w:fill="EAEAEC"/>
          </w:tcPr>
          <w:p>
            <w:pPr>
              <w:ind w:left="40"/>
              <w:spacing w:after="0" w:line="134" w:lineRule="exact"/>
              <w:rPr>
                <w:sz w:val="20"/>
                <w:szCs w:val="20"/>
                <w:color w:val="auto"/>
              </w:rPr>
            </w:pPr>
            <w:r>
              <w:rPr>
                <w:rFonts w:ascii="Arial" w:cs="Arial" w:eastAsia="Arial" w:hAnsi="Arial"/>
                <w:sz w:val="13"/>
                <w:szCs w:val="13"/>
                <w:b w:val="1"/>
                <w:bCs w:val="1"/>
                <w:color w:val="C04C57"/>
              </w:rPr>
              <w:t>Huda Y. Zoghbi,</w:t>
            </w:r>
          </w:p>
        </w:tc>
        <w:tc>
          <w:tcPr>
            <w:tcW w:w="1020" w:type="dxa"/>
            <w:vAlign w:val="bottom"/>
            <w:shd w:val="clear" w:color="auto" w:fill="EAEAEC"/>
          </w:tcPr>
          <w:p>
            <w:pPr>
              <w:spacing w:after="0"/>
              <w:rPr>
                <w:sz w:val="11"/>
                <w:szCs w:val="11"/>
                <w:color w:val="auto"/>
              </w:rPr>
            </w:pPr>
          </w:p>
        </w:tc>
        <w:tc>
          <w:tcPr>
            <w:tcW w:w="960" w:type="dxa"/>
            <w:vAlign w:val="bottom"/>
            <w:shd w:val="clear" w:color="auto" w:fill="EAEAEC"/>
          </w:tcPr>
          <w:p>
            <w:pPr>
              <w:spacing w:after="0"/>
              <w:rPr>
                <w:sz w:val="11"/>
                <w:szCs w:val="11"/>
                <w:color w:val="auto"/>
              </w:rPr>
            </w:pPr>
          </w:p>
        </w:tc>
        <w:tc>
          <w:tcPr>
            <w:tcW w:w="760" w:type="dxa"/>
            <w:vAlign w:val="bottom"/>
            <w:shd w:val="clear" w:color="auto" w:fill="EAEAEC"/>
          </w:tcPr>
          <w:p>
            <w:pPr>
              <w:spacing w:after="0"/>
              <w:rPr>
                <w:sz w:val="11"/>
                <w:szCs w:val="11"/>
                <w:color w:val="auto"/>
              </w:rPr>
            </w:pPr>
          </w:p>
        </w:tc>
        <w:tc>
          <w:tcPr>
            <w:tcW w:w="920" w:type="dxa"/>
            <w:vAlign w:val="bottom"/>
            <w:shd w:val="clear" w:color="auto" w:fill="EAEAEC"/>
          </w:tcPr>
          <w:p>
            <w:pPr>
              <w:spacing w:after="0"/>
              <w:rPr>
                <w:sz w:val="11"/>
                <w:szCs w:val="11"/>
                <w:color w:val="auto"/>
              </w:rPr>
            </w:pPr>
          </w:p>
        </w:tc>
        <w:tc>
          <w:tcPr>
            <w:tcW w:w="1480" w:type="dxa"/>
            <w:vAlign w:val="bottom"/>
            <w:shd w:val="clear" w:color="auto" w:fill="EAEAEC"/>
          </w:tcPr>
          <w:p>
            <w:pPr>
              <w:spacing w:after="0"/>
              <w:rPr>
                <w:sz w:val="11"/>
                <w:szCs w:val="11"/>
                <w:color w:val="auto"/>
              </w:rPr>
            </w:pPr>
          </w:p>
        </w:tc>
        <w:tc>
          <w:tcPr>
            <w:tcW w:w="960" w:type="dxa"/>
            <w:vAlign w:val="bottom"/>
            <w:shd w:val="clear" w:color="auto" w:fill="EAEAEC"/>
          </w:tcPr>
          <w:p>
            <w:pPr>
              <w:spacing w:after="0"/>
              <w:rPr>
                <w:sz w:val="11"/>
                <w:szCs w:val="11"/>
                <w:color w:val="auto"/>
              </w:rPr>
            </w:pPr>
          </w:p>
        </w:tc>
        <w:tc>
          <w:tcPr>
            <w:tcW w:w="740" w:type="dxa"/>
            <w:vAlign w:val="bottom"/>
            <w:shd w:val="clear" w:color="auto" w:fill="EAEAE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60" w:type="dxa"/>
            <w:vAlign w:val="bottom"/>
            <w:tcBorders>
              <w:bottom w:val="single" w:sz="8" w:color="2952A4"/>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M.D.</w:t>
            </w:r>
          </w:p>
        </w:tc>
        <w:tc>
          <w:tcPr>
            <w:tcW w:w="1020" w:type="dxa"/>
            <w:vAlign w:val="bottom"/>
            <w:tcBorders>
              <w:bottom w:val="single" w:sz="8" w:color="2952A4"/>
            </w:tcBorders>
            <w:shd w:val="clear" w:color="auto" w:fill="EAEAEC"/>
          </w:tcPr>
          <w:p>
            <w:pPr>
              <w:jc w:val="right"/>
              <w:ind w:right="98"/>
              <w:spacing w:after="0"/>
              <w:rPr>
                <w:sz w:val="20"/>
                <w:szCs w:val="20"/>
                <w:color w:val="auto"/>
              </w:rPr>
            </w:pPr>
            <w:r>
              <w:rPr>
                <w:rFonts w:ascii="Arial" w:cs="Arial" w:eastAsia="Arial" w:hAnsi="Arial"/>
                <w:sz w:val="13"/>
                <w:szCs w:val="13"/>
                <w:color w:val="231F20"/>
              </w:rPr>
              <w:t>110,000</w:t>
            </w:r>
          </w:p>
        </w:tc>
        <w:tc>
          <w:tcPr>
            <w:tcW w:w="960" w:type="dxa"/>
            <w:vAlign w:val="bottom"/>
            <w:tcBorders>
              <w:bottom w:val="single" w:sz="8" w:color="2952A4"/>
            </w:tcBorders>
            <w:shd w:val="clear" w:color="auto" w:fill="EAEAEC"/>
          </w:tcPr>
          <w:p>
            <w:pPr>
              <w:jc w:val="right"/>
              <w:ind w:right="158"/>
              <w:spacing w:after="0"/>
              <w:rPr>
                <w:sz w:val="20"/>
                <w:szCs w:val="20"/>
                <w:color w:val="auto"/>
              </w:rPr>
            </w:pPr>
            <w:r>
              <w:rPr>
                <w:rFonts w:ascii="Arial" w:cs="Arial" w:eastAsia="Arial" w:hAnsi="Arial"/>
                <w:sz w:val="13"/>
                <w:szCs w:val="13"/>
                <w:color w:val="231F20"/>
              </w:rPr>
              <w:t>119,962</w:t>
            </w:r>
          </w:p>
        </w:tc>
        <w:tc>
          <w:tcPr>
            <w:tcW w:w="760" w:type="dxa"/>
            <w:vAlign w:val="bottom"/>
            <w:tcBorders>
              <w:bottom w:val="single" w:sz="8" w:color="2952A4"/>
            </w:tcBorders>
            <w:shd w:val="clear" w:color="auto" w:fill="EAEAEC"/>
          </w:tcPr>
          <w:p>
            <w:pPr>
              <w:jc w:val="right"/>
              <w:ind w:right="38"/>
              <w:spacing w:after="0"/>
              <w:rPr>
                <w:sz w:val="20"/>
                <w:szCs w:val="20"/>
                <w:color w:val="auto"/>
              </w:rPr>
            </w:pPr>
            <w:r>
              <w:rPr>
                <w:rFonts w:ascii="Arial" w:cs="Arial" w:eastAsia="Arial" w:hAnsi="Arial"/>
                <w:sz w:val="13"/>
                <w:szCs w:val="13"/>
                <w:color w:val="231F20"/>
              </w:rPr>
              <w:t>480,031</w:t>
            </w:r>
          </w:p>
        </w:tc>
        <w:tc>
          <w:tcPr>
            <w:tcW w:w="920" w:type="dxa"/>
            <w:vAlign w:val="bottom"/>
            <w:tcBorders>
              <w:bottom w:val="single" w:sz="8" w:color="2952A4"/>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80" w:type="dxa"/>
            <w:vAlign w:val="bottom"/>
            <w:tcBorders>
              <w:bottom w:val="single" w:sz="8" w:color="2952A4"/>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960" w:type="dxa"/>
            <w:vAlign w:val="bottom"/>
            <w:tcBorders>
              <w:bottom w:val="single" w:sz="8" w:color="2952A4"/>
            </w:tcBorders>
            <w:shd w:val="clear" w:color="auto" w:fill="EAEAEC"/>
          </w:tcPr>
          <w:p>
            <w:pPr>
              <w:jc w:val="right"/>
              <w:ind w:right="218"/>
              <w:spacing w:after="0" w:line="184" w:lineRule="exact"/>
              <w:rPr>
                <w:sz w:val="20"/>
                <w:szCs w:val="20"/>
                <w:color w:val="auto"/>
              </w:rPr>
            </w:pPr>
            <w:r>
              <w:rPr>
                <w:rFonts w:ascii="Arial" w:cs="Arial" w:eastAsia="Arial" w:hAnsi="Arial"/>
                <w:sz w:val="13"/>
                <w:szCs w:val="13"/>
                <w:color w:val="231F20"/>
              </w:rPr>
              <w:t>5,000</w:t>
            </w:r>
            <w:r>
              <w:rPr>
                <w:rFonts w:ascii="Arial" w:cs="Arial" w:eastAsia="Arial" w:hAnsi="Arial"/>
                <w:sz w:val="20"/>
                <w:szCs w:val="20"/>
                <w:color w:val="231F20"/>
                <w:vertAlign w:val="superscript"/>
              </w:rPr>
              <w:t>4</w:t>
            </w:r>
          </w:p>
        </w:tc>
        <w:tc>
          <w:tcPr>
            <w:tcW w:w="740" w:type="dxa"/>
            <w:vAlign w:val="bottom"/>
            <w:tcBorders>
              <w:bottom w:val="single" w:sz="8" w:color="2952A4"/>
            </w:tcBorders>
            <w:shd w:val="clear" w:color="auto" w:fill="EAEAEC"/>
          </w:tcPr>
          <w:p>
            <w:pPr>
              <w:jc w:val="right"/>
              <w:ind w:right="58"/>
              <w:spacing w:after="0"/>
              <w:rPr>
                <w:sz w:val="20"/>
                <w:szCs w:val="20"/>
                <w:color w:val="auto"/>
              </w:rPr>
            </w:pPr>
            <w:r>
              <w:rPr>
                <w:rFonts w:ascii="Arial" w:cs="Arial" w:eastAsia="Arial" w:hAnsi="Arial"/>
                <w:sz w:val="13"/>
                <w:szCs w:val="13"/>
                <w:color w:val="231F20"/>
              </w:rPr>
              <w:t>714,993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740" w:right="1660" w:hanging="166"/>
        <w:spacing w:after="0" w:line="245" w:lineRule="auto"/>
        <w:tabs>
          <w:tab w:leader="none" w:pos="1740" w:val="left"/>
        </w:tabs>
        <w:numPr>
          <w:ilvl w:val="0"/>
          <w:numId w:val="49"/>
        </w:numPr>
        <w:rPr>
          <w:rFonts w:ascii="Arial" w:cs="Arial" w:eastAsia="Arial" w:hAnsi="Arial"/>
          <w:sz w:val="14"/>
          <w:szCs w:val="14"/>
          <w:b w:val="1"/>
          <w:bCs w:val="1"/>
          <w:color w:val="2952A4"/>
        </w:rPr>
      </w:pPr>
      <w:r>
        <w:rPr>
          <w:rFonts w:ascii="Arial" w:cs="Arial" w:eastAsia="Arial" w:hAnsi="Arial"/>
          <w:sz w:val="14"/>
          <w:szCs w:val="14"/>
          <w:color w:val="231F20"/>
        </w:rPr>
        <w:t>The amounts in columns (c) and (d) reflect the respective aggregate grant date fair values of RSUs or PSUs (as applicable) and options awarded during the year ended December 31, 2019 pursuant to the Amended and Restated Regeneron Pharmaceuticals, Inc. 2014 Long-Term Incentive Plan. Valuation assumptions and methodologies used in the calculation of these amounts do not take into account expected forfeitures and are otherwise described in Note 13 to the Company’s audited financial statements for the fiscal year ended December 31, 2019 included in the 2019 Annual Report.</w:t>
      </w:r>
    </w:p>
    <w:p>
      <w:pPr>
        <w:spacing w:after="0" w:line="123" w:lineRule="exact"/>
        <w:rPr>
          <w:sz w:val="20"/>
          <w:szCs w:val="20"/>
          <w:color w:val="auto"/>
        </w:rPr>
      </w:pPr>
    </w:p>
    <w:p>
      <w:pPr>
        <w:ind w:left="1740" w:right="1780" w:hanging="166"/>
        <w:spacing w:after="0" w:line="249" w:lineRule="auto"/>
        <w:tabs>
          <w:tab w:leader="none" w:pos="1740" w:val="left"/>
        </w:tabs>
        <w:numPr>
          <w:ilvl w:val="0"/>
          <w:numId w:val="50"/>
        </w:numPr>
        <w:rPr>
          <w:rFonts w:ascii="Arial" w:cs="Arial" w:eastAsia="Arial" w:hAnsi="Arial"/>
          <w:sz w:val="14"/>
          <w:szCs w:val="14"/>
          <w:b w:val="1"/>
          <w:bCs w:val="1"/>
          <w:color w:val="2952A4"/>
        </w:rPr>
      </w:pPr>
      <w:r>
        <w:rPr>
          <w:rFonts w:ascii="Arial" w:cs="Arial" w:eastAsia="Arial" w:hAnsi="Arial"/>
          <w:sz w:val="14"/>
          <w:szCs w:val="14"/>
          <w:color w:val="231F20"/>
        </w:rPr>
        <w:t>At December 31, 2019, the non-employee directors and Dr. Vagelos had the following aggregate number of stock option awards outstanding: Dr. Bassler: 29,014; Dr. Brown: 41,353; Dr. Coles: 23,743; Dr. Goldstein: 41,103; Ms. Poon: 121,383; Mr. Ryan: 52,603; Mr. Sing: 111,853; Dr. Tessier-Lavigne: 81,132; Dr. Vagelos: 1,258,645; and Dr. Zoghbi: 29,014.</w:t>
      </w:r>
    </w:p>
    <w:p>
      <w:pPr>
        <w:spacing w:after="0" w:line="120" w:lineRule="exact"/>
        <w:rPr>
          <w:sz w:val="20"/>
          <w:szCs w:val="20"/>
          <w:color w:val="auto"/>
        </w:rPr>
      </w:pPr>
    </w:p>
    <w:p>
      <w:pPr>
        <w:ind w:left="1740" w:right="1740" w:hanging="166"/>
        <w:spacing w:after="0" w:line="249" w:lineRule="auto"/>
        <w:tabs>
          <w:tab w:leader="none" w:pos="1740" w:val="left"/>
        </w:tabs>
        <w:numPr>
          <w:ilvl w:val="0"/>
          <w:numId w:val="51"/>
        </w:numPr>
        <w:rPr>
          <w:rFonts w:ascii="Arial" w:cs="Arial" w:eastAsia="Arial" w:hAnsi="Arial"/>
          <w:sz w:val="14"/>
          <w:szCs w:val="14"/>
          <w:b w:val="1"/>
          <w:bCs w:val="1"/>
          <w:color w:val="2952A4"/>
        </w:rPr>
      </w:pPr>
      <w:r>
        <w:rPr>
          <w:rFonts w:ascii="Arial" w:cs="Arial" w:eastAsia="Arial" w:hAnsi="Arial"/>
          <w:sz w:val="14"/>
          <w:szCs w:val="14"/>
          <w:color w:val="231F20"/>
        </w:rPr>
        <w:t>See the subsection “Compensation-Related Matters—Compensation Dashboard—Additional Compensation Information— Perquisites and Personal Benefits” for information regarding director air transportation in accordance with guidelines approved by our board of directors.</w:t>
      </w:r>
    </w:p>
    <w:p>
      <w:pPr>
        <w:spacing w:after="0" w:line="120" w:lineRule="exact"/>
        <w:rPr>
          <w:sz w:val="20"/>
          <w:szCs w:val="20"/>
          <w:color w:val="auto"/>
        </w:rPr>
      </w:pPr>
    </w:p>
    <w:p>
      <w:pPr>
        <w:ind w:left="1740" w:right="1580" w:hanging="166"/>
        <w:spacing w:after="0" w:line="258" w:lineRule="auto"/>
        <w:tabs>
          <w:tab w:leader="none" w:pos="1740" w:val="left"/>
        </w:tabs>
        <w:numPr>
          <w:ilvl w:val="0"/>
          <w:numId w:val="52"/>
        </w:numPr>
        <w:rPr>
          <w:rFonts w:ascii="Arial" w:cs="Arial" w:eastAsia="Arial" w:hAnsi="Arial"/>
          <w:sz w:val="14"/>
          <w:szCs w:val="14"/>
          <w:b w:val="1"/>
          <w:bCs w:val="1"/>
          <w:color w:val="2952A4"/>
        </w:rPr>
      </w:pPr>
      <w:r>
        <w:rPr>
          <w:rFonts w:ascii="Arial" w:cs="Arial" w:eastAsia="Arial" w:hAnsi="Arial"/>
          <w:sz w:val="14"/>
          <w:szCs w:val="14"/>
          <w:color w:val="231F20"/>
        </w:rPr>
        <w:t>Consists of a Company contribution paid or payable on or before April 14, 2020 under the Regeneron Matching Gift Program in respect of charitable gifts made in 2019.</w:t>
      </w:r>
    </w:p>
    <w:p>
      <w:pPr>
        <w:spacing w:after="0" w:line="113" w:lineRule="exact"/>
        <w:rPr>
          <w:sz w:val="20"/>
          <w:szCs w:val="20"/>
          <w:color w:val="auto"/>
        </w:rPr>
      </w:pPr>
    </w:p>
    <w:p>
      <w:pPr>
        <w:ind w:left="1740" w:right="1960" w:hanging="166"/>
        <w:spacing w:after="0" w:line="258" w:lineRule="auto"/>
        <w:tabs>
          <w:tab w:leader="none" w:pos="1740" w:val="left"/>
        </w:tabs>
        <w:numPr>
          <w:ilvl w:val="0"/>
          <w:numId w:val="53"/>
        </w:numPr>
        <w:rPr>
          <w:rFonts w:ascii="Arial" w:cs="Arial" w:eastAsia="Arial" w:hAnsi="Arial"/>
          <w:sz w:val="14"/>
          <w:szCs w:val="14"/>
          <w:b w:val="1"/>
          <w:bCs w:val="1"/>
          <w:color w:val="2952A4"/>
        </w:rPr>
      </w:pPr>
      <w:r>
        <w:rPr>
          <w:rFonts w:ascii="Arial" w:cs="Arial" w:eastAsia="Arial" w:hAnsi="Arial"/>
          <w:sz w:val="14"/>
          <w:szCs w:val="14"/>
          <w:color w:val="231F20"/>
        </w:rPr>
        <w:t>Consists of a PSU award with possible minimum, threshold, and maximum payouts of 2,019 shares, 4,038 shares, and 9,086 shares of common stock, respectively.</w:t>
      </w:r>
    </w:p>
    <w:p>
      <w:pPr>
        <w:spacing w:after="0" w:line="113" w:lineRule="exact"/>
        <w:rPr>
          <w:sz w:val="20"/>
          <w:szCs w:val="20"/>
          <w:color w:val="auto"/>
        </w:rPr>
      </w:pPr>
    </w:p>
    <w:p>
      <w:pPr>
        <w:ind w:left="1740" w:right="1900" w:hanging="166"/>
        <w:spacing w:after="0" w:line="258" w:lineRule="auto"/>
        <w:tabs>
          <w:tab w:leader="none" w:pos="1740" w:val="left"/>
        </w:tabs>
        <w:numPr>
          <w:ilvl w:val="0"/>
          <w:numId w:val="54"/>
        </w:numPr>
        <w:rPr>
          <w:rFonts w:ascii="Arial" w:cs="Arial" w:eastAsia="Arial" w:hAnsi="Arial"/>
          <w:sz w:val="14"/>
          <w:szCs w:val="14"/>
          <w:b w:val="1"/>
          <w:bCs w:val="1"/>
          <w:color w:val="2952A4"/>
        </w:rPr>
      </w:pPr>
      <w:r>
        <w:rPr>
          <w:rFonts w:ascii="Arial" w:cs="Arial" w:eastAsia="Arial" w:hAnsi="Arial"/>
          <w:sz w:val="14"/>
          <w:szCs w:val="14"/>
          <w:color w:val="231F20"/>
        </w:rPr>
        <w:t>Consists of (i) $100,000 for the salary paid pursuant to the terms of our employment agreement with Dr. Vagelos and (ii) $5,000 for 401(k) Savings Plan matching contributions in respect of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b w:val="1"/>
                <w:bCs w:val="1"/>
                <w:color w:val="00A5EC"/>
              </w:rPr>
              <w:t>/  31</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-290830</wp:posOffset>
            </wp:positionV>
            <wp:extent cx="74549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795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79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FFFFFF"/>
        </w:rPr>
        <w:t>PROPOSAL</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2"/>
          <w:szCs w:val="162"/>
          <w:b w:val="1"/>
          <w:bCs w:val="1"/>
          <w:color w:val="FFFFFF"/>
        </w:rPr>
        <w:t>01</w:t>
      </w:r>
    </w:p>
    <w:p>
      <w:pPr>
        <w:ind w:left="1260"/>
        <w:spacing w:after="0"/>
        <w:rPr>
          <w:sz w:val="20"/>
          <w:szCs w:val="20"/>
          <w:color w:val="auto"/>
        </w:rPr>
      </w:pPr>
      <w:r>
        <w:rPr>
          <w:rFonts w:ascii="Arial" w:cs="Arial" w:eastAsia="Arial" w:hAnsi="Arial"/>
          <w:sz w:val="54"/>
          <w:szCs w:val="54"/>
          <w:b w:val="1"/>
          <w:bCs w:val="1"/>
          <w:color w:val="FFFFFF"/>
        </w:rPr>
        <w:t>ELECTION OF DIRECTORS</w:t>
      </w:r>
    </w:p>
    <w:p>
      <w:pPr>
        <w:spacing w:after="0" w:line="191" w:lineRule="exact"/>
        <w:rPr>
          <w:sz w:val="20"/>
          <w:szCs w:val="20"/>
          <w:color w:val="auto"/>
        </w:rPr>
      </w:pPr>
    </w:p>
    <w:p>
      <w:pPr>
        <w:ind w:left="1260" w:right="1319"/>
        <w:spacing w:after="0" w:line="237" w:lineRule="auto"/>
        <w:rPr>
          <w:sz w:val="20"/>
          <w:szCs w:val="20"/>
          <w:color w:val="auto"/>
        </w:rPr>
      </w:pPr>
      <w:r>
        <w:rPr>
          <w:rFonts w:ascii="Arial" w:cs="Arial" w:eastAsia="Arial" w:hAnsi="Arial"/>
          <w:sz w:val="18"/>
          <w:szCs w:val="18"/>
          <w:color w:val="FFFFFF"/>
        </w:rPr>
        <w:t>The board of directors, upon the recommendation of the Corporate Governance and Compliance Committee, has nominated for election at the 2020 Annual Meeting Joseph L. Goldstein, M.D., Christine A. Poon, P. Roy Vagelos, M.D., and Huda Y. Zoghbi, M.D. as Class II Directors for a three-year term expiring at the 2023 Annual Meeting and N. Anthony Coles, M.D. as a Class III Director for a one-year term expiring at the 2021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60"/>
        <w:spacing w:after="0"/>
        <w:rPr>
          <w:sz w:val="20"/>
          <w:szCs w:val="20"/>
          <w:color w:val="auto"/>
        </w:rPr>
      </w:pPr>
      <w:r>
        <w:rPr>
          <w:rFonts w:ascii="Arial" w:cs="Arial" w:eastAsia="Arial" w:hAnsi="Arial"/>
          <w:sz w:val="23"/>
          <w:szCs w:val="23"/>
          <w:color w:val="FFFFFF"/>
        </w:rPr>
        <w:t>The board of directors unanimously</w:t>
      </w:r>
    </w:p>
    <w:p>
      <w:pPr>
        <w:spacing w:after="0" w:line="17" w:lineRule="exact"/>
        <w:rPr>
          <w:sz w:val="20"/>
          <w:szCs w:val="20"/>
          <w:color w:val="auto"/>
        </w:rPr>
      </w:pPr>
    </w:p>
    <w:p>
      <w:pPr>
        <w:ind w:left="2660"/>
        <w:spacing w:after="0"/>
        <w:rPr>
          <w:sz w:val="20"/>
          <w:szCs w:val="20"/>
          <w:color w:val="auto"/>
        </w:rPr>
      </w:pPr>
      <w:r>
        <w:rPr>
          <w:rFonts w:ascii="Arial" w:cs="Arial" w:eastAsia="Arial" w:hAnsi="Arial"/>
          <w:sz w:val="23"/>
          <w:szCs w:val="23"/>
          <w:color w:val="FFFFFF"/>
        </w:rPr>
        <w:t xml:space="preserve">recommends a vote </w:t>
      </w:r>
      <w:r>
        <w:rPr>
          <w:rFonts w:ascii="Arial" w:cs="Arial" w:eastAsia="Arial" w:hAnsi="Arial"/>
          <w:sz w:val="23"/>
          <w:szCs w:val="23"/>
          <w:b w:val="1"/>
          <w:bCs w:val="1"/>
          <w:color w:val="FFFFFF"/>
        </w:rPr>
        <w:t>FOR</w:t>
      </w:r>
      <w:r>
        <w:rPr>
          <w:rFonts w:ascii="Arial" w:cs="Arial" w:eastAsia="Arial" w:hAnsi="Arial"/>
          <w:sz w:val="23"/>
          <w:szCs w:val="23"/>
          <w:color w:val="FFFFFF"/>
        </w:rPr>
        <w:t xml:space="preserve"> the election of</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3"/>
          <w:szCs w:val="23"/>
          <w:color w:val="FFFFFF"/>
        </w:rPr>
        <w:t>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tabs>
          <w:tab w:leader="none" w:pos="4060" w:val="left"/>
        </w:tabs>
        <w:rPr>
          <w:sz w:val="20"/>
          <w:szCs w:val="20"/>
          <w:color w:val="auto"/>
        </w:rPr>
      </w:pPr>
      <w:r>
        <w:rPr>
          <w:rFonts w:ascii="Arial" w:cs="Arial" w:eastAsia="Arial" w:hAnsi="Arial"/>
          <w:sz w:val="14"/>
          <w:szCs w:val="14"/>
          <w:b w:val="1"/>
          <w:bCs w:val="1"/>
          <w:color w:val="FFFFFF"/>
        </w:rPr>
        <w:t xml:space="preserve">32  </w:t>
      </w:r>
      <w:r>
        <w:rPr>
          <w:rFonts w:ascii="Arial" w:cs="Arial" w:eastAsia="Arial" w:hAnsi="Arial"/>
          <w:sz w:val="14"/>
          <w:szCs w:val="14"/>
          <w:color w:val="FFFFFF"/>
        </w:rPr>
        <w:t>/</w:t>
      </w:r>
      <w:r>
        <w:rPr>
          <w:sz w:val="20"/>
          <w:szCs w:val="20"/>
          <w:color w:val="auto"/>
        </w:rPr>
        <w:tab/>
      </w:r>
      <w:r>
        <w:rPr>
          <w:rFonts w:ascii="Arial" w:cs="Arial" w:eastAsia="Arial" w:hAnsi="Arial"/>
          <w:sz w:val="12"/>
          <w:szCs w:val="12"/>
          <w:b w:val="1"/>
          <w:bCs w:val="1"/>
          <w:color w:val="FFFFFF"/>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368935</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ind w:left="1580"/>
        <w:spacing w:after="0"/>
        <w:rPr>
          <w:sz w:val="20"/>
          <w:szCs w:val="20"/>
          <w:color w:val="auto"/>
        </w:rPr>
      </w:pPr>
      <w:r>
        <w:rPr>
          <w:rFonts w:ascii="Arial" w:cs="Arial" w:eastAsia="Arial" w:hAnsi="Arial"/>
          <w:sz w:val="58"/>
          <w:szCs w:val="58"/>
          <w:b w:val="1"/>
          <w:bCs w:val="1"/>
          <w:color w:val="FFFFFF"/>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87007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00" cy="8700770"/>
                    </a:xfrm>
                    <a:prstGeom prst="rect">
                      <a:avLst/>
                    </a:prstGeom>
                    <a:noFill/>
                  </pic:spPr>
                </pic:pic>
              </a:graphicData>
            </a:graphic>
          </wp:anchor>
        </w:drawing>
        <w:t>THE COMPANY</w:t>
      </w:r>
    </w:p>
    <w:p>
      <w:pPr>
        <w:spacing w:after="0" w:line="200" w:lineRule="exact"/>
        <w:rPr>
          <w:sz w:val="20"/>
          <w:szCs w:val="20"/>
          <w:color w:val="auto"/>
        </w:rPr>
      </w:pPr>
    </w:p>
    <w:p>
      <w:pPr>
        <w:spacing w:after="0" w:line="398" w:lineRule="exact"/>
        <w:rPr>
          <w:sz w:val="20"/>
          <w:szCs w:val="20"/>
          <w:color w:val="auto"/>
        </w:rPr>
      </w:pPr>
    </w:p>
    <w:p>
      <w:pPr>
        <w:ind w:left="1580" w:right="2820"/>
        <w:spacing w:after="0" w:line="272" w:lineRule="auto"/>
        <w:rPr>
          <w:sz w:val="20"/>
          <w:szCs w:val="20"/>
          <w:color w:val="auto"/>
        </w:rPr>
      </w:pPr>
      <w:r>
        <w:rPr>
          <w:rFonts w:ascii="Arial" w:cs="Arial" w:eastAsia="Arial" w:hAnsi="Arial"/>
          <w:sz w:val="54"/>
          <w:szCs w:val="54"/>
          <w:b w:val="1"/>
          <w:bCs w:val="1"/>
          <w:color w:val="235BA7"/>
        </w:rPr>
        <w:t>EXECUTIVE OFFICERS OF THE COMPANY</w:t>
      </w:r>
    </w:p>
    <w:p>
      <w:pPr>
        <w:spacing w:after="0" w:line="77" w:lineRule="exact"/>
        <w:rPr>
          <w:sz w:val="20"/>
          <w:szCs w:val="20"/>
          <w:color w:val="auto"/>
        </w:rPr>
      </w:pPr>
    </w:p>
    <w:p>
      <w:pPr>
        <w:ind w:left="1580" w:right="1700"/>
        <w:spacing w:after="0" w:line="231" w:lineRule="auto"/>
        <w:rPr>
          <w:sz w:val="20"/>
          <w:szCs w:val="20"/>
          <w:color w:val="auto"/>
        </w:rPr>
      </w:pPr>
      <w:r>
        <w:rPr>
          <w:rFonts w:ascii="Arial" w:cs="Arial" w:eastAsia="Arial" w:hAnsi="Arial"/>
          <w:sz w:val="15"/>
          <w:szCs w:val="15"/>
          <w:color w:val="231F20"/>
        </w:rPr>
        <w:t>All officers of the Company are appointed annually and serve at the pleasure of the board of directors. The names, positions, ages, and background of the Company’s executive officers as of April 14, 2020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0" w:lineRule="exact"/>
        <w:rPr>
          <w:sz w:val="20"/>
          <w:szCs w:val="20"/>
          <w:color w:val="auto"/>
        </w:rPr>
      </w:pPr>
    </w:p>
    <w:p>
      <w:pPr>
        <w:spacing w:after="0" w:line="373" w:lineRule="exact"/>
        <w:rPr>
          <w:sz w:val="20"/>
          <w:szCs w:val="20"/>
          <w:color w:val="auto"/>
        </w:rPr>
      </w:pPr>
    </w:p>
    <w:p>
      <w:pPr>
        <w:ind w:left="3380" w:right="1660"/>
        <w:spacing w:after="0" w:line="232" w:lineRule="auto"/>
        <w:rPr>
          <w:sz w:val="20"/>
          <w:szCs w:val="20"/>
          <w:color w:val="auto"/>
        </w:rPr>
      </w:pPr>
      <w:r>
        <w:rPr>
          <w:rFonts w:ascii="Arial" w:cs="Arial" w:eastAsia="Arial" w:hAnsi="Arial"/>
          <w:sz w:val="15"/>
          <w:szCs w:val="15"/>
          <w:b w:val="1"/>
          <w:bCs w:val="1"/>
          <w:color w:val="C04C57"/>
        </w:rPr>
        <w:t xml:space="preserve">Leonard S. Schleifer, M.D., Ph.D., </w:t>
      </w:r>
      <w:r>
        <w:rPr>
          <w:rFonts w:ascii="Arial" w:cs="Arial" w:eastAsia="Arial" w:hAnsi="Arial"/>
          <w:sz w:val="15"/>
          <w:szCs w:val="15"/>
          <w:color w:val="231F20"/>
        </w:rPr>
        <w:t>67, founded the Company in 1988, has been a Director</w:t>
      </w:r>
      <w:r>
        <w:rPr>
          <w:rFonts w:ascii="Arial" w:cs="Arial" w:eastAsia="Arial" w:hAnsi="Arial"/>
          <w:sz w:val="15"/>
          <w:szCs w:val="15"/>
          <w:b w:val="1"/>
          <w:bCs w:val="1"/>
          <w:color w:val="C04C57"/>
        </w:rPr>
        <w:t xml:space="preserve"> </w:t>
      </w:r>
      <w:r>
        <w:rPr>
          <w:rFonts w:ascii="Arial" w:cs="Arial" w:eastAsia="Arial" w:hAnsi="Arial"/>
          <w:sz w:val="15"/>
          <w:szCs w:val="15"/>
          <w:color w:val="231F20"/>
        </w:rPr>
        <w:t>and its President and Chief Executive Officer since its inception, and served as Chairman of the Board from 1990 through 1994. Dr. Schleifer, together with Regeneron’s founding scientist, Dr. Yancopoulos, built and has managed the Company over the past 32 years. Dr. Schleifer received his M.D. and Ph.D. in Pharmacology from the University of Virginia. Dr. Schleifer is a licensed physician and is certified in Neurology by the American Board of Psychiatry and Neurology.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80" w:right="1680"/>
        <w:spacing w:after="0" w:line="244" w:lineRule="auto"/>
        <w:rPr>
          <w:sz w:val="20"/>
          <w:szCs w:val="20"/>
          <w:color w:val="auto"/>
        </w:rPr>
      </w:pPr>
      <w:r>
        <w:rPr>
          <w:rFonts w:ascii="Arial" w:cs="Arial" w:eastAsia="Arial" w:hAnsi="Arial"/>
          <w:sz w:val="14"/>
          <w:szCs w:val="14"/>
          <w:b w:val="1"/>
          <w:bCs w:val="1"/>
          <w:color w:val="C04C57"/>
        </w:rPr>
        <w:t xml:space="preserve">George D. Yancopoulos, M.D., Ph.D., </w:t>
      </w:r>
      <w:r>
        <w:rPr>
          <w:rFonts w:ascii="Arial" w:cs="Arial" w:eastAsia="Arial" w:hAnsi="Arial"/>
          <w:sz w:val="14"/>
          <w:szCs w:val="14"/>
          <w:color w:val="231F20"/>
        </w:rPr>
        <w:t>60, joined Dr. Schleifer in 1989 as founding scientist of</w:t>
      </w:r>
      <w:r>
        <w:rPr>
          <w:rFonts w:ascii="Arial" w:cs="Arial" w:eastAsia="Arial" w:hAnsi="Arial"/>
          <w:sz w:val="14"/>
          <w:szCs w:val="14"/>
          <w:b w:val="1"/>
          <w:bCs w:val="1"/>
          <w:color w:val="C04C57"/>
        </w:rPr>
        <w:t xml:space="preserve"> </w:t>
      </w:r>
      <w:r>
        <w:rPr>
          <w:rFonts w:ascii="Arial" w:cs="Arial" w:eastAsia="Arial" w:hAnsi="Arial"/>
          <w:sz w:val="14"/>
          <w:szCs w:val="14"/>
          <w:color w:val="231F20"/>
        </w:rPr>
        <w:t>the Company, and together they built 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seven FDA-approved drugs the</w:t>
      </w:r>
    </w:p>
    <w:p>
      <w:pPr>
        <w:spacing w:after="0" w:line="2" w:lineRule="exact"/>
        <w:rPr>
          <w:sz w:val="20"/>
          <w:szCs w:val="20"/>
          <w:color w:val="auto"/>
        </w:rPr>
      </w:pPr>
    </w:p>
    <w:p>
      <w:pPr>
        <w:jc w:val="both"/>
        <w:ind w:left="3380" w:right="1840"/>
        <w:spacing w:after="0" w:line="187" w:lineRule="auto"/>
        <w:rPr>
          <w:sz w:val="20"/>
          <w:szCs w:val="20"/>
          <w:color w:val="auto"/>
        </w:rPr>
      </w:pPr>
      <w:r>
        <w:rPr>
          <w:rFonts w:ascii="Arial" w:cs="Arial" w:eastAsia="Arial" w:hAnsi="Arial"/>
          <w:sz w:val="13"/>
          <w:szCs w:val="13"/>
          <w:color w:val="231F20"/>
        </w:rPr>
        <w:t>Company has developed, EYLEA</w:t>
      </w:r>
      <w:r>
        <w:rPr>
          <w:rFonts w:ascii="Arial" w:cs="Arial" w:eastAsia="Arial" w:hAnsi="Arial"/>
          <w:sz w:val="21"/>
          <w:szCs w:val="21"/>
          <w:color w:val="231F20"/>
          <w:vertAlign w:val="superscript"/>
        </w:rPr>
        <w:t>®</w:t>
      </w:r>
      <w:r>
        <w:rPr>
          <w:rFonts w:ascii="Arial" w:cs="Arial" w:eastAsia="Arial" w:hAnsi="Arial"/>
          <w:sz w:val="13"/>
          <w:szCs w:val="13"/>
          <w:color w:val="231F20"/>
        </w:rPr>
        <w:t>, Praluent</w:t>
      </w:r>
      <w:r>
        <w:rPr>
          <w:rFonts w:ascii="Arial" w:cs="Arial" w:eastAsia="Arial" w:hAnsi="Arial"/>
          <w:sz w:val="21"/>
          <w:szCs w:val="21"/>
          <w:color w:val="231F20"/>
          <w:vertAlign w:val="superscript"/>
        </w:rPr>
        <w:t>®</w:t>
      </w:r>
      <w:r>
        <w:rPr>
          <w:rFonts w:ascii="Arial" w:cs="Arial" w:eastAsia="Arial" w:hAnsi="Arial"/>
          <w:sz w:val="13"/>
          <w:szCs w:val="13"/>
          <w:color w:val="231F20"/>
        </w:rPr>
        <w:t>, Dupixent</w:t>
      </w:r>
      <w:r>
        <w:rPr>
          <w:rFonts w:ascii="Arial" w:cs="Arial" w:eastAsia="Arial" w:hAnsi="Arial"/>
          <w:sz w:val="21"/>
          <w:szCs w:val="21"/>
          <w:color w:val="231F20"/>
          <w:vertAlign w:val="superscript"/>
        </w:rPr>
        <w:t>®</w:t>
      </w:r>
      <w:r>
        <w:rPr>
          <w:rFonts w:ascii="Arial" w:cs="Arial" w:eastAsia="Arial" w:hAnsi="Arial"/>
          <w:sz w:val="13"/>
          <w:szCs w:val="13"/>
          <w:color w:val="231F20"/>
        </w:rPr>
        <w:t>, Kevzara</w:t>
      </w:r>
      <w:r>
        <w:rPr>
          <w:rFonts w:ascii="Arial" w:cs="Arial" w:eastAsia="Arial" w:hAnsi="Arial"/>
          <w:sz w:val="21"/>
          <w:szCs w:val="21"/>
          <w:color w:val="231F20"/>
          <w:vertAlign w:val="superscript"/>
        </w:rPr>
        <w:t>®</w:t>
      </w:r>
      <w:r>
        <w:rPr>
          <w:rFonts w:ascii="Arial" w:cs="Arial" w:eastAsia="Arial" w:hAnsi="Arial"/>
          <w:sz w:val="13"/>
          <w:szCs w:val="13"/>
          <w:color w:val="231F20"/>
        </w:rPr>
        <w:t>, Libtayo</w:t>
      </w:r>
      <w:r>
        <w:rPr>
          <w:rFonts w:ascii="Arial" w:cs="Arial" w:eastAsia="Arial" w:hAnsi="Arial"/>
          <w:sz w:val="21"/>
          <w:szCs w:val="21"/>
          <w:color w:val="231F20"/>
          <w:vertAlign w:val="superscript"/>
        </w:rPr>
        <w:t>®</w:t>
      </w:r>
      <w:r>
        <w:rPr>
          <w:rFonts w:ascii="Arial" w:cs="Arial" w:eastAsia="Arial" w:hAnsi="Arial"/>
          <w:sz w:val="13"/>
          <w:szCs w:val="13"/>
          <w:color w:val="231F20"/>
        </w:rPr>
        <w:t>, ZALTRAP</w:t>
      </w:r>
      <w:r>
        <w:rPr>
          <w:rFonts w:ascii="Arial" w:cs="Arial" w:eastAsia="Arial" w:hAnsi="Arial"/>
          <w:sz w:val="21"/>
          <w:szCs w:val="21"/>
          <w:color w:val="231F20"/>
          <w:vertAlign w:val="superscript"/>
        </w:rPr>
        <w:t>®</w:t>
      </w:r>
      <w:r>
        <w:rPr>
          <w:rFonts w:ascii="Arial" w:cs="Arial" w:eastAsia="Arial" w:hAnsi="Arial"/>
          <w:sz w:val="13"/>
          <w:szCs w:val="13"/>
          <w:color w:val="231F20"/>
        </w:rPr>
        <w:t>, and ARCALYST</w:t>
      </w:r>
      <w:r>
        <w:rPr>
          <w:rFonts w:ascii="Arial" w:cs="Arial" w:eastAsia="Arial" w:hAnsi="Arial"/>
          <w:sz w:val="21"/>
          <w:szCs w:val="21"/>
          <w:color w:val="231F20"/>
          <w:vertAlign w:val="superscript"/>
        </w:rPr>
        <w:t>®</w:t>
      </w:r>
      <w:r>
        <w:rPr>
          <w:rFonts w:ascii="Arial" w:cs="Arial" w:eastAsia="Arial" w:hAnsi="Arial"/>
          <w:sz w:val="13"/>
          <w:szCs w:val="13"/>
          <w:color w:val="231F20"/>
        </w:rPr>
        <w:t>, as well as of its foundation technologies, including the TRAP technology,</w:t>
      </w:r>
    </w:p>
    <w:p>
      <w:pPr>
        <w:spacing w:after="0" w:line="2" w:lineRule="exact"/>
        <w:rPr>
          <w:sz w:val="20"/>
          <w:szCs w:val="20"/>
          <w:color w:val="auto"/>
        </w:rPr>
      </w:pPr>
    </w:p>
    <w:p>
      <w:pPr>
        <w:ind w:left="3380"/>
        <w:spacing w:after="0"/>
        <w:rPr>
          <w:sz w:val="20"/>
          <w:szCs w:val="20"/>
          <w:color w:val="auto"/>
        </w:rPr>
      </w:pPr>
      <w:r>
        <w:rPr>
          <w:rFonts w:ascii="Arial" w:cs="Arial" w:eastAsia="Arial" w:hAnsi="Arial"/>
          <w:sz w:val="15"/>
          <w:szCs w:val="15"/>
          <w:i w:val="1"/>
          <w:iCs w:val="1"/>
          <w:color w:val="231F20"/>
        </w:rPr>
        <w:t>VelociGene</w:t>
      </w:r>
      <w:r>
        <w:rPr>
          <w:rFonts w:ascii="Arial" w:cs="Arial" w:eastAsia="Arial" w:hAnsi="Arial"/>
          <w:sz w:val="24"/>
          <w:szCs w:val="24"/>
          <w:color w:val="231F20"/>
          <w:vertAlign w:val="superscript"/>
        </w:rPr>
        <w:t>®</w:t>
      </w:r>
      <w:r>
        <w:rPr>
          <w:rFonts w:ascii="Arial" w:cs="Arial" w:eastAsia="Arial" w:hAnsi="Arial"/>
          <w:sz w:val="15"/>
          <w:szCs w:val="15"/>
          <w:color w:val="231F20"/>
        </w:rPr>
        <w:t>, and</w:t>
      </w:r>
      <w:r>
        <w:rPr>
          <w:rFonts w:ascii="Arial" w:cs="Arial" w:eastAsia="Arial" w:hAnsi="Arial"/>
          <w:sz w:val="15"/>
          <w:szCs w:val="15"/>
          <w:i w:val="1"/>
          <w:iCs w:val="1"/>
          <w:color w:val="231F20"/>
        </w:rPr>
        <w:t xml:space="preserve"> VelocImmune</w:t>
      </w:r>
      <w:r>
        <w:rPr>
          <w:rFonts w:ascii="Arial" w:cs="Arial" w:eastAsia="Arial" w:hAnsi="Arial"/>
          <w:sz w:val="24"/>
          <w:szCs w:val="24"/>
          <w:color w:val="231F20"/>
          <w:vertAlign w:val="superscript"/>
        </w:rPr>
        <w:t>®</w:t>
      </w:r>
      <w:r>
        <w:rPr>
          <w:rFonts w:ascii="Arial" w:cs="Arial" w:eastAsia="Arial" w:hAnsi="Arial"/>
          <w:sz w:val="15"/>
          <w:szCs w:val="15"/>
          <w:color w:val="231F20"/>
        </w:rPr>
        <w:t>.</w:t>
      </w:r>
    </w:p>
    <w:p>
      <w:pPr>
        <w:spacing w:after="0" w:line="264" w:lineRule="exact"/>
        <w:rPr>
          <w:sz w:val="20"/>
          <w:szCs w:val="20"/>
          <w:color w:val="auto"/>
        </w:rPr>
      </w:pPr>
    </w:p>
    <w:p>
      <w:pPr>
        <w:ind w:left="3380" w:right="1660"/>
        <w:spacing w:after="0" w:line="230" w:lineRule="auto"/>
        <w:rPr>
          <w:sz w:val="20"/>
          <w:szCs w:val="20"/>
          <w:color w:val="auto"/>
        </w:rPr>
      </w:pPr>
      <w:r>
        <w:rPr>
          <w:rFonts w:ascii="Arial" w:cs="Arial" w:eastAsia="Arial" w:hAnsi="Arial"/>
          <w:sz w:val="15"/>
          <w:szCs w:val="15"/>
          <w:b w:val="1"/>
          <w:bCs w:val="1"/>
          <w:color w:val="C04C57"/>
        </w:rPr>
        <w:t xml:space="preserve">Christopher Fenimore, </w:t>
      </w:r>
      <w:r>
        <w:rPr>
          <w:rFonts w:ascii="Arial" w:cs="Arial" w:eastAsia="Arial" w:hAnsi="Arial"/>
          <w:sz w:val="15"/>
          <w:szCs w:val="15"/>
          <w:color w:val="231F20"/>
        </w:rPr>
        <w:t>49, has been Vice President, Controller since March 2017. From</w:t>
      </w:r>
      <w:r>
        <w:rPr>
          <w:rFonts w:ascii="Arial" w:cs="Arial" w:eastAsia="Arial" w:hAnsi="Arial"/>
          <w:sz w:val="15"/>
          <w:szCs w:val="15"/>
          <w:b w:val="1"/>
          <w:bCs w:val="1"/>
          <w:color w:val="C04C57"/>
        </w:rPr>
        <w:t xml:space="preserve"> </w:t>
      </w:r>
      <w:r>
        <w:rPr>
          <w:rFonts w:ascii="Arial" w:cs="Arial" w:eastAsia="Arial" w:hAnsi="Arial"/>
          <w:sz w:val="15"/>
          <w:szCs w:val="15"/>
          <w:color w:val="231F20"/>
        </w:rPr>
        <w:t>January 2017 to March 2017, he served as Vice President, Deputy Controller, and previously served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 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362" w:lineRule="exact"/>
        <w:rPr>
          <w:sz w:val="20"/>
          <w:szCs w:val="20"/>
          <w:color w:val="auto"/>
        </w:rPr>
      </w:pPr>
    </w:p>
    <w:p>
      <w:pPr>
        <w:ind w:left="3380" w:right="1780"/>
        <w:spacing w:after="0" w:line="230" w:lineRule="auto"/>
        <w:rPr>
          <w:sz w:val="20"/>
          <w:szCs w:val="20"/>
          <w:color w:val="auto"/>
        </w:rPr>
      </w:pPr>
      <w:r>
        <w:rPr>
          <w:rFonts w:ascii="Arial" w:cs="Arial" w:eastAsia="Arial" w:hAnsi="Arial"/>
          <w:sz w:val="15"/>
          <w:szCs w:val="15"/>
          <w:b w:val="1"/>
          <w:bCs w:val="1"/>
          <w:color w:val="C04C57"/>
        </w:rPr>
        <w:t xml:space="preserve">Robert E. Landry, </w:t>
      </w:r>
      <w:r>
        <w:rPr>
          <w:rFonts w:ascii="Arial" w:cs="Arial" w:eastAsia="Arial" w:hAnsi="Arial"/>
          <w:sz w:val="15"/>
          <w:szCs w:val="15"/>
          <w:color w:val="231F20"/>
        </w:rPr>
        <w:t>56, has been Executive Vice President, Finance since January 2019 and</w:t>
      </w:r>
      <w:r>
        <w:rPr>
          <w:rFonts w:ascii="Arial" w:cs="Arial" w:eastAsia="Arial" w:hAnsi="Arial"/>
          <w:sz w:val="15"/>
          <w:szCs w:val="15"/>
          <w:b w:val="1"/>
          <w:bCs w:val="1"/>
          <w:color w:val="C04C57"/>
        </w:rPr>
        <w:t xml:space="preserve"> </w:t>
      </w:r>
      <w:r>
        <w:rPr>
          <w:rFonts w:ascii="Arial" w:cs="Arial" w:eastAsia="Arial" w:hAnsi="Arial"/>
          <w:sz w:val="15"/>
          <w:szCs w:val="15"/>
          <w:color w:val="231F20"/>
        </w:rPr>
        <w:t>Chief Financial Officer since October 2013. From September 2013 to December 2018, he served as Senior Vice President, Finance. Previously, Mr. Landry served as Senior Vice President, Treasurer, at Pfizer Inc. from October 2012 to August 2013 and Senior Vice President—Finance,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116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33</w:t>
            </w:r>
          </w:p>
        </w:tc>
      </w:tr>
      <w:tr>
        <w:trPr>
          <w:trHeight w:val="545"/>
        </w:trPr>
        <w:tc>
          <w:tcPr>
            <w:tcW w:w="8000" w:type="dxa"/>
            <w:vAlign w:val="bottom"/>
            <w:tcBorders>
              <w:bottom w:val="single" w:sz="8" w:color="C0C0C0"/>
            </w:tcBorders>
          </w:tcPr>
          <w:p>
            <w:pPr>
              <w:spacing w:after="0"/>
              <w:rPr>
                <w:sz w:val="24"/>
                <w:szCs w:val="24"/>
                <w:color w:val="auto"/>
              </w:rPr>
            </w:pPr>
          </w:p>
        </w:tc>
        <w:tc>
          <w:tcPr>
            <w:tcW w:w="32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126365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370" w:lineRule="exact"/>
        <w:rPr>
          <w:sz w:val="20"/>
          <w:szCs w:val="20"/>
          <w:color w:val="auto"/>
        </w:rPr>
      </w:pPr>
    </w:p>
    <w:p>
      <w:pPr>
        <w:ind w:left="2260" w:right="599"/>
        <w:spacing w:after="0" w:line="231" w:lineRule="auto"/>
        <w:rPr>
          <w:sz w:val="20"/>
          <w:szCs w:val="20"/>
          <w:color w:val="auto"/>
        </w:rPr>
      </w:pPr>
      <w:r>
        <w:rPr>
          <w:rFonts w:ascii="Arial" w:cs="Arial" w:eastAsia="Arial" w:hAnsi="Arial"/>
          <w:sz w:val="15"/>
          <w:szCs w:val="15"/>
          <w:b w:val="1"/>
          <w:bCs w:val="1"/>
          <w:color w:val="C04C57"/>
        </w:rPr>
        <w:t xml:space="preserve">Joseph J. LaRosa, </w:t>
      </w:r>
      <w:r>
        <w:rPr>
          <w:rFonts w:ascii="Arial" w:cs="Arial" w:eastAsia="Arial" w:hAnsi="Arial"/>
          <w:sz w:val="15"/>
          <w:szCs w:val="15"/>
          <w:color w:val="231F20"/>
        </w:rPr>
        <w:t>61, has been Executive Vice President, General Counsel and Secretary</w:t>
      </w:r>
      <w:r>
        <w:rPr>
          <w:rFonts w:ascii="Arial" w:cs="Arial" w:eastAsia="Arial" w:hAnsi="Arial"/>
          <w:sz w:val="15"/>
          <w:szCs w:val="15"/>
          <w:b w:val="1"/>
          <w:bCs w:val="1"/>
          <w:color w:val="C04C57"/>
        </w:rPr>
        <w:t xml:space="preserve"> </w:t>
      </w:r>
      <w:r>
        <w:rPr>
          <w:rFonts w:ascii="Arial" w:cs="Arial" w:eastAsia="Arial" w:hAnsi="Arial"/>
          <w:sz w:val="15"/>
          <w:szCs w:val="15"/>
          <w:color w:val="231F20"/>
        </w:rPr>
        <w:t>since January 2019. From 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136525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-831850</wp:posOffset>
            </wp:positionV>
            <wp:extent cx="857250" cy="8572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366" w:lineRule="exact"/>
        <w:rPr>
          <w:sz w:val="20"/>
          <w:szCs w:val="20"/>
          <w:color w:val="auto"/>
        </w:rPr>
      </w:pPr>
    </w:p>
    <w:p>
      <w:pPr>
        <w:ind w:left="2260" w:right="559"/>
        <w:spacing w:after="0" w:line="228" w:lineRule="auto"/>
        <w:rPr>
          <w:sz w:val="20"/>
          <w:szCs w:val="20"/>
          <w:color w:val="auto"/>
        </w:rPr>
      </w:pPr>
      <w:r>
        <w:rPr>
          <w:rFonts w:ascii="Arial" w:cs="Arial" w:eastAsia="Arial" w:hAnsi="Arial"/>
          <w:sz w:val="15"/>
          <w:szCs w:val="15"/>
          <w:b w:val="1"/>
          <w:bCs w:val="1"/>
          <w:color w:val="C04C57"/>
        </w:rPr>
        <w:t xml:space="preserve">Marion McCourt, </w:t>
      </w:r>
      <w:r>
        <w:rPr>
          <w:rFonts w:ascii="Arial" w:cs="Arial" w:eastAsia="Arial" w:hAnsi="Arial"/>
          <w:sz w:val="15"/>
          <w:szCs w:val="15"/>
          <w:color w:val="231F20"/>
        </w:rPr>
        <w:t>60, has been Senior Vice President, Commercial since February 2018.</w:t>
      </w:r>
      <w:r>
        <w:rPr>
          <w:rFonts w:ascii="Arial" w:cs="Arial" w:eastAsia="Arial" w:hAnsi="Arial"/>
          <w:sz w:val="15"/>
          <w:szCs w:val="15"/>
          <w:b w:val="1"/>
          <w:bCs w:val="1"/>
          <w:color w:val="C04C57"/>
        </w:rPr>
        <w:t xml:space="preserve"> </w:t>
      </w:r>
      <w:r>
        <w:rPr>
          <w:rFonts w:ascii="Arial" w:cs="Arial" w:eastAsia="Arial" w:hAnsi="Arial"/>
          <w:sz w:val="15"/>
          <w:szCs w:val="15"/>
          <w:color w:val="231F20"/>
        </w:rPr>
        <w:t>From April 2017 until joining the Company, Ms. McCourt served as the Principal Operating Officer and the Chief Operating Officer and President of Axovant Sciences, Inc. Ms. 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103505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-1652905</wp:posOffset>
            </wp:positionV>
            <wp:extent cx="942975" cy="9512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2975" cy="951230"/>
                    </a:xfrm>
                    <a:prstGeom prst="rect">
                      <a:avLst/>
                    </a:prstGeom>
                    <a:noFill/>
                  </pic:spPr>
                </pic:pic>
              </a:graphicData>
            </a:graphic>
          </wp:anchor>
        </w:drawing>
      </w:r>
    </w:p>
    <w:p>
      <w:pPr>
        <w:spacing w:after="0" w:line="315" w:lineRule="exact"/>
        <w:rPr>
          <w:sz w:val="20"/>
          <w:szCs w:val="20"/>
          <w:color w:val="auto"/>
        </w:rPr>
      </w:pPr>
    </w:p>
    <w:p>
      <w:pPr>
        <w:ind w:left="2260" w:right="559"/>
        <w:spacing w:after="0" w:line="244" w:lineRule="auto"/>
        <w:rPr>
          <w:sz w:val="20"/>
          <w:szCs w:val="20"/>
          <w:color w:val="auto"/>
        </w:rPr>
      </w:pPr>
      <w:r>
        <w:rPr>
          <w:rFonts w:ascii="Arial" w:cs="Arial" w:eastAsia="Arial" w:hAnsi="Arial"/>
          <w:sz w:val="14"/>
          <w:szCs w:val="14"/>
          <w:b w:val="1"/>
          <w:bCs w:val="1"/>
          <w:color w:val="C04C57"/>
        </w:rPr>
        <w:t xml:space="preserve">Andrew J. Murphy, Ph.D., </w:t>
      </w:r>
      <w:r>
        <w:rPr>
          <w:rFonts w:ascii="Arial" w:cs="Arial" w:eastAsia="Arial" w:hAnsi="Arial"/>
          <w:sz w:val="14"/>
          <w:szCs w:val="14"/>
          <w:color w:val="231F20"/>
        </w:rPr>
        <w:t>62, has been Executive Vice President, Research since January</w:t>
      </w:r>
      <w:r>
        <w:rPr>
          <w:rFonts w:ascii="Arial" w:cs="Arial" w:eastAsia="Arial" w:hAnsi="Arial"/>
          <w:sz w:val="14"/>
          <w:szCs w:val="14"/>
          <w:b w:val="1"/>
          <w:bCs w:val="1"/>
          <w:color w:val="C04C57"/>
        </w:rPr>
        <w:t xml:space="preserve"> </w:t>
      </w:r>
      <w:r>
        <w:rPr>
          <w:rFonts w:ascii="Arial" w:cs="Arial" w:eastAsia="Arial" w:hAnsi="Arial"/>
          <w:sz w:val="14"/>
          <w:szCs w:val="14"/>
          <w:color w:val="231F20"/>
        </w:rPr>
        <w:t>2019. He previously served as Senior Vice President, Research, Regeneron Laboratories from January 2013 to December 2018, as Vice President, Target Discovery from May 2005 to December 2012, as Vice President, Gene Discovery and Bioinformatics from January 2001 to May 2005, and Director of Genomics and Bioinformatics from May 1999 to December 2000. Dr. Murphy is a co-inventor of several of the Company’s key technologies,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-612140</wp:posOffset>
            </wp:positionV>
            <wp:extent cx="942975" cy="9429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ind w:left="2260" w:right="619"/>
        <w:spacing w:after="0" w:line="210" w:lineRule="auto"/>
        <w:rPr>
          <w:sz w:val="20"/>
          <w:szCs w:val="20"/>
          <w:color w:val="auto"/>
        </w:rPr>
      </w:pPr>
      <w:r>
        <w:rPr>
          <w:rFonts w:ascii="Arial" w:cs="Arial" w:eastAsia="Arial" w:hAnsi="Arial"/>
          <w:sz w:val="15"/>
          <w:szCs w:val="15"/>
          <w:i w:val="1"/>
          <w:iCs w:val="1"/>
          <w:color w:val="231F20"/>
        </w:rPr>
        <w:t>VelociGene</w:t>
      </w:r>
      <w:r>
        <w:rPr>
          <w:rFonts w:ascii="Arial" w:cs="Arial" w:eastAsia="Arial" w:hAnsi="Arial"/>
          <w:sz w:val="24"/>
          <w:szCs w:val="24"/>
          <w:color w:val="231F20"/>
          <w:vertAlign w:val="superscript"/>
        </w:rPr>
        <w:t>®</w:t>
      </w:r>
      <w:r>
        <w:rPr>
          <w:rFonts w:ascii="Arial" w:cs="Arial" w:eastAsia="Arial" w:hAnsi="Arial"/>
          <w:sz w:val="15"/>
          <w:szCs w:val="15"/>
          <w:i w:val="1"/>
          <w:iCs w:val="1"/>
          <w:color w:val="231F20"/>
        </w:rPr>
        <w:t xml:space="preserve"> </w:t>
      </w:r>
      <w:r>
        <w:rPr>
          <w:rFonts w:ascii="Arial" w:cs="Arial" w:eastAsia="Arial" w:hAnsi="Arial"/>
          <w:sz w:val="15"/>
          <w:szCs w:val="15"/>
          <w:color w:val="231F20"/>
        </w:rPr>
        <w:t>and</w:t>
      </w:r>
      <w:r>
        <w:rPr>
          <w:rFonts w:ascii="Arial" w:cs="Arial" w:eastAsia="Arial" w:hAnsi="Arial"/>
          <w:sz w:val="15"/>
          <w:szCs w:val="15"/>
          <w:i w:val="1"/>
          <w:iCs w:val="1"/>
          <w:color w:val="231F20"/>
        </w:rPr>
        <w:t xml:space="preserve"> VelocImmune</w:t>
      </w:r>
      <w:r>
        <w:rPr>
          <w:rFonts w:ascii="Arial" w:cs="Arial" w:eastAsia="Arial" w:hAnsi="Arial"/>
          <w:sz w:val="24"/>
          <w:szCs w:val="24"/>
          <w:color w:val="231F20"/>
          <w:vertAlign w:val="superscript"/>
        </w:rPr>
        <w:t>®</w:t>
      </w:r>
      <w:r>
        <w:rPr>
          <w:rFonts w:ascii="Arial" w:cs="Arial" w:eastAsia="Arial" w:hAnsi="Arial"/>
          <w:sz w:val="15"/>
          <w:szCs w:val="15"/>
          <w:color w:val="231F20"/>
        </w:rPr>
        <w:t>, and continues to lead several technology centers and</w:t>
      </w:r>
      <w:r>
        <w:rPr>
          <w:rFonts w:ascii="Arial" w:cs="Arial" w:eastAsia="Arial" w:hAnsi="Arial"/>
          <w:sz w:val="15"/>
          <w:szCs w:val="15"/>
          <w:i w:val="1"/>
          <w:iCs w:val="1"/>
          <w:color w:val="231F20"/>
        </w:rPr>
        <w:t xml:space="preserve"> </w:t>
      </w:r>
      <w:r>
        <w:rPr>
          <w:rFonts w:ascii="Arial" w:cs="Arial" w:eastAsia="Arial" w:hAnsi="Arial"/>
          <w:sz w:val="15"/>
          <w:szCs w:val="15"/>
          <w:color w:val="231F20"/>
        </w:rPr>
        <w:t>therapeutic focus areas. He received his B.S. in Molecular Biology at the University of Wisconsin, and his Ph.D. in Human Genetics from Columbia University, College of Physicians and Surgeons.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101600</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12" w:lineRule="exact"/>
        <w:rPr>
          <w:sz w:val="20"/>
          <w:szCs w:val="20"/>
          <w:color w:val="auto"/>
        </w:rPr>
      </w:pPr>
    </w:p>
    <w:p>
      <w:pPr>
        <w:ind w:left="2260" w:right="579"/>
        <w:spacing w:after="0" w:line="231" w:lineRule="auto"/>
        <w:rPr>
          <w:sz w:val="20"/>
          <w:szCs w:val="20"/>
          <w:color w:val="auto"/>
        </w:rPr>
      </w:pPr>
      <w:r>
        <w:rPr>
          <w:rFonts w:ascii="Arial" w:cs="Arial" w:eastAsia="Arial" w:hAnsi="Arial"/>
          <w:sz w:val="15"/>
          <w:szCs w:val="15"/>
          <w:b w:val="1"/>
          <w:bCs w:val="1"/>
          <w:color w:val="C04C57"/>
        </w:rPr>
        <w:t xml:space="preserve">Neil Stahl, Ph.D., </w:t>
      </w:r>
      <w:r>
        <w:rPr>
          <w:rFonts w:ascii="Arial" w:cs="Arial" w:eastAsia="Arial" w:hAnsi="Arial"/>
          <w:sz w:val="15"/>
          <w:szCs w:val="15"/>
          <w:color w:val="231F20"/>
        </w:rPr>
        <w:t>63, has been Executive Vice President, Research and Development since</w:t>
      </w:r>
      <w:r>
        <w:rPr>
          <w:rFonts w:ascii="Arial" w:cs="Arial" w:eastAsia="Arial" w:hAnsi="Arial"/>
          <w:sz w:val="15"/>
          <w:szCs w:val="15"/>
          <w:b w:val="1"/>
          <w:bCs w:val="1"/>
          <w:color w:val="C04C57"/>
        </w:rPr>
        <w:t xml:space="preserve"> </w:t>
      </w:r>
      <w:r>
        <w:rPr>
          <w:rFonts w:ascii="Arial" w:cs="Arial" w:eastAsia="Arial" w:hAnsi="Arial"/>
          <w:sz w:val="15"/>
          <w:szCs w:val="15"/>
          <w:color w:val="231F20"/>
        </w:rPr>
        <w:t>January 2015. He previously 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230505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-831850</wp:posOffset>
            </wp:positionV>
            <wp:extent cx="942975" cy="9512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2975" cy="95123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260" w:right="579"/>
        <w:spacing w:after="0" w:line="229" w:lineRule="auto"/>
        <w:rPr>
          <w:sz w:val="20"/>
          <w:szCs w:val="20"/>
          <w:color w:val="auto"/>
        </w:rPr>
      </w:pPr>
      <w:r>
        <w:rPr>
          <w:rFonts w:ascii="Arial" w:cs="Arial" w:eastAsia="Arial" w:hAnsi="Arial"/>
          <w:sz w:val="15"/>
          <w:szCs w:val="15"/>
          <w:b w:val="1"/>
          <w:bCs w:val="1"/>
          <w:color w:val="C04C57"/>
        </w:rPr>
        <w:t xml:space="preserve">Daniel P. Van Plew, </w:t>
      </w:r>
      <w:r>
        <w:rPr>
          <w:rFonts w:ascii="Arial" w:cs="Arial" w:eastAsia="Arial" w:hAnsi="Arial"/>
          <w:sz w:val="15"/>
          <w:szCs w:val="15"/>
          <w:color w:val="231F20"/>
        </w:rPr>
        <w:t>47, has been Executive Vice President and General Manager, Industrial</w:t>
      </w:r>
      <w:r>
        <w:rPr>
          <w:rFonts w:ascii="Arial" w:cs="Arial" w:eastAsia="Arial" w:hAnsi="Arial"/>
          <w:sz w:val="15"/>
          <w:szCs w:val="15"/>
          <w:b w:val="1"/>
          <w:bCs w:val="1"/>
          <w:color w:val="C04C57"/>
        </w:rPr>
        <w:t xml:space="preserve"> </w:t>
      </w:r>
      <w:r>
        <w:rPr>
          <w:rFonts w:ascii="Arial" w:cs="Arial" w:eastAsia="Arial" w:hAnsi="Arial"/>
          <w:sz w:val="15"/>
          <w:szCs w:val="15"/>
          <w:color w:val="231F20"/>
        </w:rPr>
        <w:t>Operations and Product Supply 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100965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-1346835</wp:posOffset>
            </wp:positionV>
            <wp:extent cx="942975" cy="942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31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34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45" w:name="page46"/>
    <w:bookmarkEnd w:id="45"/>
    <w:p>
      <w:pPr>
        <w:ind w:left="1580"/>
        <w:spacing w:after="0"/>
        <w:rPr>
          <w:sz w:val="20"/>
          <w:szCs w:val="20"/>
          <w:color w:val="auto"/>
        </w:rPr>
      </w:pPr>
      <w:r>
        <w:rPr>
          <w:rFonts w:ascii="Arial" w:cs="Arial" w:eastAsia="Arial" w:hAnsi="Arial"/>
          <w:sz w:val="58"/>
          <w:szCs w:val="58"/>
          <w:b w:val="1"/>
          <w:bCs w:val="1"/>
          <w:color w:val="FFFFFF"/>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12084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840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right="1920"/>
        <w:spacing w:after="0" w:line="235" w:lineRule="auto"/>
        <w:rPr>
          <w:sz w:val="20"/>
          <w:szCs w:val="20"/>
          <w:color w:val="auto"/>
        </w:rPr>
      </w:pPr>
      <w:r>
        <w:rPr>
          <w:rFonts w:ascii="Arial" w:cs="Arial" w:eastAsia="Arial" w:hAnsi="Arial"/>
          <w:sz w:val="15"/>
          <w:szCs w:val="15"/>
          <w:color w:val="231F20"/>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160" w:lineRule="exact"/>
        <w:rPr>
          <w:sz w:val="20"/>
          <w:szCs w:val="20"/>
          <w:color w:val="auto"/>
        </w:rPr>
      </w:pPr>
    </w:p>
    <w:tbl>
      <w:tblPr>
        <w:tblLayout w:type="fixed"/>
        <w:tblInd w:w="1580" w:type="dxa"/>
        <w:tblCellMar>
          <w:top w:w="0" w:type="dxa"/>
          <w:left w:w="0" w:type="dxa"/>
          <w:bottom w:w="0" w:type="dxa"/>
          <w:right w:w="0" w:type="dxa"/>
        </w:tblCellMar>
      </w:tblPr>
      <w:tr>
        <w:trPr>
          <w:trHeight w:val="154"/>
        </w:trPr>
        <w:tc>
          <w:tcPr>
            <w:tcW w:w="6400" w:type="dxa"/>
            <w:vAlign w:val="bottom"/>
          </w:tcPr>
          <w:p>
            <w:pPr>
              <w:ind w:left="40"/>
              <w:spacing w:after="0"/>
              <w:rPr>
                <w:sz w:val="20"/>
                <w:szCs w:val="20"/>
                <w:color w:val="auto"/>
              </w:rPr>
            </w:pPr>
            <w:r>
              <w:rPr>
                <w:rFonts w:ascii="Arial" w:cs="Arial" w:eastAsia="Arial" w:hAnsi="Arial"/>
                <w:sz w:val="12"/>
                <w:szCs w:val="12"/>
                <w:b w:val="1"/>
                <w:bCs w:val="1"/>
                <w:color w:val="2952A4"/>
              </w:rPr>
              <w:t>Board and Other Governance Information</w:t>
            </w:r>
          </w:p>
        </w:tc>
        <w:tc>
          <w:tcPr>
            <w:tcW w:w="1700" w:type="dxa"/>
            <w:vAlign w:val="bottom"/>
          </w:tcPr>
          <w:p>
            <w:pPr>
              <w:jc w:val="center"/>
              <w:ind w:left="816"/>
              <w:spacing w:after="0"/>
              <w:rPr>
                <w:sz w:val="20"/>
                <w:szCs w:val="20"/>
                <w:color w:val="auto"/>
              </w:rPr>
            </w:pPr>
            <w:r>
              <w:rPr>
                <w:rFonts w:ascii="Arial" w:cs="Arial" w:eastAsia="Arial" w:hAnsi="Arial"/>
                <w:sz w:val="12"/>
                <w:szCs w:val="12"/>
                <w:b w:val="1"/>
                <w:bCs w:val="1"/>
                <w:color w:val="2952A4"/>
                <w:w w:val="95"/>
              </w:rPr>
              <w:t>2020*</w:t>
            </w:r>
          </w:p>
        </w:tc>
      </w:tr>
      <w:tr>
        <w:trPr>
          <w:trHeight w:val="27"/>
        </w:trPr>
        <w:tc>
          <w:tcPr>
            <w:tcW w:w="6400" w:type="dxa"/>
            <w:vAlign w:val="bottom"/>
            <w:tcBorders>
              <w:bottom w:val="single" w:sz="8" w:color="235BA7"/>
            </w:tcBorders>
          </w:tcPr>
          <w:p>
            <w:pPr>
              <w:spacing w:after="0"/>
              <w:rPr>
                <w:sz w:val="2"/>
                <w:szCs w:val="2"/>
                <w:color w:val="auto"/>
              </w:rPr>
            </w:pPr>
          </w:p>
        </w:tc>
        <w:tc>
          <w:tcPr>
            <w:tcW w:w="1700" w:type="dxa"/>
            <w:vAlign w:val="bottom"/>
            <w:tcBorders>
              <w:bottom w:val="single" w:sz="8" w:color="235BA7"/>
            </w:tcBorders>
          </w:tcPr>
          <w:p>
            <w:pPr>
              <w:spacing w:after="0"/>
              <w:rPr>
                <w:sz w:val="2"/>
                <w:szCs w:val="2"/>
                <w:color w:val="auto"/>
              </w:rPr>
            </w:pPr>
          </w:p>
        </w:tc>
      </w:tr>
      <w:tr>
        <w:trPr>
          <w:trHeight w:val="196"/>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Size of Board</w:t>
            </w:r>
          </w:p>
        </w:tc>
        <w:tc>
          <w:tcPr>
            <w:tcW w:w="1700" w:type="dxa"/>
            <w:vAlign w:val="bottom"/>
            <w:tcBorders>
              <w:bottom w:val="single" w:sz="8" w:color="auto"/>
            </w:tcBorders>
          </w:tcPr>
          <w:p>
            <w:pPr>
              <w:jc w:val="center"/>
              <w:ind w:left="816"/>
              <w:spacing w:after="0"/>
              <w:rPr>
                <w:sz w:val="20"/>
                <w:szCs w:val="20"/>
                <w:color w:val="auto"/>
              </w:rPr>
            </w:pPr>
            <w:r>
              <w:rPr>
                <w:rFonts w:ascii="Arial" w:cs="Arial" w:eastAsia="Arial" w:hAnsi="Arial"/>
                <w:sz w:val="13"/>
                <w:szCs w:val="13"/>
                <w:color w:val="231F20"/>
                <w:w w:val="96"/>
              </w:rPr>
              <w:t>12</w:t>
            </w:r>
          </w:p>
        </w:tc>
      </w:tr>
      <w:tr>
        <w:trPr>
          <w:trHeight w:val="196"/>
        </w:trPr>
        <w:tc>
          <w:tcPr>
            <w:tcW w:w="64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Number of Independent Directors</w:t>
            </w:r>
          </w:p>
        </w:tc>
        <w:tc>
          <w:tcPr>
            <w:tcW w:w="1700" w:type="dxa"/>
            <w:vAlign w:val="bottom"/>
            <w:tcBorders>
              <w:bottom w:val="single" w:sz="8" w:color="auto"/>
            </w:tcBorders>
            <w:shd w:val="clear" w:color="auto" w:fill="EAEAEC"/>
          </w:tcPr>
          <w:p>
            <w:pPr>
              <w:jc w:val="center"/>
              <w:ind w:left="816"/>
              <w:spacing w:after="0"/>
              <w:rPr>
                <w:sz w:val="20"/>
                <w:szCs w:val="20"/>
                <w:color w:val="auto"/>
              </w:rPr>
            </w:pPr>
            <w:r>
              <w:rPr>
                <w:rFonts w:ascii="Arial" w:cs="Arial" w:eastAsia="Arial" w:hAnsi="Arial"/>
                <w:sz w:val="13"/>
                <w:szCs w:val="13"/>
                <w:color w:val="231F20"/>
                <w:w w:val="82"/>
              </w:rPr>
              <w:t>9</w:t>
            </w:r>
          </w:p>
        </w:tc>
      </w:tr>
      <w:tr>
        <w:trPr>
          <w:trHeight w:val="237"/>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Separate Chairman and Chief Executive Officer</w:t>
            </w:r>
          </w:p>
        </w:tc>
        <w:tc>
          <w:tcPr>
            <w:tcW w:w="1700" w:type="dxa"/>
            <w:vAlign w:val="bottom"/>
            <w:tcBorders>
              <w:bottom w:val="single" w:sz="8" w:color="auto"/>
            </w:tcBorders>
          </w:tcPr>
          <w:p>
            <w:pPr>
              <w:spacing w:after="0"/>
              <w:rPr>
                <w:sz w:val="20"/>
                <w:szCs w:val="20"/>
                <w:color w:val="auto"/>
              </w:rPr>
            </w:pPr>
          </w:p>
        </w:tc>
      </w:tr>
      <w:tr>
        <w:trPr>
          <w:trHeight w:val="236"/>
        </w:trPr>
        <w:tc>
          <w:tcPr>
            <w:tcW w:w="64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Majority Voting in the Election of Directors</w:t>
            </w:r>
          </w:p>
        </w:tc>
        <w:tc>
          <w:tcPr>
            <w:tcW w:w="1700" w:type="dxa"/>
            <w:vAlign w:val="bottom"/>
            <w:tcBorders>
              <w:bottom w:val="single" w:sz="8" w:color="auto"/>
            </w:tcBorders>
            <w:shd w:val="clear" w:color="auto" w:fill="EAEAEC"/>
          </w:tcPr>
          <w:p>
            <w:pPr>
              <w:spacing w:after="0"/>
              <w:rPr>
                <w:sz w:val="20"/>
                <w:szCs w:val="20"/>
                <w:color w:val="auto"/>
              </w:rPr>
            </w:pPr>
          </w:p>
        </w:tc>
      </w:tr>
      <w:tr>
        <w:trPr>
          <w:trHeight w:val="237"/>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Director Resignation Policy</w:t>
            </w:r>
          </w:p>
        </w:tc>
        <w:tc>
          <w:tcPr>
            <w:tcW w:w="1700" w:type="dxa"/>
            <w:vAlign w:val="bottom"/>
            <w:tcBorders>
              <w:bottom w:val="single" w:sz="8" w:color="auto"/>
            </w:tcBorders>
          </w:tcPr>
          <w:p>
            <w:pPr>
              <w:spacing w:after="0"/>
              <w:rPr>
                <w:sz w:val="20"/>
                <w:szCs w:val="20"/>
                <w:color w:val="auto"/>
              </w:rPr>
            </w:pPr>
          </w:p>
        </w:tc>
      </w:tr>
      <w:tr>
        <w:trPr>
          <w:trHeight w:val="196"/>
        </w:trPr>
        <w:tc>
          <w:tcPr>
            <w:tcW w:w="64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Number of Meetings of the Board of Directors Held in 2019</w:t>
            </w:r>
          </w:p>
        </w:tc>
        <w:tc>
          <w:tcPr>
            <w:tcW w:w="1700" w:type="dxa"/>
            <w:vAlign w:val="bottom"/>
            <w:tcBorders>
              <w:bottom w:val="single" w:sz="8" w:color="auto"/>
            </w:tcBorders>
            <w:shd w:val="clear" w:color="auto" w:fill="EAEAEC"/>
          </w:tcPr>
          <w:p>
            <w:pPr>
              <w:jc w:val="center"/>
              <w:ind w:left="816"/>
              <w:spacing w:after="0"/>
              <w:rPr>
                <w:sz w:val="20"/>
                <w:szCs w:val="20"/>
                <w:color w:val="auto"/>
              </w:rPr>
            </w:pPr>
            <w:r>
              <w:rPr>
                <w:rFonts w:ascii="Arial" w:cs="Arial" w:eastAsia="Arial" w:hAnsi="Arial"/>
                <w:sz w:val="13"/>
                <w:szCs w:val="13"/>
                <w:color w:val="231F20"/>
                <w:w w:val="82"/>
              </w:rPr>
              <w:t>6</w:t>
            </w:r>
          </w:p>
        </w:tc>
      </w:tr>
      <w:tr>
        <w:trPr>
          <w:trHeight w:val="237"/>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Independent Directors Meet in Executive Sessions Without Management Present</w:t>
            </w:r>
          </w:p>
        </w:tc>
        <w:tc>
          <w:tcPr>
            <w:tcW w:w="1700" w:type="dxa"/>
            <w:vAlign w:val="bottom"/>
            <w:tcBorders>
              <w:bottom w:val="single" w:sz="8" w:color="auto"/>
            </w:tcBorders>
          </w:tcPr>
          <w:p>
            <w:pPr>
              <w:spacing w:after="0"/>
              <w:rPr>
                <w:sz w:val="20"/>
                <w:szCs w:val="20"/>
                <w:color w:val="auto"/>
              </w:rPr>
            </w:pPr>
          </w:p>
        </w:tc>
      </w:tr>
      <w:tr>
        <w:trPr>
          <w:trHeight w:val="237"/>
        </w:trPr>
        <w:tc>
          <w:tcPr>
            <w:tcW w:w="64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Code of Business Conduct and Ethics Applicable to All Employees, Officers, and Directors</w:t>
            </w:r>
          </w:p>
        </w:tc>
        <w:tc>
          <w:tcPr>
            <w:tcW w:w="1700" w:type="dxa"/>
            <w:vAlign w:val="bottom"/>
            <w:tcBorders>
              <w:bottom w:val="single" w:sz="8" w:color="auto"/>
            </w:tcBorders>
            <w:shd w:val="clear" w:color="auto" w:fill="EAEAEC"/>
          </w:tcPr>
          <w:p>
            <w:pPr>
              <w:spacing w:after="0"/>
              <w:rPr>
                <w:sz w:val="20"/>
                <w:szCs w:val="20"/>
                <w:color w:val="auto"/>
              </w:rPr>
            </w:pPr>
          </w:p>
        </w:tc>
      </w:tr>
      <w:tr>
        <w:trPr>
          <w:trHeight w:val="237"/>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Annual Board and Committee Self-Evaluations</w:t>
            </w:r>
          </w:p>
        </w:tc>
        <w:tc>
          <w:tcPr>
            <w:tcW w:w="1700" w:type="dxa"/>
            <w:vAlign w:val="bottom"/>
            <w:tcBorders>
              <w:bottom w:val="single" w:sz="8" w:color="auto"/>
            </w:tcBorders>
          </w:tcPr>
          <w:p>
            <w:pPr>
              <w:spacing w:after="0"/>
              <w:rPr>
                <w:sz w:val="20"/>
                <w:szCs w:val="20"/>
                <w:color w:val="auto"/>
              </w:rPr>
            </w:pPr>
          </w:p>
        </w:tc>
      </w:tr>
      <w:tr>
        <w:trPr>
          <w:trHeight w:val="236"/>
        </w:trPr>
        <w:tc>
          <w:tcPr>
            <w:tcW w:w="64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Stock Ownership Guidelines for Directors and Senior Executives</w:t>
            </w:r>
          </w:p>
        </w:tc>
        <w:tc>
          <w:tcPr>
            <w:tcW w:w="1700" w:type="dxa"/>
            <w:vAlign w:val="bottom"/>
            <w:tcBorders>
              <w:bottom w:val="single" w:sz="8" w:color="auto"/>
            </w:tcBorders>
            <w:shd w:val="clear" w:color="auto" w:fill="EAEAEC"/>
          </w:tcPr>
          <w:p>
            <w:pPr>
              <w:spacing w:after="0"/>
              <w:rPr>
                <w:sz w:val="20"/>
                <w:szCs w:val="20"/>
                <w:color w:val="auto"/>
              </w:rPr>
            </w:pPr>
          </w:p>
        </w:tc>
      </w:tr>
      <w:tr>
        <w:trPr>
          <w:trHeight w:val="237"/>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Active Shareholder Engagement</w:t>
            </w:r>
          </w:p>
        </w:tc>
        <w:tc>
          <w:tcPr>
            <w:tcW w:w="1700" w:type="dxa"/>
            <w:vAlign w:val="bottom"/>
            <w:tcBorders>
              <w:bottom w:val="single" w:sz="8" w:color="auto"/>
            </w:tcBorders>
          </w:tcPr>
          <w:p>
            <w:pPr>
              <w:spacing w:after="0"/>
              <w:rPr>
                <w:sz w:val="20"/>
                <w:szCs w:val="20"/>
                <w:color w:val="auto"/>
              </w:rPr>
            </w:pPr>
          </w:p>
        </w:tc>
      </w:tr>
      <w:tr>
        <w:trPr>
          <w:trHeight w:val="237"/>
        </w:trPr>
        <w:tc>
          <w:tcPr>
            <w:tcW w:w="6400" w:type="dxa"/>
            <w:vAlign w:val="bottom"/>
            <w:tcBorders>
              <w:bottom w:val="single" w:sz="8" w:color="235BA7"/>
            </w:tcBorders>
            <w:shd w:val="clear" w:color="auto" w:fill="EAEAEC"/>
          </w:tcPr>
          <w:p>
            <w:pPr>
              <w:ind w:left="40"/>
              <w:spacing w:after="0"/>
              <w:rPr>
                <w:sz w:val="20"/>
                <w:szCs w:val="20"/>
                <w:color w:val="auto"/>
              </w:rPr>
            </w:pPr>
            <w:r>
              <w:rPr>
                <w:rFonts w:ascii="Arial" w:cs="Arial" w:eastAsia="Arial" w:hAnsi="Arial"/>
                <w:sz w:val="13"/>
                <w:szCs w:val="13"/>
                <w:color w:val="231F20"/>
              </w:rPr>
              <w:t>Shareholder Right to Call Special Shareholder Meeting</w:t>
            </w:r>
          </w:p>
        </w:tc>
        <w:tc>
          <w:tcPr>
            <w:tcW w:w="1700" w:type="dxa"/>
            <w:vAlign w:val="bottom"/>
            <w:tcBorders>
              <w:bottom w:val="single" w:sz="8" w:color="235BA7"/>
            </w:tcBorders>
            <w:shd w:val="clear" w:color="auto" w:fill="EAEAE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-1585595</wp:posOffset>
            </wp:positionV>
            <wp:extent cx="154305"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-1422400</wp:posOffset>
            </wp:positionV>
            <wp:extent cx="154305"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-1259840</wp:posOffset>
            </wp:positionV>
            <wp:extent cx="154305"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-959485</wp:posOffset>
            </wp:positionV>
            <wp:extent cx="154305"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-796925</wp:posOffset>
            </wp:positionV>
            <wp:extent cx="154305"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-633730</wp:posOffset>
            </wp:positionV>
            <wp:extent cx="154305"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-471170</wp:posOffset>
            </wp:positionV>
            <wp:extent cx="154305"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-307975</wp:posOffset>
            </wp:positionV>
            <wp:extent cx="154305"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-145415</wp:posOffset>
            </wp:positionV>
            <wp:extent cx="154305"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52" w:lineRule="exact"/>
        <w:rPr>
          <w:sz w:val="20"/>
          <w:szCs w:val="20"/>
          <w:color w:val="auto"/>
        </w:rPr>
      </w:pPr>
    </w:p>
    <w:p>
      <w:pPr>
        <w:ind w:left="1740" w:hanging="166"/>
        <w:spacing w:after="0"/>
        <w:tabs>
          <w:tab w:leader="none" w:pos="1740" w:val="left"/>
        </w:tabs>
        <w:numPr>
          <w:ilvl w:val="0"/>
          <w:numId w:val="55"/>
        </w:numPr>
        <w:rPr>
          <w:rFonts w:ascii="Arial" w:cs="Arial" w:eastAsia="Arial" w:hAnsi="Arial"/>
          <w:sz w:val="14"/>
          <w:szCs w:val="14"/>
          <w:b w:val="1"/>
          <w:bCs w:val="1"/>
          <w:color w:val="2952A4"/>
        </w:rPr>
      </w:pPr>
      <w:r>
        <w:rPr>
          <w:rFonts w:ascii="Arial" w:cs="Arial" w:eastAsia="Arial" w:hAnsi="Arial"/>
          <w:sz w:val="14"/>
          <w:szCs w:val="14"/>
          <w:color w:val="231F20"/>
        </w:rPr>
        <w:t>As of April 14, 2020.</w:t>
      </w:r>
    </w:p>
    <w:p>
      <w:pPr>
        <w:spacing w:after="0" w:line="118"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1580" w:right="1720"/>
        <w:spacing w:after="0" w:line="229" w:lineRule="auto"/>
        <w:rPr>
          <w:sz w:val="20"/>
          <w:szCs w:val="20"/>
          <w:color w:val="auto"/>
        </w:rPr>
      </w:pPr>
      <w:r>
        <w:rPr>
          <w:rFonts w:ascii="Arial" w:cs="Arial" w:eastAsia="Arial" w:hAnsi="Arial"/>
          <w:sz w:val="15"/>
          <w:szCs w:val="15"/>
          <w:color w:val="231F20"/>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5"/>
          <w:szCs w:val="15"/>
          <w:b w:val="1"/>
          <w:bCs w:val="1"/>
          <w:color w:val="231F20"/>
        </w:rPr>
        <w:t>www.regeneron.com</w:t>
      </w:r>
      <w:r>
        <w:rPr>
          <w:rFonts w:ascii="Arial" w:cs="Arial" w:eastAsia="Arial" w:hAnsi="Arial"/>
          <w:sz w:val="15"/>
          <w:szCs w:val="15"/>
          <w:color w:val="231F20"/>
        </w:rPr>
        <w:t xml:space="preserve"> under the “Corporate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07" w:lineRule="exact"/>
        <w:rPr>
          <w:sz w:val="20"/>
          <w:szCs w:val="20"/>
          <w:color w:val="auto"/>
        </w:rPr>
      </w:pPr>
    </w:p>
    <w:p>
      <w:pPr>
        <w:ind w:left="1580" w:right="2000"/>
        <w:spacing w:after="0" w:line="278" w:lineRule="auto"/>
        <w:rPr>
          <w:sz w:val="20"/>
          <w:szCs w:val="20"/>
          <w:color w:val="auto"/>
        </w:rPr>
      </w:pPr>
      <w:r>
        <w:rPr>
          <w:rFonts w:ascii="Arial" w:cs="Arial" w:eastAsia="Arial" w:hAnsi="Arial"/>
          <w:sz w:val="29"/>
          <w:szCs w:val="29"/>
          <w:b w:val="1"/>
          <w:bCs w:val="1"/>
          <w:color w:val="C04C57"/>
        </w:rPr>
        <w:t>SUCCESSION PLANNING AND TALENT DEVELOPMENT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-35560</wp:posOffset>
            </wp:positionV>
            <wp:extent cx="50831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95" w:lineRule="exact"/>
        <w:rPr>
          <w:sz w:val="20"/>
          <w:szCs w:val="20"/>
          <w:color w:val="auto"/>
        </w:rPr>
      </w:pPr>
    </w:p>
    <w:p>
      <w:pPr>
        <w:ind w:left="1580" w:right="1720"/>
        <w:spacing w:after="0" w:line="228" w:lineRule="auto"/>
        <w:rPr>
          <w:sz w:val="20"/>
          <w:szCs w:val="20"/>
          <w:color w:val="auto"/>
        </w:rPr>
      </w:pPr>
      <w:r>
        <w:rPr>
          <w:rFonts w:ascii="Arial" w:cs="Arial" w:eastAsia="Arial" w:hAnsi="Arial"/>
          <w:sz w:val="15"/>
          <w:szCs w:val="15"/>
          <w:color w:val="231F20"/>
        </w:rPr>
        <w:t>Under our Corporate Governance Guidelines, the board of directors is required to periodically review with our CEO Regeneron’s plan for succession to the offices of the CEO and other senior executive positions. In 2017, the Corporate Governance and Compliance Committee, at the request of the board of directors, commenced a multi-year formal succession planning and talent review, which includes succession planning for the CEO and other senior management positions. In 2018 and 2019,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organization and the Company’s research &amp; development and global development organizations, respectively. Implementation of the succession planning and talent review plan has continued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92075</wp:posOffset>
            </wp:positionV>
            <wp:extent cx="771525"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5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116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35</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018"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195" w:lineRule="exact"/>
        <w:rPr>
          <w:sz w:val="20"/>
          <w:szCs w:val="20"/>
          <w:color w:val="auto"/>
        </w:rPr>
      </w:pPr>
    </w:p>
    <w:p>
      <w:pPr>
        <w:ind w:left="460" w:right="859"/>
        <w:spacing w:after="0" w:line="235" w:lineRule="auto"/>
        <w:rPr>
          <w:sz w:val="20"/>
          <w:szCs w:val="20"/>
          <w:color w:val="auto"/>
        </w:rPr>
      </w:pPr>
      <w:r>
        <w:rPr>
          <w:rFonts w:ascii="Arial" w:cs="Arial" w:eastAsia="Arial" w:hAnsi="Arial"/>
          <w:sz w:val="15"/>
          <w:szCs w:val="15"/>
          <w:color w:val="231F20"/>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460" w:right="579"/>
        <w:spacing w:after="0" w:line="233" w:lineRule="auto"/>
        <w:rPr>
          <w:sz w:val="20"/>
          <w:szCs w:val="20"/>
          <w:color w:val="auto"/>
        </w:rPr>
      </w:pPr>
      <w:r>
        <w:rPr>
          <w:rFonts w:ascii="Arial" w:cs="Arial" w:eastAsia="Arial" w:hAnsi="Arial"/>
          <w:sz w:val="15"/>
          <w:szCs w:val="15"/>
          <w:color w:val="231F20"/>
        </w:rPr>
        <w:t>Regeneron’s mission is to use the power of science to repeatedly bring new medicines to patients. We are committed to operating responsibly, communicating transparently about our impacts, and engaging all stakeholders in our mission. We strive to “do well by doing good” and have been publicly disclosing information about significant corporate responsibility matters since 2014.</w:t>
      </w:r>
    </w:p>
    <w:p>
      <w:pPr>
        <w:spacing w:after="0" w:line="140" w:lineRule="exact"/>
        <w:rPr>
          <w:sz w:val="20"/>
          <w:szCs w:val="20"/>
          <w:color w:val="auto"/>
        </w:rPr>
      </w:pPr>
    </w:p>
    <w:p>
      <w:pPr>
        <w:ind w:left="460" w:right="679"/>
        <w:spacing w:after="0" w:line="228" w:lineRule="auto"/>
        <w:rPr>
          <w:sz w:val="20"/>
          <w:szCs w:val="20"/>
          <w:color w:val="auto"/>
        </w:rPr>
      </w:pPr>
      <w:r>
        <w:rPr>
          <w:rFonts w:ascii="Arial" w:cs="Arial" w:eastAsia="Arial" w:hAnsi="Arial"/>
          <w:sz w:val="15"/>
          <w:szCs w:val="15"/>
          <w:color w:val="231F20"/>
        </w:rPr>
        <w:t>Our board of directors and management team focus closely on corporate responsibility matters. The charter of the board’s Corporate Governance and Compliance Committee expressly delegates board oversight of corporate responsibility to the Committee. The Company’s policy is to take into consideration the long-term interests of the Company, its shareholders, and other stakeholders, including patients, employees, the healthcare community, regulators, partners, suppliers, and local communities. Under our Corporate Governance Guidelines, the Corporate Governance and Compliance Committee is responsible for overseeing the Company’s key corporate responsibility initiatives, including those expected to have a significant impact on the Company’s ability to deliver sustained growth. The Committee also conducts a periodic review of environmental, social, and governance (“ESG”) matters. Management, who has the responsibility for formulating and implementing such initiatives and matters, has established for these purposes a Responsibility Committee comprised of cross-functional business leaders.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Our responsibility strategy centers on three focus areas:</w:t>
      </w:r>
    </w:p>
    <w:p>
      <w:pPr>
        <w:spacing w:after="0" w:line="152" w:lineRule="exact"/>
        <w:rPr>
          <w:sz w:val="20"/>
          <w:szCs w:val="20"/>
          <w:color w:val="auto"/>
        </w:rPr>
      </w:pPr>
    </w:p>
    <w:p>
      <w:pPr>
        <w:ind w:left="700" w:hanging="246"/>
        <w:spacing w:after="0"/>
        <w:tabs>
          <w:tab w:leader="none" w:pos="700" w:val="left"/>
        </w:tabs>
        <w:numPr>
          <w:ilvl w:val="0"/>
          <w:numId w:val="56"/>
        </w:numPr>
        <w:rPr>
          <w:rFonts w:ascii="Arial" w:cs="Arial" w:eastAsia="Arial" w:hAnsi="Arial"/>
          <w:sz w:val="15"/>
          <w:szCs w:val="15"/>
          <w:color w:val="2952A4"/>
        </w:rPr>
      </w:pPr>
      <w:r>
        <w:rPr>
          <w:rFonts w:ascii="Arial" w:cs="Arial" w:eastAsia="Arial" w:hAnsi="Arial"/>
          <w:sz w:val="15"/>
          <w:szCs w:val="15"/>
          <w:color w:val="231F20"/>
        </w:rPr>
        <w:t>Improve the lives of people with serious diseases</w:t>
      </w:r>
    </w:p>
    <w:p>
      <w:pPr>
        <w:spacing w:after="0" w:line="151" w:lineRule="exact"/>
        <w:rPr>
          <w:rFonts w:ascii="Arial" w:cs="Arial" w:eastAsia="Arial" w:hAnsi="Arial"/>
          <w:sz w:val="15"/>
          <w:szCs w:val="15"/>
          <w:color w:val="2952A4"/>
        </w:rPr>
      </w:pPr>
    </w:p>
    <w:p>
      <w:pPr>
        <w:ind w:left="700" w:hanging="246"/>
        <w:spacing w:after="0"/>
        <w:tabs>
          <w:tab w:leader="none" w:pos="700" w:val="left"/>
        </w:tabs>
        <w:numPr>
          <w:ilvl w:val="0"/>
          <w:numId w:val="56"/>
        </w:numPr>
        <w:rPr>
          <w:rFonts w:ascii="Arial" w:cs="Arial" w:eastAsia="Arial" w:hAnsi="Arial"/>
          <w:sz w:val="15"/>
          <w:szCs w:val="15"/>
          <w:color w:val="2952A4"/>
        </w:rPr>
      </w:pPr>
      <w:r>
        <w:rPr>
          <w:rFonts w:ascii="Arial" w:cs="Arial" w:eastAsia="Arial" w:hAnsi="Arial"/>
          <w:sz w:val="15"/>
          <w:szCs w:val="15"/>
          <w:color w:val="231F20"/>
        </w:rPr>
        <w:t>Foster a culture of integrity and excellence</w:t>
      </w:r>
    </w:p>
    <w:p>
      <w:pPr>
        <w:spacing w:after="0" w:line="151" w:lineRule="exact"/>
        <w:rPr>
          <w:rFonts w:ascii="Arial" w:cs="Arial" w:eastAsia="Arial" w:hAnsi="Arial"/>
          <w:sz w:val="15"/>
          <w:szCs w:val="15"/>
          <w:color w:val="2952A4"/>
        </w:rPr>
      </w:pPr>
    </w:p>
    <w:p>
      <w:pPr>
        <w:ind w:left="700" w:hanging="246"/>
        <w:spacing w:after="0"/>
        <w:tabs>
          <w:tab w:leader="none" w:pos="700" w:val="left"/>
        </w:tabs>
        <w:numPr>
          <w:ilvl w:val="0"/>
          <w:numId w:val="56"/>
        </w:numPr>
        <w:rPr>
          <w:rFonts w:ascii="Arial" w:cs="Arial" w:eastAsia="Arial" w:hAnsi="Arial"/>
          <w:sz w:val="15"/>
          <w:szCs w:val="15"/>
          <w:color w:val="2952A4"/>
        </w:rPr>
      </w:pPr>
      <w:r>
        <w:rPr>
          <w:rFonts w:ascii="Arial" w:cs="Arial" w:eastAsia="Arial" w:hAnsi="Arial"/>
          <w:sz w:val="15"/>
          <w:szCs w:val="15"/>
          <w:color w:val="231F20"/>
        </w:rPr>
        <w:t>Build sustainable communities</w:t>
      </w:r>
    </w:p>
    <w:p>
      <w:pPr>
        <w:spacing w:after="0" w:line="152" w:lineRule="exact"/>
        <w:rPr>
          <w:sz w:val="20"/>
          <w:szCs w:val="20"/>
          <w:color w:val="auto"/>
        </w:rPr>
      </w:pPr>
    </w:p>
    <w:p>
      <w:pPr>
        <w:jc w:val="both"/>
        <w:ind w:left="460" w:right="819"/>
        <w:spacing w:after="0" w:line="235" w:lineRule="auto"/>
        <w:rPr>
          <w:sz w:val="20"/>
          <w:szCs w:val="20"/>
          <w:color w:val="auto"/>
        </w:rPr>
      </w:pPr>
      <w:r>
        <w:rPr>
          <w:rFonts w:ascii="Arial" w:cs="Arial" w:eastAsia="Arial" w:hAnsi="Arial"/>
          <w:sz w:val="15"/>
          <w:szCs w:val="15"/>
          <w:color w:val="231F20"/>
        </w:rPr>
        <w:t>In 2019, we set global 2025 responsibility goals, which span across these three focus areas and the environmental and social issues that we believe are most significant to our business and stakeholders. These goals, summarized below, are discussed in detail in our 2019 Responsibility Report.</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EEF"/>
        </w:rPr>
        <w:t xml:space="preserve">36  </w:t>
      </w:r>
      <w:r>
        <w:rPr>
          <w:rFonts w:ascii="Arial" w:cs="Arial" w:eastAsia="Arial" w:hAnsi="Arial"/>
          <w:sz w:val="14"/>
          <w:szCs w:val="14"/>
          <w:color w:val="00AEEF"/>
        </w:rPr>
        <w:t xml:space="preserve">/ </w:t>
      </w:r>
      <w:r>
        <w:rPr>
          <w:sz w:val="1"/>
          <w:szCs w:val="1"/>
          <w:color w:val="auto"/>
        </w:rPr>
        <w:drawing>
          <wp:inline distT="0" distB="0" distL="0" distR="0">
            <wp:extent cx="771525" cy="10287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47" w:name="page48"/>
    <w:bookmarkEnd w:id="47"/>
    <w:p>
      <w:pPr>
        <w:ind w:left="594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2025 GLOBAL RESPONSIBILITY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143500" cy="38144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381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580"/>
        <w:spacing w:after="0"/>
        <w:rPr>
          <w:sz w:val="20"/>
          <w:szCs w:val="20"/>
          <w:color w:val="auto"/>
        </w:rPr>
      </w:pPr>
      <w:r>
        <w:rPr>
          <w:rFonts w:ascii="Arial" w:cs="Arial" w:eastAsia="Arial" w:hAnsi="Arial"/>
          <w:sz w:val="14"/>
          <w:szCs w:val="14"/>
          <w:color w:val="231F20"/>
        </w:rPr>
        <w:t>* See the chart below for our specific environmental targets.</w:t>
      </w:r>
    </w:p>
    <w:p>
      <w:pPr>
        <w:spacing w:after="0" w:line="155" w:lineRule="exact"/>
        <w:rPr>
          <w:sz w:val="20"/>
          <w:szCs w:val="20"/>
          <w:color w:val="auto"/>
        </w:rPr>
      </w:pPr>
    </w:p>
    <w:p>
      <w:pPr>
        <w:ind w:left="1580" w:right="1700"/>
        <w:spacing w:after="0" w:line="233" w:lineRule="auto"/>
        <w:rPr>
          <w:sz w:val="20"/>
          <w:szCs w:val="20"/>
          <w:color w:val="auto"/>
        </w:rPr>
      </w:pPr>
      <w:r>
        <w:rPr>
          <w:rFonts w:ascii="Arial" w:cs="Arial" w:eastAsia="Arial" w:hAnsi="Arial"/>
          <w:sz w:val="15"/>
          <w:szCs w:val="15"/>
          <w:color w:val="231F20"/>
        </w:rPr>
        <w:t>In 2019, we also announced our support of the United Nations Sustainable Development Goals and identified five of such goals where we intend to focus to deliver the most impact: good health and well-being; quality education; gender equality; responsible consumption and production; and partnerships for the goals. Our support of these goals helped guide our selection of the 2025 responsibility goals listed above.</w:t>
      </w:r>
    </w:p>
    <w:p>
      <w:pPr>
        <w:spacing w:after="0" w:line="140" w:lineRule="exact"/>
        <w:rPr>
          <w:sz w:val="20"/>
          <w:szCs w:val="20"/>
          <w:color w:val="auto"/>
        </w:rPr>
      </w:pPr>
    </w:p>
    <w:p>
      <w:pPr>
        <w:ind w:left="1580" w:right="1800"/>
        <w:spacing w:after="0" w:line="233" w:lineRule="auto"/>
        <w:rPr>
          <w:sz w:val="20"/>
          <w:szCs w:val="20"/>
          <w:color w:val="auto"/>
        </w:rPr>
      </w:pPr>
      <w:r>
        <w:rPr>
          <w:rFonts w:ascii="Arial" w:cs="Arial" w:eastAsia="Arial" w:hAnsi="Arial"/>
          <w:sz w:val="15"/>
          <w:szCs w:val="15"/>
          <w:color w:val="231F20"/>
        </w:rPr>
        <w:t>We are proud to have been added to the Dow Jones Sustainability World Index (“DJSI World”) for the first time in 2019, representing one of only four companies from the biotechnology sector recognized. DJSI World is a leading global index comprised of corporate leaders in ESG practices, which recognizes the top 10 percent most sustainable companies in each industry.</w:t>
      </w:r>
    </w:p>
    <w:p>
      <w:pPr>
        <w:spacing w:after="0" w:line="140" w:lineRule="exact"/>
        <w:rPr>
          <w:sz w:val="20"/>
          <w:szCs w:val="20"/>
          <w:color w:val="auto"/>
        </w:rPr>
      </w:pPr>
    </w:p>
    <w:p>
      <w:pPr>
        <w:ind w:left="1580" w:right="1940"/>
        <w:spacing w:after="0" w:line="231" w:lineRule="auto"/>
        <w:rPr>
          <w:sz w:val="20"/>
          <w:szCs w:val="20"/>
          <w:color w:val="auto"/>
        </w:rPr>
      </w:pPr>
      <w:r>
        <w:rPr>
          <w:rFonts w:ascii="Arial" w:cs="Arial" w:eastAsia="Arial" w:hAnsi="Arial"/>
          <w:sz w:val="15"/>
          <w:szCs w:val="15"/>
          <w:color w:val="231F20"/>
        </w:rPr>
        <w:t>In 2019 and 2020 to date, we have also continued to enhance our reporting of the Company’s responsibility efforts and results. For the first time, our 2019 Responsibility Report aligned our disclosures with the Sustainability Accounting Standards Board (“SASB”) framework. In addition, we are working toward aligning our reporting for the 2020 Responsibility Report with the climate-specific recommendations developed by the Task Force on Climate-related Financial Disclosures (“TCFD”).</w:t>
      </w:r>
    </w:p>
    <w:p>
      <w:pPr>
        <w:spacing w:after="0" w:line="124" w:lineRule="exact"/>
        <w:rPr>
          <w:sz w:val="20"/>
          <w:szCs w:val="20"/>
          <w:color w:val="auto"/>
        </w:rPr>
      </w:pPr>
    </w:p>
    <w:p>
      <w:pPr>
        <w:ind w:left="1580" w:right="1680"/>
        <w:spacing w:after="0" w:line="236" w:lineRule="auto"/>
        <w:rPr>
          <w:sz w:val="20"/>
          <w:szCs w:val="20"/>
          <w:color w:val="auto"/>
        </w:rPr>
      </w:pPr>
      <w:r>
        <w:rPr>
          <w:rFonts w:ascii="Arial" w:cs="Arial" w:eastAsia="Arial" w:hAnsi="Arial"/>
          <w:sz w:val="15"/>
          <w:szCs w:val="15"/>
          <w:b w:val="1"/>
          <w:bCs w:val="1"/>
          <w:color w:val="231F20"/>
        </w:rPr>
        <w:t xml:space="preserve">Improve the lives of people with serious diseases. </w:t>
      </w:r>
      <w:r>
        <w:rPr>
          <w:rFonts w:ascii="Arial" w:cs="Arial" w:eastAsia="Arial" w:hAnsi="Arial"/>
          <w:sz w:val="15"/>
          <w:szCs w:val="15"/>
          <w:color w:val="231F20"/>
        </w:rPr>
        <w:t>As a science-focused company, we operate Regeneron with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long-term outlook required to turn rigorous scientific research into important new medicines. All seven of our approved medicines and the product candidates in our clinical pipeline are homegrown – discovered in Regeneron’s labs using our industry-leading, proprietary technologies. Our support for patients extends beyond the labs to disease education and awareness efforts, product support services, and our commitment to drug access and responsible pricing.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05BA8"/>
              </w:rPr>
              <w:t>2019 PROXY STATEMENT AND NOTICE OF ANNUAL SHAREHOLDER MEETING</w:t>
            </w:r>
          </w:p>
        </w:tc>
        <w:tc>
          <w:tcPr>
            <w:tcW w:w="3200" w:type="dxa"/>
            <w:vAlign w:val="bottom"/>
          </w:tcPr>
          <w:p>
            <w:pPr>
              <w:jc w:val="right"/>
              <w:ind w:right="1137"/>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4"/>
                <w:szCs w:val="14"/>
                <w:b w:val="1"/>
                <w:bCs w:val="1"/>
                <w:color w:val="00A5EC"/>
              </w:rPr>
              <w:t>37</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-290830</wp:posOffset>
            </wp:positionV>
            <wp:extent cx="74549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ind w:left="46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12" w:lineRule="exact"/>
        <w:rPr>
          <w:sz w:val="20"/>
          <w:szCs w:val="20"/>
          <w:color w:val="auto"/>
        </w:rPr>
      </w:pPr>
    </w:p>
    <w:p>
      <w:pPr>
        <w:ind w:left="460" w:right="799"/>
        <w:spacing w:after="0" w:line="236" w:lineRule="auto"/>
        <w:rPr>
          <w:sz w:val="20"/>
          <w:szCs w:val="20"/>
          <w:color w:val="auto"/>
        </w:rPr>
      </w:pPr>
      <w:r>
        <w:rPr>
          <w:rFonts w:ascii="Arial" w:cs="Arial" w:eastAsia="Arial" w:hAnsi="Arial"/>
          <w:sz w:val="15"/>
          <w:szCs w:val="15"/>
          <w:b w:val="1"/>
          <w:bCs w:val="1"/>
          <w:color w:val="231F20"/>
        </w:rPr>
        <w:t xml:space="preserve">Foster a culture of integrity and excellence. </w:t>
      </w:r>
      <w:r>
        <w:rPr>
          <w:rFonts w:ascii="Arial" w:cs="Arial" w:eastAsia="Arial" w:hAnsi="Arial"/>
          <w:sz w:val="15"/>
          <w:szCs w:val="15"/>
          <w:color w:val="231F20"/>
        </w:rPr>
        <w:t>Regeneron’s unique culture makes us who we are. Our culture</w:t>
      </w:r>
      <w:r>
        <w:rPr>
          <w:rFonts w:ascii="Arial" w:cs="Arial" w:eastAsia="Arial" w:hAnsi="Arial"/>
          <w:sz w:val="15"/>
          <w:szCs w:val="15"/>
          <w:b w:val="1"/>
          <w:bCs w:val="1"/>
          <w:color w:val="231F20"/>
        </w:rPr>
        <w:t xml:space="preserve"> </w:t>
      </w:r>
      <w:r>
        <w:rPr>
          <w:rFonts w:ascii="Arial" w:cs="Arial" w:eastAsia="Arial" w:hAnsi="Arial"/>
          <w:sz w:val="15"/>
          <w:szCs w:val="15"/>
          <w:color w:val="231F20"/>
        </w:rPr>
        <w:t>includes our science-led mindset, our high ethical standards, and our unbridled focus on solving big, complex problems. As we continue to grow, we remain committed to making significant investments to attract and retain top talent and facilitate the diverse and inclusive workforce we require to bring new medicines to people in need. At the end of 2019, 49% of our full-time employees, and 39% of those in leadership positions, were women.</w:t>
      </w:r>
    </w:p>
    <w:p>
      <w:pPr>
        <w:spacing w:after="0" w:line="142" w:lineRule="exact"/>
        <w:rPr>
          <w:sz w:val="20"/>
          <w:szCs w:val="20"/>
          <w:color w:val="auto"/>
        </w:rPr>
      </w:pPr>
    </w:p>
    <w:p>
      <w:pPr>
        <w:ind w:left="460" w:right="919"/>
        <w:spacing w:after="0" w:line="235" w:lineRule="auto"/>
        <w:rPr>
          <w:sz w:val="20"/>
          <w:szCs w:val="20"/>
          <w:color w:val="auto"/>
        </w:rPr>
      </w:pPr>
      <w:r>
        <w:rPr>
          <w:rFonts w:ascii="Arial" w:cs="Arial" w:eastAsia="Arial" w:hAnsi="Arial"/>
          <w:sz w:val="15"/>
          <w:szCs w:val="15"/>
          <w:color w:val="231F20"/>
        </w:rPr>
        <w:t>We are equally committed to conducting our business responsibly and ethically. This is demonstrated through the range of policies, practices, and initiatives we have implemented, encompassing areas such as compliance, responsible sales and marketing, ethical clinical trials, responsible supply chain, and product quality and safety.</w:t>
      </w:r>
    </w:p>
    <w:p>
      <w:pPr>
        <w:spacing w:after="0" w:line="123" w:lineRule="exact"/>
        <w:rPr>
          <w:sz w:val="20"/>
          <w:szCs w:val="20"/>
          <w:color w:val="auto"/>
        </w:rPr>
      </w:pPr>
    </w:p>
    <w:p>
      <w:pPr>
        <w:jc w:val="both"/>
        <w:ind w:left="460" w:right="659"/>
        <w:spacing w:after="0" w:line="239" w:lineRule="auto"/>
        <w:rPr>
          <w:sz w:val="20"/>
          <w:szCs w:val="20"/>
          <w:color w:val="auto"/>
        </w:rPr>
      </w:pPr>
      <w:r>
        <w:rPr>
          <w:rFonts w:ascii="Arial" w:cs="Arial" w:eastAsia="Arial" w:hAnsi="Arial"/>
          <w:sz w:val="15"/>
          <w:szCs w:val="15"/>
          <w:b w:val="1"/>
          <w:bCs w:val="1"/>
          <w:color w:val="231F20"/>
        </w:rPr>
        <w:t xml:space="preserve">Build sustainable communities. </w:t>
      </w:r>
      <w:r>
        <w:rPr>
          <w:rFonts w:ascii="Arial" w:cs="Arial" w:eastAsia="Arial" w:hAnsi="Arial"/>
          <w:sz w:val="15"/>
          <w:szCs w:val="15"/>
          <w:color w:val="231F20"/>
        </w:rPr>
        <w:t>We believe that our role in creating a healthier world extends beyond creating life-transforming medicines to building a healthy living environment. In 2019, in connection with the selection of our 2025 responsibility goals, we set ambitious medium- and longer-term environmental sustainability targets, as shown below. We plan to begin reporting on our progress toward these goals in the 2020 Responsibility Report.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C04C57"/>
        </w:rPr>
        <w:t>New Environmental Targets to Help Protect and Restore the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140335</wp:posOffset>
            </wp:positionV>
            <wp:extent cx="1594485" cy="30429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94485" cy="304292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140335</wp:posOffset>
            </wp:positionV>
            <wp:extent cx="8890" cy="30429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304292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140335</wp:posOffset>
            </wp:positionV>
            <wp:extent cx="805815" cy="30429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05815" cy="304292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By 2021,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-120650</wp:posOffset>
            </wp:positionV>
            <wp:extent cx="1654175" cy="1071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54175" cy="107124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-120650</wp:posOffset>
            </wp:positionV>
            <wp:extent cx="1654175" cy="10712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54175" cy="1071245"/>
                    </a:xfrm>
                    <a:prstGeom prst="rect">
                      <a:avLst/>
                    </a:prstGeom>
                    <a:noFill/>
                  </pic:spPr>
                </pic:pic>
              </a:graphicData>
            </a:graphic>
          </wp:anchor>
        </w:drawing>
      </w:r>
    </w:p>
    <w:p>
      <w:pPr>
        <w:ind w:left="1920"/>
        <w:spacing w:after="0" w:line="234" w:lineRule="auto"/>
        <w:rPr>
          <w:sz w:val="20"/>
          <w:szCs w:val="20"/>
          <w:color w:val="auto"/>
        </w:rPr>
      </w:pPr>
      <w:r>
        <w:rPr>
          <w:rFonts w:ascii="Arial" w:cs="Arial" w:eastAsia="Arial" w:hAnsi="Arial"/>
          <w:sz w:val="12"/>
          <w:szCs w:val="12"/>
          <w:color w:val="auto"/>
        </w:rPr>
        <w:t>zero waste to</w:t>
      </w:r>
    </w:p>
    <w:p>
      <w:pPr>
        <w:ind w:left="1920"/>
        <w:spacing w:after="0" w:line="235" w:lineRule="auto"/>
        <w:rPr>
          <w:sz w:val="20"/>
          <w:szCs w:val="20"/>
          <w:color w:val="auto"/>
        </w:rPr>
      </w:pPr>
      <w:r>
        <w:rPr>
          <w:rFonts w:ascii="Arial" w:cs="Arial" w:eastAsia="Arial" w:hAnsi="Arial"/>
          <w:sz w:val="12"/>
          <w:szCs w:val="12"/>
          <w:color w:val="auto"/>
        </w:rPr>
        <w:t>landfill status at all</w:t>
      </w:r>
    </w:p>
    <w:p>
      <w:pPr>
        <w:ind w:left="1920"/>
        <w:spacing w:after="0"/>
        <w:rPr>
          <w:sz w:val="20"/>
          <w:szCs w:val="20"/>
          <w:color w:val="auto"/>
        </w:rPr>
      </w:pPr>
      <w:r>
        <w:rPr>
          <w:rFonts w:ascii="Arial" w:cs="Arial" w:eastAsia="Arial" w:hAnsi="Arial"/>
          <w:sz w:val="12"/>
          <w:szCs w:val="12"/>
          <w:color w:val="auto"/>
        </w:rPr>
        <w:t>Regeneron sites.*</w:t>
      </w:r>
    </w:p>
    <w:p>
      <w:pPr>
        <w:spacing w:after="0" w:line="27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By 2021, compost</w:t>
      </w:r>
    </w:p>
    <w:p>
      <w:pPr>
        <w:ind w:left="1920"/>
        <w:spacing w:after="0" w:line="234" w:lineRule="auto"/>
        <w:rPr>
          <w:sz w:val="20"/>
          <w:szCs w:val="20"/>
          <w:color w:val="auto"/>
        </w:rPr>
      </w:pPr>
      <w:r>
        <w:rPr>
          <w:rFonts w:ascii="Arial" w:cs="Arial" w:eastAsia="Arial" w:hAnsi="Arial"/>
          <w:sz w:val="12"/>
          <w:szCs w:val="12"/>
          <w:color w:val="auto"/>
        </w:rPr>
        <w:t>food waste at all</w:t>
      </w:r>
    </w:p>
    <w:p>
      <w:pPr>
        <w:ind w:left="1920"/>
        <w:spacing w:after="0" w:line="235" w:lineRule="auto"/>
        <w:rPr>
          <w:sz w:val="20"/>
          <w:szCs w:val="20"/>
          <w:color w:val="auto"/>
        </w:rPr>
      </w:pPr>
      <w:r>
        <w:rPr>
          <w:rFonts w:ascii="Arial" w:cs="Arial" w:eastAsia="Arial" w:hAnsi="Arial"/>
          <w:sz w:val="12"/>
          <w:szCs w:val="12"/>
          <w:color w:val="auto"/>
        </w:rPr>
        <w:t>sites with more</w:t>
      </w:r>
    </w:p>
    <w:p>
      <w:pPr>
        <w:ind w:left="1920"/>
        <w:spacing w:after="0" w:line="235" w:lineRule="auto"/>
        <w:rPr>
          <w:sz w:val="20"/>
          <w:szCs w:val="20"/>
          <w:color w:val="auto"/>
        </w:rPr>
      </w:pPr>
      <w:r>
        <w:rPr>
          <w:rFonts w:ascii="Arial" w:cs="Arial" w:eastAsia="Arial" w:hAnsi="Arial"/>
          <w:sz w:val="12"/>
          <w:szCs w:val="12"/>
          <w:color w:val="auto"/>
        </w:rPr>
        <w:t>than 2,000</w:t>
      </w:r>
    </w:p>
    <w:p>
      <w:pPr>
        <w:ind w:left="1920"/>
        <w:spacing w:after="0"/>
        <w:rPr>
          <w:sz w:val="20"/>
          <w:szCs w:val="20"/>
          <w:color w:val="auto"/>
        </w:rPr>
      </w:pPr>
      <w:r>
        <w:rPr>
          <w:rFonts w:ascii="Arial" w:cs="Arial" w:eastAsia="Arial" w:hAnsi="Arial"/>
          <w:sz w:val="12"/>
          <w:szCs w:val="12"/>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168275</wp:posOffset>
            </wp:positionV>
            <wp:extent cx="1654175" cy="13373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54175" cy="133731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168275</wp:posOffset>
            </wp:positionV>
            <wp:extent cx="1654175" cy="13373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54175" cy="1337310"/>
                    </a:xfrm>
                    <a:prstGeom prst="rect">
                      <a:avLst/>
                    </a:prstGeom>
                    <a:noFill/>
                  </pic:spPr>
                </pic:pic>
              </a:graphicData>
            </a:graphic>
          </wp:anchor>
        </w:drawing>
      </w:r>
    </w:p>
    <w:p>
      <w:pPr>
        <w:spacing w:after="0" w:line="29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By 2021, engage</w:t>
      </w:r>
    </w:p>
    <w:p>
      <w:pPr>
        <w:ind w:left="1920"/>
        <w:spacing w:after="0" w:line="234" w:lineRule="auto"/>
        <w:rPr>
          <w:sz w:val="20"/>
          <w:szCs w:val="20"/>
          <w:color w:val="auto"/>
        </w:rPr>
      </w:pPr>
      <w:r>
        <w:rPr>
          <w:rFonts w:ascii="Arial" w:cs="Arial" w:eastAsia="Arial" w:hAnsi="Arial"/>
          <w:sz w:val="12"/>
          <w:szCs w:val="12"/>
          <w:color w:val="auto"/>
        </w:rPr>
        <w:t>our top 30</w:t>
      </w:r>
    </w:p>
    <w:p>
      <w:pPr>
        <w:ind w:left="1920"/>
        <w:spacing w:after="0" w:line="235" w:lineRule="auto"/>
        <w:rPr>
          <w:sz w:val="20"/>
          <w:szCs w:val="20"/>
          <w:color w:val="auto"/>
        </w:rPr>
      </w:pPr>
      <w:r>
        <w:rPr>
          <w:rFonts w:ascii="Arial" w:cs="Arial" w:eastAsia="Arial" w:hAnsi="Arial"/>
          <w:sz w:val="12"/>
          <w:szCs w:val="12"/>
          <w:color w:val="auto"/>
        </w:rPr>
        <w:t>suppliers,</w:t>
      </w:r>
    </w:p>
    <w:p>
      <w:pPr>
        <w:ind w:left="1920"/>
        <w:spacing w:after="0" w:line="235" w:lineRule="auto"/>
        <w:rPr>
          <w:sz w:val="20"/>
          <w:szCs w:val="20"/>
          <w:color w:val="auto"/>
        </w:rPr>
      </w:pPr>
      <w:r>
        <w:rPr>
          <w:rFonts w:ascii="Arial" w:cs="Arial" w:eastAsia="Arial" w:hAnsi="Arial"/>
          <w:sz w:val="12"/>
          <w:szCs w:val="12"/>
          <w:color w:val="auto"/>
        </w:rPr>
        <w:t>representing more</w:t>
      </w:r>
    </w:p>
    <w:p>
      <w:pPr>
        <w:ind w:left="1920"/>
        <w:spacing w:after="0" w:line="235" w:lineRule="auto"/>
        <w:rPr>
          <w:sz w:val="20"/>
          <w:szCs w:val="20"/>
          <w:color w:val="auto"/>
        </w:rPr>
      </w:pPr>
      <w:r>
        <w:rPr>
          <w:rFonts w:ascii="Arial" w:cs="Arial" w:eastAsia="Arial" w:hAnsi="Arial"/>
          <w:sz w:val="12"/>
          <w:szCs w:val="12"/>
          <w:color w:val="auto"/>
        </w:rPr>
        <w:t>than 50% of spend,</w:t>
      </w:r>
    </w:p>
    <w:p>
      <w:pPr>
        <w:ind w:left="1920"/>
        <w:spacing w:after="0"/>
        <w:rPr>
          <w:sz w:val="20"/>
          <w:szCs w:val="20"/>
          <w:color w:val="auto"/>
        </w:rPr>
      </w:pPr>
      <w:r>
        <w:rPr>
          <w:rFonts w:ascii="Arial" w:cs="Arial" w:eastAsia="Arial" w:hAnsi="Arial"/>
          <w:sz w:val="11"/>
          <w:szCs w:val="11"/>
          <w:color w:val="auto"/>
        </w:rPr>
        <w:t>to gather and report</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relevant scope 3</w:t>
      </w:r>
    </w:p>
    <w:p>
      <w:pPr>
        <w:ind w:left="1920"/>
        <w:spacing w:after="0" w:line="234" w:lineRule="auto"/>
        <w:rPr>
          <w:sz w:val="20"/>
          <w:szCs w:val="20"/>
          <w:color w:val="auto"/>
        </w:rPr>
      </w:pPr>
      <w:r>
        <w:rPr>
          <w:rFonts w:ascii="Arial" w:cs="Arial" w:eastAsia="Arial" w:hAnsi="Arial"/>
          <w:sz w:val="12"/>
          <w:szCs w:val="12"/>
          <w:color w:val="auto"/>
        </w:rPr>
        <w:t>greenhouse gas</w:t>
      </w:r>
    </w:p>
    <w:p>
      <w:pPr>
        <w:ind w:left="1920"/>
        <w:spacing w:after="0" w:line="235" w:lineRule="auto"/>
        <w:rPr>
          <w:sz w:val="20"/>
          <w:szCs w:val="20"/>
          <w:color w:val="auto"/>
        </w:rPr>
      </w:pPr>
      <w:r>
        <w:rPr>
          <w:rFonts w:ascii="Arial" w:cs="Arial" w:eastAsia="Arial" w:hAnsi="Arial"/>
          <w:sz w:val="12"/>
          <w:szCs w:val="12"/>
          <w:color w:val="auto"/>
        </w:rPr>
        <w:t>(GHG) emissions</w:t>
      </w:r>
    </w:p>
    <w:p>
      <w:pPr>
        <w:ind w:left="1920"/>
        <w:spacing w:after="0"/>
        <w:rPr>
          <w:sz w:val="20"/>
          <w:szCs w:val="20"/>
          <w:color w:val="auto"/>
        </w:rPr>
      </w:pPr>
      <w:r>
        <w:rPr>
          <w:rFonts w:ascii="Arial" w:cs="Arial" w:eastAsia="Arial" w:hAnsi="Arial"/>
          <w:sz w:val="12"/>
          <w:szCs w:val="12"/>
          <w:color w:val="auto"/>
        </w:rPr>
        <w:t>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1"/>
          <w:szCs w:val="11"/>
          <w:color w:val="auto"/>
        </w:rPr>
        <w:t>By 2023, set global sciencebased targets for scope 1 and 2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-473710</wp:posOffset>
            </wp:positionV>
            <wp:extent cx="5143500" cy="15087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By 2025, improve water efficiencies by implementing global water mapping strategy and water stewardship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82550</wp:posOffset>
            </wp:positionV>
            <wp:extent cx="1431925" cy="1071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31925" cy="1071245"/>
                    </a:xfrm>
                    <a:prstGeom prst="rect">
                      <a:avLst/>
                    </a:prstGeom>
                    <a:noFill/>
                  </pic:spPr>
                </pic:pic>
              </a:graphicData>
            </a:graphic>
          </wp:anchor>
        </w:drawing>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By 2025, develop and implement waste management plans to further increase our plastic recycling and reduce hazardous waste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777240</wp:posOffset>
            </wp:positionV>
            <wp:extent cx="1431925" cy="13373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3192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color w:val="auto"/>
        </w:rPr>
        <w:t>By 2025, match 50% of our electricity consumption with electricity from certified renewable energy sources.</w:t>
      </w:r>
    </w:p>
    <w:p>
      <w:pPr>
        <w:spacing w:after="0" w:line="265"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By 2025, invest in the production of renewable power to meet our long-term electricity needs.</w:t>
      </w:r>
    </w:p>
    <w:p>
      <w:pPr>
        <w:spacing w:after="0" w:line="280"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By 2025, reduce combined scope 1 &amp; 2 (market-based) GHG emissions per square meter by 30% based on 2016 peak baseline.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By 2035,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-120650</wp:posOffset>
            </wp:positionV>
            <wp:extent cx="796925" cy="13373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96925" cy="133731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2"/>
          <w:szCs w:val="12"/>
          <w:color w:val="auto"/>
        </w:rPr>
        <w:t>100% of our</w:t>
      </w:r>
    </w:p>
    <w:p>
      <w:pPr>
        <w:spacing w:after="0" w:line="235" w:lineRule="auto"/>
        <w:rPr>
          <w:sz w:val="20"/>
          <w:szCs w:val="20"/>
          <w:color w:val="auto"/>
        </w:rPr>
      </w:pPr>
      <w:r>
        <w:rPr>
          <w:rFonts w:ascii="Arial" w:cs="Arial" w:eastAsia="Arial" w:hAnsi="Arial"/>
          <w:sz w:val="12"/>
          <w:szCs w:val="12"/>
          <w:color w:val="auto"/>
        </w:rPr>
        <w:t>electricity</w:t>
      </w:r>
    </w:p>
    <w:p>
      <w:pPr>
        <w:spacing w:after="0" w:line="235" w:lineRule="auto"/>
        <w:rPr>
          <w:sz w:val="20"/>
          <w:szCs w:val="20"/>
          <w:color w:val="auto"/>
        </w:rPr>
      </w:pPr>
      <w:r>
        <w:rPr>
          <w:rFonts w:ascii="Arial" w:cs="Arial" w:eastAsia="Arial" w:hAnsi="Arial"/>
          <w:sz w:val="12"/>
          <w:szCs w:val="12"/>
          <w:color w:val="auto"/>
        </w:rPr>
        <w:t>consumption with</w:t>
      </w:r>
    </w:p>
    <w:p>
      <w:pPr>
        <w:spacing w:after="0" w:line="235" w:lineRule="auto"/>
        <w:rPr>
          <w:sz w:val="20"/>
          <w:szCs w:val="20"/>
          <w:color w:val="auto"/>
        </w:rPr>
      </w:pPr>
      <w:r>
        <w:rPr>
          <w:rFonts w:ascii="Arial" w:cs="Arial" w:eastAsia="Arial" w:hAnsi="Arial"/>
          <w:sz w:val="12"/>
          <w:szCs w:val="12"/>
          <w:color w:val="auto"/>
        </w:rPr>
        <w:t>electricity from</w:t>
      </w:r>
    </w:p>
    <w:p>
      <w:pPr>
        <w:spacing w:after="0"/>
        <w:rPr>
          <w:sz w:val="20"/>
          <w:szCs w:val="20"/>
          <w:color w:val="auto"/>
        </w:rPr>
      </w:pPr>
      <w:r>
        <w:rPr>
          <w:rFonts w:ascii="Arial" w:cs="Arial" w:eastAsia="Arial" w:hAnsi="Arial"/>
          <w:sz w:val="11"/>
          <w:szCs w:val="11"/>
          <w:color w:val="auto"/>
        </w:rPr>
        <w:t>certified renewable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energy sources.</w:t>
      </w:r>
    </w:p>
    <w:p>
      <w:pPr>
        <w:spacing w:after="0" w:line="1171" w:lineRule="exact"/>
        <w:rPr>
          <w:sz w:val="20"/>
          <w:szCs w:val="20"/>
          <w:color w:val="auto"/>
        </w:rPr>
      </w:pPr>
    </w:p>
    <w:p>
      <w:pPr>
        <w:sectPr>
          <w:pgSz w:w="11900" w:h="16838" w:orient="portrait"/>
          <w:cols w:equalWidth="0" w:num="4">
            <w:col w:w="2960" w:space="440"/>
            <w:col w:w="1000" w:space="500"/>
            <w:col w:w="2040" w:space="460"/>
            <w:col w:w="1619"/>
          </w:cols>
          <w:pgMar w:left="1440" w:top="405" w:right="1440" w:bottom="1440" w:gutter="0" w:footer="0" w:header="0"/>
          <w:type w:val="continuous"/>
        </w:sectPr>
      </w:pPr>
    </w:p>
    <w:p>
      <w:pPr>
        <w:spacing w:after="0" w:line="286" w:lineRule="exact"/>
        <w:rPr>
          <w:sz w:val="20"/>
          <w:szCs w:val="20"/>
          <w:color w:val="auto"/>
        </w:rPr>
      </w:pPr>
    </w:p>
    <w:p>
      <w:pPr>
        <w:ind w:left="1600"/>
        <w:spacing w:after="0"/>
        <w:tabs>
          <w:tab w:leader="none" w:pos="3040" w:val="left"/>
          <w:tab w:leader="none" w:pos="4540" w:val="left"/>
          <w:tab w:leader="none" w:pos="7040" w:val="left"/>
        </w:tabs>
        <w:rPr>
          <w:sz w:val="20"/>
          <w:szCs w:val="20"/>
          <w:color w:val="auto"/>
        </w:rPr>
      </w:pPr>
      <w:r>
        <w:rPr>
          <w:rFonts w:ascii="Arial" w:cs="Arial" w:eastAsia="Arial" w:hAnsi="Arial"/>
          <w:sz w:val="12"/>
          <w:szCs w:val="12"/>
          <w:b w:val="1"/>
          <w:bCs w:val="1"/>
          <w:color w:val="699D58"/>
        </w:rPr>
        <w:t>2021</w:t>
      </w:r>
      <w:r>
        <w:rPr>
          <w:sz w:val="20"/>
          <w:szCs w:val="20"/>
          <w:color w:val="auto"/>
        </w:rPr>
        <w:tab/>
      </w:r>
      <w:r>
        <w:rPr>
          <w:rFonts w:ascii="Arial" w:cs="Arial" w:eastAsia="Arial" w:hAnsi="Arial"/>
          <w:sz w:val="12"/>
          <w:szCs w:val="12"/>
          <w:b w:val="1"/>
          <w:bCs w:val="1"/>
          <w:color w:val="699D58"/>
        </w:rPr>
        <w:t>2023</w:t>
      </w:r>
      <w:r>
        <w:rPr>
          <w:sz w:val="20"/>
          <w:szCs w:val="20"/>
          <w:color w:val="auto"/>
        </w:rPr>
        <w:tab/>
      </w:r>
      <w:r>
        <w:rPr>
          <w:rFonts w:ascii="Arial" w:cs="Arial" w:eastAsia="Arial" w:hAnsi="Arial"/>
          <w:sz w:val="12"/>
          <w:szCs w:val="12"/>
          <w:b w:val="1"/>
          <w:bCs w:val="1"/>
          <w:color w:val="699D58"/>
        </w:rPr>
        <w:t>2025</w:t>
      </w:r>
      <w:r>
        <w:rPr>
          <w:sz w:val="20"/>
          <w:szCs w:val="20"/>
          <w:color w:val="auto"/>
        </w:rPr>
        <w:tab/>
      </w:r>
      <w:r>
        <w:rPr>
          <w:rFonts w:ascii="Arial" w:cs="Arial" w:eastAsia="Arial" w:hAnsi="Arial"/>
          <w:sz w:val="9"/>
          <w:szCs w:val="9"/>
          <w:b w:val="1"/>
          <w:bCs w:val="1"/>
          <w:color w:val="699D58"/>
        </w:rPr>
        <w:t>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106045</wp:posOffset>
            </wp:positionV>
            <wp:extent cx="50831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4"/>
          <w:szCs w:val="14"/>
          <w:color w:val="231F20"/>
        </w:rPr>
        <w:t>*Excludes construction and demolition waste</w:t>
      </w:r>
    </w:p>
    <w:p>
      <w:pPr>
        <w:spacing w:after="0" w:line="155" w:lineRule="exact"/>
        <w:rPr>
          <w:sz w:val="20"/>
          <w:szCs w:val="20"/>
          <w:color w:val="auto"/>
        </w:rPr>
      </w:pPr>
    </w:p>
    <w:p>
      <w:pPr>
        <w:ind w:left="460" w:right="559"/>
        <w:spacing w:after="0"/>
        <w:rPr>
          <w:sz w:val="20"/>
          <w:szCs w:val="20"/>
          <w:color w:val="auto"/>
        </w:rPr>
      </w:pPr>
      <w:r>
        <w:rPr>
          <w:rFonts w:ascii="Arial" w:cs="Arial" w:eastAsia="Arial" w:hAnsi="Arial"/>
          <w:sz w:val="15"/>
          <w:szCs w:val="15"/>
          <w:color w:val="231F20"/>
        </w:rPr>
        <w:t>We also strengthen our communities through strategic philanthropic investments, product donations, and the power of our employees’ talents and time. We are a long-standing supporter of science, technology, engineering and math (“STEM”) education, and make major philanthropic investments to inspire and celebrate future scientific innovators, including our ten-year, $100-million commitment to the Regeneron Science Talent Search, the nation’s most prestigious pre-college science and mathematics competition; and our new five-year, $24-million commitment to the Regeneron International Science and Engineering Fair, the world’s largest pre-college science and engineering competition. We also launched the Regeneron DNA Learning Center, a program of Cold Spring Harbor Laboratory, in 2019. Equipped with two state-of-the-art teaching labs, this interactive educational center hosts local middle- and high-school field trips during the academic year, summer camps, and extended research projects. Overall, STEM education represents approximately 86% of our corporate philanthropy grants made in 2019, not including medical grants and matched funds.</w:t>
      </w:r>
    </w:p>
    <w:p>
      <w:pPr>
        <w:spacing w:after="0" w:line="200" w:lineRule="exact"/>
        <w:rPr>
          <w:sz w:val="20"/>
          <w:szCs w:val="20"/>
          <w:color w:val="auto"/>
        </w:rPr>
      </w:pPr>
    </w:p>
    <w:p>
      <w:pPr>
        <w:spacing w:after="0" w:line="25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38  </w:t>
      </w:r>
      <w:r>
        <w:rPr>
          <w:rFonts w:ascii="Arial" w:cs="Arial" w:eastAsia="Arial" w:hAnsi="Arial"/>
          <w:sz w:val="14"/>
          <w:szCs w:val="14"/>
          <w:color w:val="205BA8"/>
        </w:rPr>
        <w:t xml:space="preserve">/  </w:t>
      </w:r>
      <w:r>
        <w:rPr>
          <w:sz w:val="1"/>
          <w:szCs w:val="1"/>
          <w:color w:val="auto"/>
        </w:rPr>
        <w:drawing>
          <wp:inline distT="0" distB="0" distL="0" distR="0">
            <wp:extent cx="745490" cy="8572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05BA8"/>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49" w:name="page50"/>
    <w:bookmarkEnd w:id="49"/>
    <w:p>
      <w:pPr>
        <w:ind w:left="594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30" w:lineRule="exact"/>
        <w:rPr>
          <w:sz w:val="20"/>
          <w:szCs w:val="20"/>
          <w:color w:val="auto"/>
        </w:rPr>
      </w:pPr>
    </w:p>
    <w:p>
      <w:pPr>
        <w:ind w:left="1580" w:right="1660"/>
        <w:spacing w:after="0"/>
        <w:rPr>
          <w:sz w:val="20"/>
          <w:szCs w:val="20"/>
          <w:color w:val="auto"/>
        </w:rPr>
      </w:pPr>
      <w:r>
        <w:rPr>
          <w:rFonts w:ascii="Arial" w:cs="Arial" w:eastAsia="Arial" w:hAnsi="Arial"/>
          <w:sz w:val="15"/>
          <w:szCs w:val="15"/>
          <w:color w:val="231F20"/>
        </w:rPr>
        <w:t xml:space="preserve">In 2019, 59% of Regeneron worldwide employees donated more than 27,800 hours to local non-profit organizations through our volunteer programs. This is in the top-quartile of corporate volunteer participation rates, and well above the 33% corporate average rate, according to a benchmarking study published in 2019 by </w:t>
      </w:r>
      <w:r>
        <w:rPr>
          <w:rFonts w:ascii="Arial" w:cs="Arial" w:eastAsia="Arial" w:hAnsi="Arial"/>
          <w:sz w:val="15"/>
          <w:szCs w:val="15"/>
          <w:i w:val="1"/>
          <w:iCs w:val="1"/>
          <w:color w:val="231F20"/>
        </w:rPr>
        <w:t>Chief Executives for</w:t>
      </w:r>
      <w:r>
        <w:rPr>
          <w:rFonts w:ascii="Arial" w:cs="Arial" w:eastAsia="Arial" w:hAnsi="Arial"/>
          <w:sz w:val="15"/>
          <w:szCs w:val="15"/>
          <w:color w:val="231F20"/>
        </w:rPr>
        <w:t xml:space="preserve"> </w:t>
      </w:r>
      <w:r>
        <w:rPr>
          <w:rFonts w:ascii="Arial" w:cs="Arial" w:eastAsia="Arial" w:hAnsi="Arial"/>
          <w:sz w:val="15"/>
          <w:szCs w:val="15"/>
          <w:i w:val="1"/>
          <w:iCs w:val="1"/>
          <w:color w:val="231F20"/>
        </w:rPr>
        <w:t>Corporate Purpose</w:t>
      </w:r>
      <w:r>
        <w:rPr>
          <w:rFonts w:ascii="Arial" w:cs="Arial" w:eastAsia="Arial" w:hAnsi="Arial"/>
          <w:sz w:val="15"/>
          <w:szCs w:val="15"/>
          <w:color w:val="231F20"/>
        </w:rPr>
        <w:t>. We also held our third annual Day for Doing Good, a company-wide day of service that had 57%</w:t>
      </w:r>
      <w:r>
        <w:rPr>
          <w:rFonts w:ascii="Arial" w:cs="Arial" w:eastAsia="Arial" w:hAnsi="Arial"/>
          <w:sz w:val="15"/>
          <w:szCs w:val="15"/>
          <w:i w:val="1"/>
          <w:iCs w:val="1"/>
          <w:color w:val="231F20"/>
        </w:rPr>
        <w:t xml:space="preserve"> </w:t>
      </w:r>
      <w:r>
        <w:rPr>
          <w:rFonts w:ascii="Arial" w:cs="Arial" w:eastAsia="Arial" w:hAnsi="Arial"/>
          <w:sz w:val="15"/>
          <w:szCs w:val="15"/>
          <w:color w:val="231F20"/>
        </w:rPr>
        <w:t>employee participation — a record high for the Company. We are proud to be recognized for the third consecutive year as one of the 50 most community-minded companies in the United States by the non-profit organization Points of Light.</w:t>
      </w:r>
    </w:p>
    <w:p>
      <w:pPr>
        <w:spacing w:after="0" w:line="261" w:lineRule="exact"/>
        <w:rPr>
          <w:sz w:val="20"/>
          <w:szCs w:val="20"/>
          <w:color w:val="auto"/>
        </w:rPr>
      </w:pPr>
    </w:p>
    <w:p>
      <w:pPr>
        <w:ind w:left="1580" w:right="2180"/>
        <w:spacing w:after="0" w:line="242" w:lineRule="auto"/>
        <w:rPr>
          <w:sz w:val="20"/>
          <w:szCs w:val="20"/>
          <w:color w:val="auto"/>
        </w:rPr>
      </w:pPr>
      <w:r>
        <w:rPr>
          <w:rFonts w:ascii="Arial" w:cs="Arial" w:eastAsia="Arial" w:hAnsi="Arial"/>
          <w:sz w:val="15"/>
          <w:szCs w:val="15"/>
          <w:color w:val="231F20"/>
        </w:rPr>
        <w:t>For more information about our responsibility efforts and results, please refer to the 2019 Responsibility Report available on our website.</w:t>
      </w:r>
    </w:p>
    <w:p>
      <w:pPr>
        <w:spacing w:after="0" w:line="250"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PUBLIC POLICY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372" w:lineRule="exact"/>
        <w:rPr>
          <w:sz w:val="20"/>
          <w:szCs w:val="20"/>
          <w:color w:val="auto"/>
        </w:rPr>
      </w:pPr>
    </w:p>
    <w:p>
      <w:pPr>
        <w:ind w:left="1580" w:right="1700"/>
        <w:spacing w:after="0" w:line="230" w:lineRule="auto"/>
        <w:rPr>
          <w:sz w:val="20"/>
          <w:szCs w:val="20"/>
          <w:color w:val="auto"/>
        </w:rPr>
      </w:pPr>
      <w:r>
        <w:rPr>
          <w:rFonts w:ascii="Arial" w:cs="Arial" w:eastAsia="Arial" w:hAnsi="Arial"/>
          <w:sz w:val="15"/>
          <w:szCs w:val="15"/>
          <w:color w:val="231F20"/>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cs="Arial" w:eastAsia="Arial" w:hAnsi="Arial"/>
          <w:sz w:val="15"/>
          <w:szCs w:val="15"/>
          <w:b w:val="1"/>
          <w:bCs w:val="1"/>
          <w:color w:val="231F20"/>
        </w:rPr>
        <w:t>www.regeneron.com</w:t>
      </w:r>
      <w:r>
        <w:rPr>
          <w:rFonts w:ascii="Arial" w:cs="Arial" w:eastAsia="Arial" w:hAnsi="Arial"/>
          <w:sz w:val="15"/>
          <w:szCs w:val="15"/>
          <w:color w:val="231F20"/>
        </w:rPr>
        <w:t xml:space="preserve"> under the “Transparency &amp; Policies” heading on the “Responsibility” page.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05BA8"/>
              </w:rPr>
              <w:t>2019 PROXY STATEMENT AND NOTICE OF ANNUAL SHAREHOLDER MEETING</w:t>
            </w:r>
          </w:p>
        </w:tc>
        <w:tc>
          <w:tcPr>
            <w:tcW w:w="3200" w:type="dxa"/>
            <w:vAlign w:val="bottom"/>
          </w:tcPr>
          <w:p>
            <w:pPr>
              <w:jc w:val="right"/>
              <w:ind w:right="1137"/>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4"/>
                <w:szCs w:val="14"/>
                <w:b w:val="1"/>
                <w:bCs w:val="1"/>
                <w:color w:val="00A5EC"/>
              </w:rPr>
              <w:t>39</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-290830</wp:posOffset>
            </wp:positionV>
            <wp:extent cx="74549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0" w:name="page51"/>
    <w:bookmarkEnd w:id="50"/>
    <w:p>
      <w:pPr>
        <w:ind w:left="360" w:right="1579"/>
        <w:spacing w:after="0" w:line="280" w:lineRule="auto"/>
        <w:rPr>
          <w:sz w:val="20"/>
          <w:szCs w:val="20"/>
          <w:color w:val="auto"/>
        </w:rPr>
      </w:pPr>
      <w:r>
        <w:rPr>
          <w:rFonts w:ascii="Arial" w:cs="Arial" w:eastAsia="Arial" w:hAnsi="Arial"/>
          <w:sz w:val="46"/>
          <w:szCs w:val="46"/>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515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51585"/>
                    </a:xfrm>
                    <a:prstGeom prst="rect">
                      <a:avLst/>
                    </a:prstGeom>
                    <a:noFill/>
                  </pic:spPr>
                </pic:pic>
              </a:graphicData>
            </a:graphic>
          </wp:anchor>
        </w:drawing>
        <w:t>CERTAIN RELATIONSHIPS AND RELATED TRANSACTIONS</w:t>
      </w: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REVIEW, APPROVAL, OR RATIFICATION OF</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0920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579"/>
        <w:spacing w:after="0" w:line="227" w:lineRule="auto"/>
        <w:rPr>
          <w:sz w:val="20"/>
          <w:szCs w:val="20"/>
          <w:color w:val="auto"/>
        </w:rPr>
      </w:pPr>
      <w:r>
        <w:rPr>
          <w:rFonts w:ascii="Arial" w:cs="Arial" w:eastAsia="Arial" w:hAnsi="Arial"/>
          <w:sz w:val="15"/>
          <w:szCs w:val="15"/>
          <w:color w:val="231F20"/>
        </w:rPr>
        <w:t>The board of directors has adopted a written policy for the review, approval, or ratification of related person transactions. The Company considers transactions (or a series of related transactions) in which the Company is a participant, the amount involved exceeds $ 10,000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transactions where all shareholders receive proportional benefits, and certain transactions with Sanofi.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143" w:lineRule="exact"/>
        <w:rPr>
          <w:sz w:val="20"/>
          <w:szCs w:val="20"/>
          <w:color w:val="auto"/>
        </w:rPr>
      </w:pPr>
    </w:p>
    <w:p>
      <w:pPr>
        <w:ind w:left="460" w:right="779"/>
        <w:spacing w:after="0" w:line="230" w:lineRule="auto"/>
        <w:rPr>
          <w:sz w:val="20"/>
          <w:szCs w:val="20"/>
          <w:color w:val="auto"/>
        </w:rPr>
      </w:pPr>
      <w:r>
        <w:rPr>
          <w:rFonts w:ascii="Arial" w:cs="Arial" w:eastAsia="Arial" w:hAnsi="Arial"/>
          <w:sz w:val="15"/>
          <w:szCs w:val="15"/>
          <w:color w:val="231F20"/>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42" w:lineRule="exact"/>
        <w:rPr>
          <w:sz w:val="20"/>
          <w:szCs w:val="20"/>
          <w:color w:val="auto"/>
        </w:rPr>
      </w:pPr>
    </w:p>
    <w:p>
      <w:pPr>
        <w:ind w:left="460" w:right="559"/>
        <w:spacing w:after="0" w:line="230" w:lineRule="auto"/>
        <w:rPr>
          <w:sz w:val="20"/>
          <w:szCs w:val="20"/>
          <w:color w:val="auto"/>
        </w:rPr>
      </w:pPr>
      <w:r>
        <w:rPr>
          <w:rFonts w:ascii="Arial" w:cs="Arial" w:eastAsia="Arial" w:hAnsi="Arial"/>
          <w:sz w:val="15"/>
          <w:szCs w:val="15"/>
          <w:color w:val="231F20"/>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Collaborations with Sanofi</w:t>
      </w:r>
    </w:p>
    <w:p>
      <w:pPr>
        <w:spacing w:after="0" w:line="217" w:lineRule="exact"/>
        <w:rPr>
          <w:sz w:val="20"/>
          <w:szCs w:val="20"/>
          <w:color w:val="auto"/>
        </w:rPr>
      </w:pPr>
    </w:p>
    <w:p>
      <w:pPr>
        <w:ind w:left="460" w:right="1039"/>
        <w:spacing w:after="0" w:line="242" w:lineRule="auto"/>
        <w:rPr>
          <w:sz w:val="20"/>
          <w:szCs w:val="20"/>
          <w:color w:val="auto"/>
        </w:rPr>
      </w:pPr>
      <w:r>
        <w:rPr>
          <w:rFonts w:ascii="Arial" w:cs="Arial" w:eastAsia="Arial" w:hAnsi="Arial"/>
          <w:sz w:val="15"/>
          <w:szCs w:val="15"/>
          <w:color w:val="231F20"/>
        </w:rPr>
        <w:t>As the beneficial owner of 23,221,451 shares of common stock of the Company, or 21.0% of the common stock outstanding as of April 14, 2020, Sanofi is considered a related person of the Company.</w:t>
      </w:r>
    </w:p>
    <w:p>
      <w:pPr>
        <w:spacing w:after="0" w:line="138" w:lineRule="exact"/>
        <w:rPr>
          <w:sz w:val="20"/>
          <w:szCs w:val="20"/>
          <w:color w:val="auto"/>
        </w:rPr>
      </w:pPr>
    </w:p>
    <w:p>
      <w:pPr>
        <w:ind w:left="460" w:right="619"/>
        <w:spacing w:after="0"/>
        <w:rPr>
          <w:sz w:val="20"/>
          <w:szCs w:val="20"/>
          <w:color w:val="auto"/>
        </w:rPr>
      </w:pPr>
      <w:r>
        <w:rPr>
          <w:rFonts w:ascii="Arial" w:cs="Arial" w:eastAsia="Arial" w:hAnsi="Arial"/>
          <w:sz w:val="15"/>
          <w:szCs w:val="15"/>
          <w:color w:val="231F20"/>
        </w:rPr>
        <w:t>In 2019, Sanofi funded $964.3 million of our development and other costs (including $479.9 million of commercialization-related expenses and $206.7 million in connection with reimbursements for manufacturing commercial supplies) under the Amended and Restated License and Collaboration Agreement (the “Antibody License and Collaboration Agreement”). In 2019, we also funded an aggregate of $46.0 million of Sanofi’s Phase 3 development costs for Dupixent, Praluent, and Kevzara under the Antibody License and Collaboration Agreement. In addition, in 2019, we and Sanofi shared profits in connection with commercialization-related activities for Dupixent, Praluent, and Kevzara, which resulted in us receiving $209.3 million of such profits in the aggregate. In 2020, subject to the</w:t>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40  </w:t>
      </w:r>
      <w:r>
        <w:rPr>
          <w:rFonts w:ascii="Arial" w:cs="Arial" w:eastAsia="Arial" w:hAnsi="Arial"/>
          <w:sz w:val="14"/>
          <w:szCs w:val="14"/>
          <w:color w:val="205BA8"/>
        </w:rPr>
        <w:t xml:space="preserve">/  </w:t>
      </w:r>
      <w:r>
        <w:rPr>
          <w:sz w:val="1"/>
          <w:szCs w:val="1"/>
          <w:color w:val="auto"/>
        </w:rPr>
        <w:drawing>
          <wp:inline distT="0" distB="0" distL="0" distR="0">
            <wp:extent cx="745490" cy="8572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05BA8"/>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51" w:name="page52"/>
    <w:bookmarkEnd w:id="51"/>
    <w:p>
      <w:pPr>
        <w:ind w:left="360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30" w:lineRule="exact"/>
        <w:rPr>
          <w:sz w:val="20"/>
          <w:szCs w:val="20"/>
          <w:color w:val="auto"/>
        </w:rPr>
      </w:pPr>
    </w:p>
    <w:p>
      <w:pPr>
        <w:ind w:left="1580" w:right="1660"/>
        <w:spacing w:after="0" w:line="228" w:lineRule="auto"/>
        <w:rPr>
          <w:sz w:val="20"/>
          <w:szCs w:val="20"/>
          <w:color w:val="auto"/>
        </w:rPr>
      </w:pPr>
      <w:r>
        <w:rPr>
          <w:rFonts w:ascii="Arial" w:cs="Arial" w:eastAsia="Arial" w:hAnsi="Arial"/>
          <w:sz w:val="15"/>
          <w:szCs w:val="15"/>
          <w:color w:val="231F20"/>
        </w:rPr>
        <w:t>following sentence, Sanofi has continued to fund the agreed-upon worldwide research and development expenses incurred by us and Sanofi; we have continued to fund certain Phase 3 development costs; and we and Sanofi have continued to share certain commercialization-related revenues and expenses under the Antibody License and Collaboration Agreement. Effective April 1, 2020, we and Sanofi amended the Antibody License and Collaboration Agreement to remove Praluent from the agreement such that, among other things, the agreement no longer governs the development, manufacture, or commercialization of Praluent; we and Sanofi entered into the Praluent Cross License &amp; Commercialization Agreement whereby we, at our sole cost, are solely responsible for the development and commercialization of Praluent in the United States, and Sanofi, at its sole cost, is solely responsible for the development and commercialization of Praluent outside of the United States; and under the Praluent Cross License &amp; Commercialization Agreement, Sanofi pays us a 5% royalty on Sanofi’s net product sales of Praluent outside the United States until March 31, 2032.</w:t>
      </w:r>
    </w:p>
    <w:p>
      <w:pPr>
        <w:spacing w:after="0" w:line="142" w:lineRule="exact"/>
        <w:rPr>
          <w:sz w:val="20"/>
          <w:szCs w:val="20"/>
          <w:color w:val="auto"/>
        </w:rPr>
      </w:pPr>
    </w:p>
    <w:p>
      <w:pPr>
        <w:ind w:left="1580" w:right="1740"/>
        <w:spacing w:after="0" w:line="225" w:lineRule="auto"/>
        <w:rPr>
          <w:sz w:val="20"/>
          <w:szCs w:val="20"/>
          <w:color w:val="auto"/>
        </w:rPr>
      </w:pPr>
      <w:r>
        <w:rPr>
          <w:rFonts w:ascii="Arial" w:cs="Arial" w:eastAsia="Arial" w:hAnsi="Arial"/>
          <w:sz w:val="15"/>
          <w:szCs w:val="15"/>
          <w:color w:val="231F20"/>
        </w:rPr>
        <w:t>In 2019, Sanofi also funded $54.1 million of our research and development expenses under the Amended and Restated Immuno-oncology Discovery and Development Agreement (the “Amended IO Discovery Agreement”) and $108.9 million under the Immuno-oncology License and Collaboration Agreement. In addition, in 2019, Sanofi funded $10.3 million of commercialization-related expenses under the Immuno-oncology License and Collaboration Agreement and we recognized $92.7 million of revenue that was previously deferred from upfront payments received. In connection with the entry into the Amended IO Discovery Agreement, which was effective as of December 31, 2018, Sanofi also made a payment of $461.9 million to us in 2019 as consideration for (x) the termination of the parties’ original Immuno-oncology Discovery and Development Agreement (the “Original IO Discovery Agreement”),</w:t>
      </w:r>
    </w:p>
    <w:p>
      <w:pPr>
        <w:spacing w:after="0" w:line="2" w:lineRule="exact"/>
        <w:rPr>
          <w:sz w:val="20"/>
          <w:szCs w:val="20"/>
          <w:color w:val="auto"/>
        </w:rPr>
      </w:pPr>
    </w:p>
    <w:p>
      <w:pPr>
        <w:ind w:left="1580" w:right="1780" w:hanging="6"/>
        <w:spacing w:after="0" w:line="228" w:lineRule="auto"/>
        <w:tabs>
          <w:tab w:leader="none" w:pos="1801" w:val="left"/>
        </w:tabs>
        <w:numPr>
          <w:ilvl w:val="0"/>
          <w:numId w:val="57"/>
        </w:numPr>
        <w:rPr>
          <w:rFonts w:ascii="Arial" w:cs="Arial" w:eastAsia="Arial" w:hAnsi="Arial"/>
          <w:sz w:val="15"/>
          <w:szCs w:val="15"/>
          <w:color w:val="231F20"/>
        </w:rPr>
      </w:pPr>
      <w:r>
        <w:rPr>
          <w:rFonts w:ascii="Arial" w:cs="Arial" w:eastAsia="Arial" w:hAnsi="Arial"/>
          <w:sz w:val="15"/>
          <w:szCs w:val="15"/>
          <w:color w:val="231F20"/>
        </w:rPr>
        <w:t>the prepayment of certain discovery and development activities conducted by us regarding the development of certain therapeutic bi-specific antibodies, and (z) the reimbursement of costs we incurred under the Original IO Discovery Agreement during the fourth quarter of 2018. In 2020, we and Sanofi have continued to share certain development expenses for cemiplimab under the Immuno-oncology License and Collaboration Agreement (as amended effective as of January 7, 2018 by the letter agreement discussed below). In addition, if Sanofi elects to co-develop a therapeutic bi-specific antibody targeting BCMA and CD3 (a “BCMAxCD3 Program Antibody”) or MUC16 and CD3 (a “MUC16xCD3 Program Antibody”) under our immuno-oncology collaboration, Sanofi will initially fund almost all of the development expenses incurred in connection with the development of such BCMAxCD3 Program Antibody, for which Sanofi will be the principal controlling party, and half of the development expenses incurred in connection with the clinical development of such MUC16xCD3 Program Antibody, for which we will be the principal controlling party.</w:t>
      </w:r>
    </w:p>
    <w:p>
      <w:pPr>
        <w:spacing w:after="0" w:line="142" w:lineRule="exact"/>
        <w:rPr>
          <w:sz w:val="20"/>
          <w:szCs w:val="20"/>
          <w:color w:val="auto"/>
        </w:rPr>
      </w:pPr>
    </w:p>
    <w:p>
      <w:pPr>
        <w:ind w:left="1580" w:right="1740"/>
        <w:spacing w:after="0" w:line="235" w:lineRule="auto"/>
        <w:rPr>
          <w:sz w:val="20"/>
          <w:szCs w:val="20"/>
          <w:color w:val="auto"/>
        </w:rPr>
      </w:pPr>
      <w:r>
        <w:rPr>
          <w:rFonts w:ascii="Arial" w:cs="Arial" w:eastAsia="Arial" w:hAnsi="Arial"/>
          <w:sz w:val="15"/>
          <w:szCs w:val="15"/>
          <w:color w:val="231F20"/>
        </w:rPr>
        <w:t>A description of our antibody collaboration and our immuno-oncology collaboration with Sanofi is set forth in Note 3 to our audited financial statements for the fiscal year ended December 31, 2019 included in the 2019 Annual Report under the heading “a. Sanofi — Antibody” and “a. Sanofi — Immuno-Oncology,” respectively.</w:t>
      </w:r>
    </w:p>
    <w:p>
      <w:pPr>
        <w:spacing w:after="0" w:line="151" w:lineRule="exact"/>
        <w:rPr>
          <w:sz w:val="20"/>
          <w:szCs w:val="20"/>
          <w:color w:val="auto"/>
        </w:rPr>
      </w:pPr>
    </w:p>
    <w:p>
      <w:pPr>
        <w:ind w:left="1580" w:right="1820"/>
        <w:spacing w:after="0" w:line="204" w:lineRule="auto"/>
        <w:rPr>
          <w:sz w:val="20"/>
          <w:szCs w:val="20"/>
          <w:color w:val="auto"/>
        </w:rPr>
      </w:pPr>
      <w:r>
        <w:rPr>
          <w:rFonts w:ascii="Arial" w:cs="Arial" w:eastAsia="Arial" w:hAnsi="Arial"/>
          <w:sz w:val="15"/>
          <w:szCs w:val="15"/>
          <w:color w:val="231F20"/>
        </w:rPr>
        <w:t>In 2019, we recorded $26.0 million of revenue primarily related to a percentage of net sales of ZALTRAP</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(ziv-aflibercept) Injection for Intravenous Infusion and manufacturing ZALTRAP commercial supplies for Sanofi under the amended and restated collaboration agreement relating to ZALTRAP.</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Amended and Restated Investor Agreement with Sanofi; 2018 Letter Agreement</w:t>
      </w:r>
    </w:p>
    <w:p>
      <w:pPr>
        <w:spacing w:after="0" w:line="217" w:lineRule="exact"/>
        <w:rPr>
          <w:sz w:val="20"/>
          <w:szCs w:val="20"/>
          <w:color w:val="auto"/>
        </w:rPr>
      </w:pPr>
    </w:p>
    <w:p>
      <w:pPr>
        <w:ind w:left="1580" w:right="1680"/>
        <w:spacing w:after="0" w:line="229" w:lineRule="auto"/>
        <w:rPr>
          <w:sz w:val="20"/>
          <w:szCs w:val="20"/>
          <w:color w:val="auto"/>
        </w:rPr>
      </w:pPr>
      <w:r>
        <w:rPr>
          <w:rFonts w:ascii="Arial" w:cs="Arial" w:eastAsia="Arial" w:hAnsi="Arial"/>
          <w:sz w:val="15"/>
          <w:szCs w:val="15"/>
          <w:color w:val="231F20"/>
        </w:rPr>
        <w:t>In January 2014, we entered into an Amended and Restated Investor Agreement with Sanofi, which was subsequently amended effective as of January 7, 2018 by the letter agreement discussed below. Pursuant to the Amended and Restated Investor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141" w:lineRule="exact"/>
        <w:rPr>
          <w:sz w:val="20"/>
          <w:szCs w:val="20"/>
          <w:color w:val="auto"/>
        </w:rPr>
      </w:pPr>
    </w:p>
    <w:p>
      <w:pPr>
        <w:ind w:left="1580" w:right="1680"/>
        <w:spacing w:after="0"/>
        <w:rPr>
          <w:sz w:val="20"/>
          <w:szCs w:val="20"/>
          <w:color w:val="auto"/>
        </w:rPr>
      </w:pPr>
      <w:r>
        <w:rPr>
          <w:rFonts w:ascii="Arial" w:cs="Arial" w:eastAsia="Arial" w:hAnsi="Arial"/>
          <w:sz w:val="15"/>
          <w:szCs w:val="15"/>
          <w:color w:val="231F20"/>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discussed below) Sanofi maintains an equity interest in us that is equal to the applicable Highest Percentage Threshold (as defined below). This designee is required to be “independent” of Regeneron, as determined under Nasdaq rules, and to not be a current or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05BA8"/>
              </w:rPr>
              <w:t>2019 PROXY STATEMENT AND NOTICE OF ANNUAL SHAREHOLDER MEETING</w:t>
            </w:r>
          </w:p>
        </w:tc>
        <w:tc>
          <w:tcPr>
            <w:tcW w:w="3200" w:type="dxa"/>
            <w:vAlign w:val="bottom"/>
          </w:tcPr>
          <w:p>
            <w:pPr>
              <w:jc w:val="right"/>
              <w:ind w:right="1137"/>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4"/>
                <w:szCs w:val="14"/>
                <w:b w:val="1"/>
                <w:bCs w:val="1"/>
                <w:color w:val="00A5EC"/>
              </w:rPr>
              <w:t>41</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-290830</wp:posOffset>
            </wp:positionV>
            <wp:extent cx="74549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2" w:name="page53"/>
    <w:bookmarkEnd w:id="52"/>
    <w:p>
      <w:pPr>
        <w:ind w:left="46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30" w:lineRule="exact"/>
        <w:rPr>
          <w:sz w:val="20"/>
          <w:szCs w:val="20"/>
          <w:color w:val="auto"/>
        </w:rPr>
      </w:pPr>
    </w:p>
    <w:p>
      <w:pPr>
        <w:jc w:val="both"/>
        <w:ind w:left="460" w:right="579"/>
        <w:spacing w:after="0" w:line="235" w:lineRule="auto"/>
        <w:rPr>
          <w:sz w:val="20"/>
          <w:szCs w:val="20"/>
          <w:color w:val="auto"/>
        </w:rPr>
      </w:pPr>
      <w:r>
        <w:rPr>
          <w:rFonts w:ascii="Arial" w:cs="Arial" w:eastAsia="Arial" w:hAnsi="Arial"/>
          <w:sz w:val="15"/>
          <w:szCs w:val="15"/>
          <w:color w:val="231F20"/>
        </w:rPr>
        <w:t>former officer, director, employee, or paid consultant of Sanofi. The current Sanofi designee, Dr. Coles, was elected by the board of directors in January 2017 and by the shareholders at the 2017 Annual Meeting as a Class II director, and has been nominated by the board for reelection at the 2020 Annual Meeting.</w:t>
      </w:r>
    </w:p>
    <w:p>
      <w:pPr>
        <w:spacing w:after="0" w:line="141" w:lineRule="exact"/>
        <w:rPr>
          <w:sz w:val="20"/>
          <w:szCs w:val="20"/>
          <w:color w:val="auto"/>
        </w:rPr>
      </w:pPr>
    </w:p>
    <w:p>
      <w:pPr>
        <w:ind w:left="460" w:right="559"/>
        <w:spacing w:after="0" w:line="229" w:lineRule="auto"/>
        <w:rPr>
          <w:sz w:val="20"/>
          <w:szCs w:val="20"/>
          <w:color w:val="auto"/>
        </w:rPr>
      </w:pPr>
      <w:r>
        <w:rPr>
          <w:rFonts w:ascii="Arial" w:cs="Arial" w:eastAsia="Arial" w:hAnsi="Arial"/>
          <w:sz w:val="15"/>
          <w:szCs w:val="15"/>
          <w:color w:val="231F20"/>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December 20, 2020 (other than with respect to an aggregate of 1,400,000 shares, as to which we have agreed to waive such “lock-up” during the term of the letter agreement and of which 740,914 shares remained available to be sold as of April 14, 2020). These restrictions on dispositions are subject to earlier termination upon the occurrence of certain events, such as the consummation of a change-of-control transaction involving us or a dissolution or liquidation of Regeneron.</w:t>
      </w:r>
    </w:p>
    <w:p>
      <w:pPr>
        <w:spacing w:after="0" w:line="141" w:lineRule="exact"/>
        <w:rPr>
          <w:sz w:val="20"/>
          <w:szCs w:val="20"/>
          <w:color w:val="auto"/>
        </w:rPr>
      </w:pPr>
    </w:p>
    <w:p>
      <w:pPr>
        <w:ind w:left="460" w:right="679"/>
        <w:spacing w:after="0" w:line="225" w:lineRule="auto"/>
        <w:rPr>
          <w:sz w:val="20"/>
          <w:szCs w:val="20"/>
          <w:color w:val="auto"/>
        </w:rPr>
      </w:pPr>
      <w:r>
        <w:rPr>
          <w:rFonts w:ascii="Arial" w:cs="Arial" w:eastAsia="Arial" w:hAnsi="Arial"/>
          <w:sz w:val="15"/>
          <w:szCs w:val="15"/>
          <w:color w:val="231F20"/>
        </w:rPr>
        <w:t>Pursuant to the Amended and Restated Investor Agreement, Sanofi is bound by certain “standstill” provisions, which contractually prohibit Sanofi from seeking to directly or indirectly exert control of Regeneron or acquiring more than 30% of our Class A stock and common stock (taken together). This prohibition will remain in place until the earliest of</w:t>
      </w:r>
    </w:p>
    <w:p>
      <w:pPr>
        <w:spacing w:after="0" w:line="1" w:lineRule="exact"/>
        <w:rPr>
          <w:sz w:val="20"/>
          <w:szCs w:val="20"/>
          <w:color w:val="auto"/>
        </w:rPr>
      </w:pPr>
    </w:p>
    <w:p>
      <w:pPr>
        <w:ind w:left="460" w:right="599" w:hanging="6"/>
        <w:spacing w:after="0"/>
        <w:tabs>
          <w:tab w:leader="none" w:pos="638" w:val="left"/>
        </w:tabs>
        <w:numPr>
          <w:ilvl w:val="0"/>
          <w:numId w:val="58"/>
        </w:numPr>
        <w:rPr>
          <w:rFonts w:ascii="Arial" w:cs="Arial" w:eastAsia="Arial" w:hAnsi="Arial"/>
          <w:sz w:val="15"/>
          <w:szCs w:val="15"/>
          <w:color w:val="231F20"/>
        </w:rPr>
      </w:pPr>
      <w:r>
        <w:rPr>
          <w:rFonts w:ascii="Arial" w:cs="Arial" w:eastAsia="Arial" w:hAnsi="Arial"/>
          <w:sz w:val="15"/>
          <w:szCs w:val="15"/>
          <w:color w:val="231F20"/>
        </w:rPr>
        <w:t>the later of the fifth anniversaries of the expiration or earlier termination of our Antibody License and Collaboration Agreement with Sanofi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party’s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Regeneron.</w:t>
      </w:r>
    </w:p>
    <w:p>
      <w:pPr>
        <w:spacing w:after="0" w:line="240" w:lineRule="exact"/>
        <w:rPr>
          <w:sz w:val="20"/>
          <w:szCs w:val="20"/>
          <w:color w:val="auto"/>
        </w:rPr>
      </w:pPr>
    </w:p>
    <w:p>
      <w:pPr>
        <w:ind w:left="460" w:right="559"/>
        <w:spacing w:after="0" w:line="237" w:lineRule="auto"/>
        <w:rPr>
          <w:sz w:val="20"/>
          <w:szCs w:val="20"/>
          <w:color w:val="auto"/>
        </w:rPr>
      </w:pPr>
      <w:r>
        <w:rPr>
          <w:rFonts w:ascii="Arial" w:cs="Arial" w:eastAsia="Arial" w:hAnsi="Arial"/>
          <w:sz w:val="15"/>
          <w:szCs w:val="15"/>
          <w:color w:val="231F20"/>
        </w:rPr>
        <w:t>Effective January 7, 2018, we and Sanofi and certain of Sanofi’s direct and indirect subsidiaries entered into a letter agreement in connection with (i) the increase of the development budget amount for cemiplimab set forth in the Immuno-oncology License and Collaboration Agreement and (ii) the allocation of additional funds to certain proposed activities relating to the development of dupilumab and REGN3500 and non-approval trials of dupilumab (the “Dupilumab/REGN3500 Eligible Investments”). Pursuant to the letter agreement, we have agreed, among other things, to amend the definition of “Highest Percentage Threshold” to be the lower of (i) 25% of our outstanding shares of Class A stock and common stock (taken together) and (ii) the higher of (a) Sanofi’s percentage ownership of Class A stock and common stock (taken together) on the termination date of the letter agreement and (b) the highest percentage ownership Sanofi attains following such termination date of our outstanding shares of Class A stock and common stock (taken together); and to grant a limited waiver of Sanofi’s obligation to maintain the then-existing Highest Percentage Threshold during the term of the letter agreement in order to allow Sanofi to satisfy in whole or in part (a) its funding obligations with respect to the cemiplimab development costs under the Immuno-oncology License and Collaboration Agreement for the quarterly periods commencing on October 1, 2017 and ending on September 30, 2020 by selling up to 800,000 shares of our common stock directly or indirectly owned by Sanofi (of which 330,253 remained available as of April 14, 2020)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410,661 remained available as of April 14, 2020).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42  </w:t>
      </w:r>
      <w:r>
        <w:rPr>
          <w:rFonts w:ascii="Arial" w:cs="Arial" w:eastAsia="Arial" w:hAnsi="Arial"/>
          <w:sz w:val="14"/>
          <w:szCs w:val="14"/>
          <w:b w:val="1"/>
          <w:bCs w:val="1"/>
          <w:color w:val="205BA8"/>
        </w:rPr>
        <w:t xml:space="preserve">/  </w:t>
      </w:r>
      <w:r>
        <w:rPr>
          <w:sz w:val="1"/>
          <w:szCs w:val="1"/>
          <w:color w:val="auto"/>
        </w:rPr>
        <w:drawing>
          <wp:inline distT="0" distB="0" distL="0" distR="0">
            <wp:extent cx="745490" cy="8572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05BA8"/>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53" w:name="page54"/>
    <w:bookmarkEnd w:id="53"/>
    <w:p>
      <w:pPr>
        <w:ind w:left="360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30" w:lineRule="exact"/>
        <w:rPr>
          <w:sz w:val="20"/>
          <w:szCs w:val="20"/>
          <w:color w:val="auto"/>
        </w:rPr>
      </w:pPr>
    </w:p>
    <w:p>
      <w:pPr>
        <w:ind w:left="1580" w:right="1680"/>
        <w:spacing w:after="0" w:line="233" w:lineRule="auto"/>
        <w:rPr>
          <w:sz w:val="20"/>
          <w:szCs w:val="20"/>
          <w:color w:val="auto"/>
        </w:rPr>
      </w:pPr>
      <w:r>
        <w:rPr>
          <w:rFonts w:ascii="Arial" w:cs="Arial" w:eastAsia="Arial" w:hAnsi="Arial"/>
          <w:sz w:val="15"/>
          <w:szCs w:val="15"/>
          <w:color w:val="231F20"/>
        </w:rPr>
        <w:t>In 2019, Sanofi elected to sell, and we elected to purchase (either in cash or by issuing a credit towards the amount owed by Sanofi), an aggregate of 304,019 shares of our common stock pursuant to the letter agreement. In 2020 to date, Sanofi elected to sell, and we elected to purchase (either in cash or by issuing a credit towards the amount owed by Sanofi), an aggregate of 128,914 shares of our common stock pursuant to the letter agreement.</w:t>
      </w:r>
    </w:p>
    <w:p>
      <w:pPr>
        <w:spacing w:after="0" w:line="130"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A more detailed description of the letter agreement with Sanofi is set forth in the 2019 Annual Report under Part I.</w:t>
      </w:r>
    </w:p>
    <w:p>
      <w:pPr>
        <w:ind w:left="1580"/>
        <w:spacing w:after="0"/>
        <w:rPr>
          <w:sz w:val="20"/>
          <w:szCs w:val="20"/>
          <w:color w:val="auto"/>
        </w:rPr>
      </w:pPr>
      <w:r>
        <w:rPr>
          <w:rFonts w:ascii="Arial" w:cs="Arial" w:eastAsia="Arial" w:hAnsi="Arial"/>
          <w:sz w:val="15"/>
          <w:szCs w:val="15"/>
          <w:color w:val="231F20"/>
        </w:rPr>
        <w:t>Item 1. “Business —Collaboration Agreements — Collaborations with Sanofi.”</w:t>
      </w:r>
    </w:p>
    <w:p>
      <w:pPr>
        <w:spacing w:after="0" w:line="13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Stanford University</w:t>
      </w:r>
    </w:p>
    <w:p>
      <w:pPr>
        <w:spacing w:after="0" w:line="217" w:lineRule="exact"/>
        <w:rPr>
          <w:sz w:val="20"/>
          <w:szCs w:val="20"/>
          <w:color w:val="auto"/>
        </w:rPr>
      </w:pPr>
    </w:p>
    <w:p>
      <w:pPr>
        <w:ind w:left="1580" w:right="1740"/>
        <w:spacing w:after="0" w:line="231" w:lineRule="auto"/>
        <w:rPr>
          <w:sz w:val="20"/>
          <w:szCs w:val="20"/>
          <w:color w:val="auto"/>
        </w:rPr>
      </w:pPr>
      <w:r>
        <w:rPr>
          <w:rFonts w:ascii="Arial" w:cs="Arial" w:eastAsia="Arial" w:hAnsi="Arial"/>
          <w:sz w:val="15"/>
          <w:szCs w:val="15"/>
          <w:color w:val="231F20"/>
        </w:rPr>
        <w:t>Effective September 1, 2016, Marc Tessier-Lavigne, Ph.D. became the President of Stanford University. In 2019, we made payments to Stanford University of approximately $162,000 in the aggregate relating to (i) services provided in connection with certain clinical trials entered into in the ordinary course of business and (ii) a medical education fellowship grant. In 2020 through the end of the first quarter, we made one payment to Stanford of less than $2,000 in respect of these services.</w:t>
      </w:r>
    </w:p>
    <w:p>
      <w:pPr>
        <w:spacing w:after="0" w:line="240"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20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Indemnification of Directors and Officers</w:t>
      </w:r>
    </w:p>
    <w:p>
      <w:pPr>
        <w:spacing w:after="0" w:line="217" w:lineRule="exact"/>
        <w:rPr>
          <w:sz w:val="20"/>
          <w:szCs w:val="20"/>
          <w:color w:val="auto"/>
        </w:rPr>
      </w:pPr>
    </w:p>
    <w:p>
      <w:pPr>
        <w:ind w:left="1580" w:right="1720"/>
        <w:spacing w:after="0" w:line="228" w:lineRule="auto"/>
        <w:rPr>
          <w:sz w:val="20"/>
          <w:szCs w:val="20"/>
          <w:color w:val="auto"/>
        </w:rPr>
      </w:pPr>
      <w:r>
        <w:rPr>
          <w:rFonts w:ascii="Arial" w:cs="Arial" w:eastAsia="Arial" w:hAnsi="Arial"/>
          <w:sz w:val="15"/>
          <w:szCs w:val="15"/>
          <w:color w:val="231F20"/>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Amended and Restated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our best interest, and, where applicable, not unlawful. Subject to the provisions of our Certificate of Incorporation, our Amended and Restated By-Laws, and the New York Business Corporation Law, we may also advance expenses of the individuals entitled to indemnification.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05BA8"/>
              </w:rPr>
              <w:t>2019 PROXY STATEMENT AND NOTICE OF ANNUAL SHAREHOLDER MEETING</w:t>
            </w:r>
          </w:p>
        </w:tc>
        <w:tc>
          <w:tcPr>
            <w:tcW w:w="3200" w:type="dxa"/>
            <w:vAlign w:val="bottom"/>
          </w:tcPr>
          <w:p>
            <w:pPr>
              <w:jc w:val="right"/>
              <w:ind w:right="1137"/>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4"/>
                <w:szCs w:val="14"/>
                <w:b w:val="1"/>
                <w:bCs w:val="1"/>
                <w:color w:val="00A5EC"/>
              </w:rPr>
              <w:t>43</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-290830</wp:posOffset>
            </wp:positionV>
            <wp:extent cx="74549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65"/>
          <w:szCs w:val="65"/>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912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920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196" w:lineRule="exact"/>
        <w:rPr>
          <w:sz w:val="20"/>
          <w:szCs w:val="20"/>
          <w:color w:val="auto"/>
        </w:rPr>
      </w:pPr>
    </w:p>
    <w:p>
      <w:pPr>
        <w:jc w:val="both"/>
        <w:ind w:left="460" w:right="659"/>
        <w:spacing w:after="0" w:line="235" w:lineRule="auto"/>
        <w:rPr>
          <w:sz w:val="20"/>
          <w:szCs w:val="20"/>
          <w:color w:val="auto"/>
        </w:rPr>
      </w:pPr>
      <w:r>
        <w:rPr>
          <w:rFonts w:ascii="Arial" w:cs="Arial" w:eastAsia="Arial" w:hAnsi="Arial"/>
          <w:sz w:val="15"/>
          <w:szCs w:val="15"/>
          <w:color w:val="231F20"/>
        </w:rPr>
        <w:t>The Audit Committee has appointed PricewaterhouseCoopers LLP as the Company’s independent registered public accounting firm for the fiscal year ending December 31, 2020. PricewaterhouseCoopers LLP (or its predecessor) has audited the Company’s financial statements for the past 31 years.</w:t>
      </w:r>
    </w:p>
    <w:p>
      <w:pPr>
        <w:spacing w:after="0" w:line="141" w:lineRule="exact"/>
        <w:rPr>
          <w:sz w:val="20"/>
          <w:szCs w:val="20"/>
          <w:color w:val="auto"/>
        </w:rPr>
      </w:pPr>
    </w:p>
    <w:p>
      <w:pPr>
        <w:ind w:left="460" w:right="559"/>
        <w:spacing w:after="0" w:line="229" w:lineRule="auto"/>
        <w:rPr>
          <w:sz w:val="20"/>
          <w:szCs w:val="20"/>
          <w:color w:val="auto"/>
        </w:rPr>
      </w:pPr>
      <w:r>
        <w:rPr>
          <w:rFonts w:ascii="Arial" w:cs="Arial" w:eastAsia="Arial" w:hAnsi="Arial"/>
          <w:sz w:val="15"/>
          <w:szCs w:val="15"/>
          <w:color w:val="231F20"/>
        </w:rPr>
        <w:t>The board of directors has directed that the appointment of PricewaterhouseCoopers LLP as the Company’s independent registered public accounting firm for fiscal year 2020 be submitted for ratification by the shareholders at the Annual Meeting. Shareholder ratification of the appointment of PricewaterhouseCoopers LLP as the Company’s independent registered public accounting firm for fiscal year 2020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2020, the board of directors will consider the matter at its next meeting.</w:t>
      </w:r>
    </w:p>
    <w:p>
      <w:pPr>
        <w:spacing w:after="0" w:line="144" w:lineRule="exact"/>
        <w:rPr>
          <w:sz w:val="20"/>
          <w:szCs w:val="20"/>
          <w:color w:val="auto"/>
        </w:rPr>
      </w:pPr>
    </w:p>
    <w:p>
      <w:pPr>
        <w:ind w:left="460" w:right="679"/>
        <w:spacing w:after="0" w:line="235" w:lineRule="auto"/>
        <w:rPr>
          <w:sz w:val="20"/>
          <w:szCs w:val="20"/>
          <w:color w:val="auto"/>
        </w:rPr>
      </w:pPr>
      <w:r>
        <w:rPr>
          <w:rFonts w:ascii="Arial" w:cs="Arial" w:eastAsia="Arial" w:hAnsi="Arial"/>
          <w:sz w:val="15"/>
          <w:szCs w:val="15"/>
          <w:color w:val="231F20"/>
        </w:rPr>
        <w:t>PricewaterhouseCoopers LLP has advised the Company that it will have in attendance at the 2020 Annual Meeting a representative who will be afforded an opportunity to make a statement, if such representative desires to do so, and will respond to appropriate questions presented at the 2020 Annual Meeting.</w:t>
      </w:r>
    </w:p>
    <w:p>
      <w:pPr>
        <w:spacing w:after="0" w:line="240" w:lineRule="exact"/>
        <w:rPr>
          <w:sz w:val="20"/>
          <w:szCs w:val="20"/>
          <w:color w:val="auto"/>
        </w:rPr>
      </w:pPr>
    </w:p>
    <w:p>
      <w:pPr>
        <w:ind w:left="460" w:right="1259"/>
        <w:spacing w:after="0" w:line="296" w:lineRule="auto"/>
        <w:rPr>
          <w:sz w:val="20"/>
          <w:szCs w:val="20"/>
          <w:color w:val="auto"/>
        </w:rPr>
      </w:pPr>
      <w:r>
        <w:rPr>
          <w:rFonts w:ascii="Arial" w:cs="Arial" w:eastAsia="Arial" w:hAnsi="Arial"/>
          <w:sz w:val="28"/>
          <w:szCs w:val="28"/>
          <w:b w:val="1"/>
          <w:bCs w:val="1"/>
          <w:color w:val="C04C57"/>
        </w:rPr>
        <w:t>INFORMATION ABOUT FEES PAID TO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-49530</wp:posOffset>
            </wp:positionV>
            <wp:extent cx="50920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73" w:lineRule="exact"/>
        <w:rPr>
          <w:sz w:val="20"/>
          <w:szCs w:val="20"/>
          <w:color w:val="auto"/>
        </w:rPr>
      </w:pPr>
    </w:p>
    <w:p>
      <w:pPr>
        <w:ind w:left="460" w:right="719"/>
        <w:spacing w:after="0" w:line="242" w:lineRule="auto"/>
        <w:rPr>
          <w:sz w:val="20"/>
          <w:szCs w:val="20"/>
          <w:color w:val="auto"/>
        </w:rPr>
      </w:pPr>
      <w:r>
        <w:rPr>
          <w:rFonts w:ascii="Arial" w:cs="Arial" w:eastAsia="Arial" w:hAnsi="Arial"/>
          <w:sz w:val="15"/>
          <w:szCs w:val="15"/>
          <w:color w:val="231F20"/>
        </w:rPr>
        <w:t>Aggregate fees incurred related to services provided to the Company by PricewaterhouseCoopers LLP for the years ended December 31, 2019 and 2018 were: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740" w:type="dxa"/>
            <w:vAlign w:val="bottom"/>
            <w:tcBorders>
              <w:bottom w:val="single" w:sz="8" w:color="2952A4"/>
            </w:tcBorders>
          </w:tcPr>
          <w:p>
            <w:pPr>
              <w:spacing w:after="0"/>
              <w:rPr>
                <w:sz w:val="14"/>
                <w:szCs w:val="14"/>
                <w:color w:val="auto"/>
              </w:rPr>
            </w:pPr>
          </w:p>
        </w:tc>
        <w:tc>
          <w:tcPr>
            <w:tcW w:w="3420" w:type="dxa"/>
            <w:vAlign w:val="bottom"/>
            <w:tcBorders>
              <w:bottom w:val="single" w:sz="8" w:color="2952A4"/>
            </w:tcBorders>
          </w:tcPr>
          <w:p>
            <w:pPr>
              <w:jc w:val="right"/>
              <w:ind w:right="216"/>
              <w:spacing w:after="0"/>
              <w:rPr>
                <w:sz w:val="20"/>
                <w:szCs w:val="20"/>
                <w:color w:val="auto"/>
              </w:rPr>
            </w:pPr>
            <w:r>
              <w:rPr>
                <w:rFonts w:ascii="Arial" w:cs="Arial" w:eastAsia="Arial" w:hAnsi="Arial"/>
                <w:sz w:val="12"/>
                <w:szCs w:val="12"/>
                <w:b w:val="1"/>
                <w:bCs w:val="1"/>
                <w:color w:val="2952A4"/>
              </w:rPr>
              <w:t>2019 ($)</w:t>
            </w:r>
          </w:p>
        </w:tc>
        <w:tc>
          <w:tcPr>
            <w:tcW w:w="940" w:type="dxa"/>
            <w:vAlign w:val="bottom"/>
            <w:tcBorders>
              <w:bottom w:val="single" w:sz="8" w:color="2952A4"/>
            </w:tcBorders>
          </w:tcPr>
          <w:p>
            <w:pPr>
              <w:jc w:val="right"/>
              <w:spacing w:after="0"/>
              <w:rPr>
                <w:sz w:val="20"/>
                <w:szCs w:val="20"/>
                <w:color w:val="auto"/>
              </w:rPr>
            </w:pPr>
            <w:r>
              <w:rPr>
                <w:rFonts w:ascii="Arial" w:cs="Arial" w:eastAsia="Arial" w:hAnsi="Arial"/>
                <w:sz w:val="12"/>
                <w:szCs w:val="12"/>
                <w:b w:val="1"/>
                <w:bCs w:val="1"/>
                <w:color w:val="2952A4"/>
              </w:rPr>
              <w:t>2018 ($)</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Audit Fees</w:t>
            </w:r>
          </w:p>
        </w:tc>
        <w:tc>
          <w:tcPr>
            <w:tcW w:w="34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231F20"/>
              </w:rPr>
              <w:t>2,250,341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2,680,642</w:t>
            </w:r>
          </w:p>
        </w:tc>
      </w:tr>
      <w:tr>
        <w:trPr>
          <w:trHeight w:val="196"/>
        </w:trPr>
        <w:tc>
          <w:tcPr>
            <w:tcW w:w="374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Audit-Related Fees</w:t>
            </w:r>
          </w:p>
        </w:tc>
        <w:tc>
          <w:tcPr>
            <w:tcW w:w="3420" w:type="dxa"/>
            <w:vAlign w:val="bottom"/>
            <w:tcBorders>
              <w:bottom w:val="single" w:sz="8" w:color="auto"/>
            </w:tcBorders>
            <w:shd w:val="clear" w:color="auto" w:fill="EAEAEC"/>
          </w:tcPr>
          <w:p>
            <w:pPr>
              <w:jc w:val="right"/>
              <w:ind w:right="216"/>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85,000</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Tax Fees</w:t>
            </w:r>
          </w:p>
        </w:tc>
        <w:tc>
          <w:tcPr>
            <w:tcW w:w="34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231F20"/>
              </w:rPr>
              <w:t>5,000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19,662</w:t>
            </w:r>
          </w:p>
        </w:tc>
      </w:tr>
      <w:tr>
        <w:trPr>
          <w:trHeight w:val="196"/>
        </w:trPr>
        <w:tc>
          <w:tcPr>
            <w:tcW w:w="374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All Other Fees</w:t>
            </w:r>
          </w:p>
        </w:tc>
        <w:tc>
          <w:tcPr>
            <w:tcW w:w="3420" w:type="dxa"/>
            <w:vAlign w:val="bottom"/>
            <w:tcBorders>
              <w:bottom w:val="single" w:sz="8" w:color="auto"/>
            </w:tcBorders>
            <w:shd w:val="clear" w:color="auto" w:fill="EAEAEC"/>
          </w:tcPr>
          <w:p>
            <w:pPr>
              <w:jc w:val="right"/>
              <w:ind w:right="216"/>
              <w:spacing w:after="0"/>
              <w:rPr>
                <w:sz w:val="20"/>
                <w:szCs w:val="20"/>
                <w:color w:val="auto"/>
              </w:rPr>
            </w:pPr>
            <w:r>
              <w:rPr>
                <w:rFonts w:ascii="Arial" w:cs="Arial" w:eastAsia="Arial" w:hAnsi="Arial"/>
                <w:sz w:val="13"/>
                <w:szCs w:val="13"/>
                <w:color w:val="231F20"/>
              </w:rPr>
              <w:t>6,106</w:t>
            </w:r>
          </w:p>
        </w:tc>
        <w:tc>
          <w:tcPr>
            <w:tcW w:w="9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6,088</w:t>
            </w:r>
          </w:p>
        </w:tc>
      </w:tr>
      <w:tr>
        <w:trPr>
          <w:trHeight w:val="196"/>
        </w:trPr>
        <w:tc>
          <w:tcPr>
            <w:tcW w:w="3740" w:type="dxa"/>
            <w:vAlign w:val="bottom"/>
            <w:tcBorders>
              <w:bottom w:val="single" w:sz="8" w:color="2952A4"/>
            </w:tcBorders>
          </w:tcPr>
          <w:p>
            <w:pPr>
              <w:ind w:left="40"/>
              <w:spacing w:after="0"/>
              <w:rPr>
                <w:sz w:val="20"/>
                <w:szCs w:val="20"/>
                <w:color w:val="auto"/>
              </w:rPr>
            </w:pPr>
            <w:r>
              <w:rPr>
                <w:rFonts w:ascii="Arial" w:cs="Arial" w:eastAsia="Arial" w:hAnsi="Arial"/>
                <w:sz w:val="13"/>
                <w:szCs w:val="13"/>
                <w:b w:val="1"/>
                <w:bCs w:val="1"/>
                <w:color w:val="231F20"/>
              </w:rPr>
              <w:t>Total Fees</w:t>
            </w:r>
          </w:p>
        </w:tc>
        <w:tc>
          <w:tcPr>
            <w:tcW w:w="3420" w:type="dxa"/>
            <w:vAlign w:val="bottom"/>
            <w:tcBorders>
              <w:bottom w:val="single" w:sz="8" w:color="2952A4"/>
            </w:tcBorders>
          </w:tcPr>
          <w:p>
            <w:pPr>
              <w:jc w:val="right"/>
              <w:ind w:right="216"/>
              <w:spacing w:after="0"/>
              <w:rPr>
                <w:sz w:val="20"/>
                <w:szCs w:val="20"/>
                <w:color w:val="auto"/>
              </w:rPr>
            </w:pPr>
            <w:r>
              <w:rPr>
                <w:rFonts w:ascii="Arial" w:cs="Arial" w:eastAsia="Arial" w:hAnsi="Arial"/>
                <w:sz w:val="13"/>
                <w:szCs w:val="13"/>
                <w:b w:val="1"/>
                <w:bCs w:val="1"/>
                <w:color w:val="231F20"/>
              </w:rPr>
              <w:t>2,261,447</w:t>
            </w:r>
          </w:p>
        </w:tc>
        <w:tc>
          <w:tcPr>
            <w:tcW w:w="940" w:type="dxa"/>
            <w:vAlign w:val="bottom"/>
            <w:tcBorders>
              <w:bottom w:val="single" w:sz="8" w:color="2952A4"/>
            </w:tcBorders>
          </w:tcPr>
          <w:p>
            <w:pPr>
              <w:jc w:val="right"/>
              <w:spacing w:after="0"/>
              <w:rPr>
                <w:sz w:val="20"/>
                <w:szCs w:val="20"/>
                <w:color w:val="auto"/>
              </w:rPr>
            </w:pPr>
            <w:r>
              <w:rPr>
                <w:rFonts w:ascii="Arial" w:cs="Arial" w:eastAsia="Arial" w:hAnsi="Arial"/>
                <w:sz w:val="13"/>
                <w:szCs w:val="13"/>
                <w:b w:val="1"/>
                <w:bCs w:val="1"/>
                <w:color w:val="231F20"/>
              </w:rPr>
              <w:t>2,791,392</w:t>
            </w:r>
          </w:p>
        </w:tc>
      </w:tr>
    </w:tbl>
    <w:p>
      <w:pPr>
        <w:spacing w:after="0" w:line="141" w:lineRule="exact"/>
        <w:rPr>
          <w:sz w:val="20"/>
          <w:szCs w:val="20"/>
          <w:color w:val="auto"/>
        </w:rPr>
      </w:pPr>
    </w:p>
    <w:p>
      <w:pPr>
        <w:ind w:left="460" w:right="859"/>
        <w:spacing w:after="0" w:line="239" w:lineRule="auto"/>
        <w:rPr>
          <w:sz w:val="20"/>
          <w:szCs w:val="20"/>
          <w:color w:val="auto"/>
        </w:rPr>
      </w:pPr>
      <w:r>
        <w:rPr>
          <w:rFonts w:ascii="Arial" w:cs="Arial" w:eastAsia="Arial" w:hAnsi="Arial"/>
          <w:sz w:val="15"/>
          <w:szCs w:val="15"/>
          <w:b w:val="1"/>
          <w:bCs w:val="1"/>
          <w:color w:val="231F20"/>
        </w:rPr>
        <w:t xml:space="preserve">Audit Fees. </w:t>
      </w:r>
      <w:r>
        <w:rPr>
          <w:rFonts w:ascii="Arial" w:cs="Arial" w:eastAsia="Arial" w:hAnsi="Arial"/>
          <w:sz w:val="15"/>
          <w:szCs w:val="15"/>
          <w:color w:val="231F20"/>
        </w:rPr>
        <w:t>Audit fees in 2019 and 2018 were primarily for professional services rendered for the audit of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123" w:lineRule="exact"/>
        <w:rPr>
          <w:sz w:val="20"/>
          <w:szCs w:val="20"/>
          <w:color w:val="auto"/>
        </w:rPr>
      </w:pPr>
    </w:p>
    <w:p>
      <w:pPr>
        <w:ind w:left="460" w:right="1119"/>
        <w:spacing w:after="0" w:line="267" w:lineRule="auto"/>
        <w:rPr>
          <w:sz w:val="20"/>
          <w:szCs w:val="20"/>
          <w:color w:val="auto"/>
        </w:rPr>
      </w:pPr>
      <w:r>
        <w:rPr>
          <w:rFonts w:ascii="Arial" w:cs="Arial" w:eastAsia="Arial" w:hAnsi="Arial"/>
          <w:sz w:val="15"/>
          <w:szCs w:val="15"/>
          <w:b w:val="1"/>
          <w:bCs w:val="1"/>
          <w:color w:val="231F20"/>
        </w:rPr>
        <w:t xml:space="preserve">Audit-Related Fees. </w:t>
      </w:r>
      <w:r>
        <w:rPr>
          <w:rFonts w:ascii="Arial" w:cs="Arial" w:eastAsia="Arial" w:hAnsi="Arial"/>
          <w:sz w:val="15"/>
          <w:szCs w:val="15"/>
          <w:color w:val="231F20"/>
        </w:rPr>
        <w:t>Audit-related fees in 2018 were for professional services rendered in connection with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Company’s adoption of the new leasing accounting standard.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31F20"/>
        </w:rPr>
        <w:t xml:space="preserve">Tax Fees. </w:t>
      </w:r>
      <w:r>
        <w:rPr>
          <w:rFonts w:ascii="Arial" w:cs="Arial" w:eastAsia="Arial" w:hAnsi="Arial"/>
          <w:sz w:val="15"/>
          <w:szCs w:val="15"/>
          <w:color w:val="231F20"/>
        </w:rPr>
        <w:t>Tax fees in 2019 and 2018 were for tax planning and advisory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31F20"/>
        </w:rPr>
        <w:t xml:space="preserve">All Other Fees. </w:t>
      </w:r>
      <w:r>
        <w:rPr>
          <w:rFonts w:ascii="Arial" w:cs="Arial" w:eastAsia="Arial" w:hAnsi="Arial"/>
          <w:sz w:val="15"/>
          <w:szCs w:val="15"/>
          <w:color w:val="231F20"/>
        </w:rPr>
        <w:t>All other fees in 2019 and 2018 were for annual subscriptions to accounting resources.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EEF"/>
        </w:rPr>
        <w:t xml:space="preserve">44  </w:t>
      </w:r>
      <w:r>
        <w:rPr>
          <w:rFonts w:ascii="Arial" w:cs="Arial" w:eastAsia="Arial" w:hAnsi="Arial"/>
          <w:sz w:val="14"/>
          <w:szCs w:val="14"/>
          <w:color w:val="00AEEF"/>
        </w:rPr>
        <w:t xml:space="preserve">/  </w:t>
      </w:r>
      <w:r>
        <w:rPr>
          <w:sz w:val="1"/>
          <w:szCs w:val="1"/>
          <w:color w:val="auto"/>
        </w:rPr>
        <w:drawing>
          <wp:inline distT="0" distB="0" distL="0" distR="0">
            <wp:extent cx="745490" cy="8572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35BA7"/>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55" w:name="page56"/>
    <w:bookmarkEnd w:id="55"/>
    <w:p>
      <w:pPr>
        <w:ind w:left="6860"/>
        <w:spacing w:after="0"/>
        <w:rPr>
          <w:sz w:val="20"/>
          <w:szCs w:val="20"/>
          <w:color w:val="auto"/>
        </w:rPr>
      </w:pPr>
      <w:r>
        <w:rPr>
          <w:rFonts w:ascii="Arial" w:cs="Arial" w:eastAsia="Arial" w:hAnsi="Arial"/>
          <w:sz w:val="16"/>
          <w:szCs w:val="16"/>
          <w:b w:val="1"/>
          <w:bCs w:val="1"/>
          <w:color w:val="2952A4"/>
        </w:rPr>
        <w:t xml:space="preserve">THE COMPANY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30" w:lineRule="exact"/>
        <w:rPr>
          <w:sz w:val="20"/>
          <w:szCs w:val="20"/>
          <w:color w:val="auto"/>
        </w:rPr>
      </w:pPr>
    </w:p>
    <w:p>
      <w:pPr>
        <w:ind w:left="1580" w:right="1680"/>
        <w:spacing w:after="0" w:line="228" w:lineRule="auto"/>
        <w:rPr>
          <w:sz w:val="20"/>
          <w:szCs w:val="20"/>
          <w:color w:val="auto"/>
        </w:rPr>
      </w:pPr>
      <w:r>
        <w:rPr>
          <w:rFonts w:ascii="Arial" w:cs="Arial" w:eastAsia="Arial" w:hAnsi="Arial"/>
          <w:sz w:val="15"/>
          <w:szCs w:val="15"/>
          <w:color w:val="231F20"/>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5"/>
          <w:szCs w:val="15"/>
          <w:i w:val="1"/>
          <w:iCs w:val="1"/>
          <w:color w:val="231F20"/>
        </w:rPr>
        <w:t>de minimis</w:t>
      </w:r>
      <w:r>
        <w:rPr>
          <w:rFonts w:ascii="Arial" w:cs="Arial" w:eastAsia="Arial" w:hAnsi="Arial"/>
          <w:sz w:val="15"/>
          <w:szCs w:val="15"/>
          <w:color w:val="231F20"/>
        </w:rPr>
        <w:t xml:space="preserve"> exception to the pre-approval requirements to approve any services provided by PricewaterhouseCoopers LLP during fiscal 2019 and 2018.</w:t>
      </w:r>
    </w:p>
    <w:p>
      <w:pPr>
        <w:spacing w:after="0" w:line="244"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92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196" w:lineRule="exact"/>
        <w:rPr>
          <w:sz w:val="20"/>
          <w:szCs w:val="20"/>
          <w:color w:val="auto"/>
        </w:rPr>
      </w:pPr>
    </w:p>
    <w:p>
      <w:pPr>
        <w:ind w:left="1580" w:right="1660"/>
        <w:spacing w:after="0" w:line="228" w:lineRule="auto"/>
        <w:rPr>
          <w:sz w:val="20"/>
          <w:szCs w:val="20"/>
          <w:color w:val="auto"/>
        </w:rPr>
      </w:pPr>
      <w:r>
        <w:rPr>
          <w:rFonts w:ascii="Arial" w:cs="Arial" w:eastAsia="Arial" w:hAnsi="Arial"/>
          <w:sz w:val="15"/>
          <w:szCs w:val="15"/>
          <w:color w:val="231F20"/>
        </w:rPr>
        <w:t>We have reviewed the audited financial statements of the Company for the year ended December 31, 2019, which are included in the Company’s Annual Report on Form 10-K for the fiscal year ended December 31, 2019,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spacing w:after="0" w:line="145" w:lineRule="exact"/>
        <w:rPr>
          <w:sz w:val="20"/>
          <w:szCs w:val="20"/>
          <w:color w:val="auto"/>
        </w:rPr>
      </w:pPr>
    </w:p>
    <w:p>
      <w:pPr>
        <w:ind w:left="1580" w:right="1760"/>
        <w:spacing w:after="0" w:line="233" w:lineRule="auto"/>
        <w:rPr>
          <w:sz w:val="20"/>
          <w:szCs w:val="20"/>
          <w:color w:val="auto"/>
        </w:rPr>
      </w:pPr>
      <w:r>
        <w:rPr>
          <w:rFonts w:ascii="Arial" w:cs="Arial" w:eastAsia="Arial" w:hAnsi="Arial"/>
          <w:sz w:val="15"/>
          <w:szCs w:val="15"/>
          <w:color w:val="231F20"/>
        </w:rPr>
        <w:t>Based on the foregoing discussions and review, the Audit Committee recommended to the board of directors that the audited financial statements of the Company for the year ended December 31, 2019 be included in the Company’s Annual Report on Form 10-K for the fiscal year ended December 31, 2019 for filing with the Securities and Exchange Commission.</w:t>
      </w:r>
    </w:p>
    <w:p>
      <w:pPr>
        <w:spacing w:after="0" w:line="140" w:lineRule="exact"/>
        <w:rPr>
          <w:sz w:val="20"/>
          <w:szCs w:val="20"/>
          <w:color w:val="auto"/>
        </w:rPr>
      </w:pPr>
    </w:p>
    <w:p>
      <w:pPr>
        <w:ind w:left="1580" w:right="1660"/>
        <w:spacing w:after="0" w:line="235" w:lineRule="auto"/>
        <w:rPr>
          <w:sz w:val="20"/>
          <w:szCs w:val="20"/>
          <w:color w:val="auto"/>
        </w:rPr>
      </w:pPr>
      <w:r>
        <w:rPr>
          <w:rFonts w:ascii="Arial" w:cs="Arial" w:eastAsia="Arial" w:hAnsi="Arial"/>
          <w:sz w:val="15"/>
          <w:szCs w:val="15"/>
          <w:color w:val="231F20"/>
        </w:rPr>
        <w:t>We have appointed PricewaterhouseCoopers LLP as the Company’s independent registered public accounting firm for the fiscal year ending December 31, 2020. This appointment was based on a variety of factors, including PricewaterhouseCoopers LLP’s competence in the fields of accounting and auditing.</w:t>
      </w:r>
    </w:p>
    <w:p>
      <w:pPr>
        <w:spacing w:after="0" w:line="150"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The Audit Committee</w:t>
      </w:r>
    </w:p>
    <w:p>
      <w:pPr>
        <w:ind w:left="1580"/>
        <w:spacing w:after="0" w:line="235" w:lineRule="auto"/>
        <w:rPr>
          <w:sz w:val="20"/>
          <w:szCs w:val="20"/>
          <w:color w:val="auto"/>
        </w:rPr>
      </w:pPr>
      <w:r>
        <w:rPr>
          <w:rFonts w:ascii="Arial" w:cs="Arial" w:eastAsia="Arial" w:hAnsi="Arial"/>
          <w:sz w:val="15"/>
          <w:szCs w:val="15"/>
          <w:b w:val="1"/>
          <w:bCs w:val="1"/>
          <w:color w:val="231F20"/>
        </w:rPr>
        <w:t>George L. Sing, Chairman</w:t>
      </w:r>
    </w:p>
    <w:p>
      <w:pPr>
        <w:ind w:left="1580"/>
        <w:spacing w:after="0" w:line="226" w:lineRule="auto"/>
        <w:rPr>
          <w:sz w:val="20"/>
          <w:szCs w:val="20"/>
          <w:color w:val="auto"/>
        </w:rPr>
      </w:pPr>
      <w:r>
        <w:rPr>
          <w:rFonts w:ascii="Arial" w:cs="Arial" w:eastAsia="Arial" w:hAnsi="Arial"/>
          <w:sz w:val="15"/>
          <w:szCs w:val="15"/>
          <w:b w:val="1"/>
          <w:bCs w:val="1"/>
          <w:color w:val="231F20"/>
        </w:rPr>
        <w:t>N. Anthony Coles, M.D.</w:t>
      </w:r>
    </w:p>
    <w:p>
      <w:pPr>
        <w:ind w:left="1580"/>
        <w:spacing w:after="0"/>
        <w:rPr>
          <w:sz w:val="20"/>
          <w:szCs w:val="20"/>
          <w:color w:val="auto"/>
        </w:rPr>
      </w:pPr>
      <w:r>
        <w:rPr>
          <w:rFonts w:ascii="Arial" w:cs="Arial" w:eastAsia="Arial" w:hAnsi="Arial"/>
          <w:sz w:val="15"/>
          <w:szCs w:val="15"/>
          <w:b w:val="1"/>
          <w:bCs w:val="1"/>
          <w:color w:val="231F20"/>
        </w:rPr>
        <w:t>Arthur F. Ryan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05BA8"/>
              </w:rPr>
              <w:t>2020 PROXY STATEMENT AND NOTICE OF ANNUAL SHAREHOLDER MEETING</w:t>
            </w:r>
          </w:p>
        </w:tc>
        <w:tc>
          <w:tcPr>
            <w:tcW w:w="3200" w:type="dxa"/>
            <w:vAlign w:val="bottom"/>
          </w:tcPr>
          <w:p>
            <w:pPr>
              <w:jc w:val="right"/>
              <w:ind w:right="1137"/>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4"/>
                <w:szCs w:val="14"/>
                <w:b w:val="1"/>
                <w:bCs w:val="1"/>
                <w:color w:val="00A5EC"/>
              </w:rPr>
              <w:t>45</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-290830</wp:posOffset>
            </wp:positionV>
            <wp:extent cx="74549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91465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14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20"/>
        <w:spacing w:after="0"/>
        <w:rPr>
          <w:sz w:val="20"/>
          <w:szCs w:val="20"/>
          <w:color w:val="auto"/>
        </w:rPr>
      </w:pPr>
      <w:r>
        <w:rPr>
          <w:rFonts w:ascii="Arial" w:cs="Arial" w:eastAsia="Arial" w:hAnsi="Arial"/>
          <w:sz w:val="32"/>
          <w:szCs w:val="32"/>
          <w:b w:val="1"/>
          <w:bCs w:val="1"/>
          <w:color w:val="FFFFFF"/>
        </w:rPr>
        <w:t>PROPOSAL</w:t>
      </w:r>
    </w:p>
    <w:p>
      <w:pPr>
        <w:spacing w:after="0" w:line="44" w:lineRule="exact"/>
        <w:rPr>
          <w:sz w:val="20"/>
          <w:szCs w:val="20"/>
          <w:color w:val="auto"/>
        </w:rPr>
      </w:pPr>
    </w:p>
    <w:p>
      <w:pPr>
        <w:ind w:left="1220"/>
        <w:spacing w:after="0"/>
        <w:rPr>
          <w:sz w:val="20"/>
          <w:szCs w:val="20"/>
          <w:color w:val="auto"/>
        </w:rPr>
      </w:pPr>
      <w:r>
        <w:rPr>
          <w:rFonts w:ascii="Arial" w:cs="Arial" w:eastAsia="Arial" w:hAnsi="Arial"/>
          <w:sz w:val="162"/>
          <w:szCs w:val="162"/>
          <w:b w:val="1"/>
          <w:bCs w:val="1"/>
          <w:color w:val="FFFFFF"/>
        </w:rPr>
        <w:t>02</w:t>
      </w:r>
    </w:p>
    <w:p>
      <w:pPr>
        <w:ind w:left="1220" w:right="2119"/>
        <w:spacing w:after="0" w:line="238" w:lineRule="auto"/>
        <w:rPr>
          <w:sz w:val="20"/>
          <w:szCs w:val="20"/>
          <w:color w:val="auto"/>
        </w:rPr>
      </w:pPr>
      <w:r>
        <w:rPr>
          <w:rFonts w:ascii="Arial" w:cs="Arial" w:eastAsia="Arial" w:hAnsi="Arial"/>
          <w:sz w:val="54"/>
          <w:szCs w:val="54"/>
          <w:b w:val="1"/>
          <w:bCs w:val="1"/>
          <w:color w:val="FFFFFF"/>
        </w:rPr>
        <w:t>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Arial" w:cs="Arial" w:eastAsia="Arial" w:hAnsi="Arial"/>
          <w:sz w:val="23"/>
          <w:szCs w:val="23"/>
          <w:color w:val="FFFFFF"/>
        </w:rPr>
        <w:t>The board of directors unanimously</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3"/>
          <w:szCs w:val="23"/>
          <w:color w:val="FFFFFF"/>
        </w:rPr>
        <w:t xml:space="preserve">recommends a vote </w:t>
      </w:r>
      <w:r>
        <w:rPr>
          <w:rFonts w:ascii="Arial" w:cs="Arial" w:eastAsia="Arial" w:hAnsi="Arial"/>
          <w:sz w:val="23"/>
          <w:szCs w:val="23"/>
          <w:b w:val="1"/>
          <w:bCs w:val="1"/>
          <w:color w:val="FFFFFF"/>
        </w:rPr>
        <w:t>FOR</w:t>
      </w:r>
      <w:r>
        <w:rPr>
          <w:rFonts w:ascii="Arial" w:cs="Arial" w:eastAsia="Arial" w:hAnsi="Arial"/>
          <w:sz w:val="23"/>
          <w:szCs w:val="23"/>
          <w:color w:val="FFFFFF"/>
        </w:rPr>
        <w:t xml:space="preserve"> ratification of the</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23"/>
          <w:szCs w:val="23"/>
          <w:color w:val="FFFFFF"/>
        </w:rPr>
        <w:t>appointment of PricewaterhouseCoopers</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23"/>
          <w:szCs w:val="23"/>
          <w:color w:val="FFFFFF"/>
        </w:rPr>
        <w:t>LLP as the Company’s independent</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23"/>
          <w:szCs w:val="23"/>
          <w:color w:val="FFFFFF"/>
        </w:rPr>
        <w:t>registered public accounting firm for the</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23"/>
          <w:szCs w:val="23"/>
          <w:color w:val="FFFFFF"/>
        </w:rPr>
        <w:t>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tabs>
          <w:tab w:leader="none" w:pos="4060" w:val="left"/>
        </w:tabs>
        <w:rPr>
          <w:sz w:val="20"/>
          <w:szCs w:val="20"/>
          <w:color w:val="auto"/>
        </w:rPr>
      </w:pPr>
      <w:r>
        <w:rPr>
          <w:rFonts w:ascii="Arial" w:cs="Arial" w:eastAsia="Arial" w:hAnsi="Arial"/>
          <w:sz w:val="14"/>
          <w:szCs w:val="14"/>
          <w:b w:val="1"/>
          <w:bCs w:val="1"/>
          <w:color w:val="FFFFFF"/>
        </w:rPr>
        <w:t xml:space="preserve">46  </w:t>
      </w:r>
      <w:r>
        <w:rPr>
          <w:rFonts w:ascii="Arial" w:cs="Arial" w:eastAsia="Arial" w:hAnsi="Arial"/>
          <w:sz w:val="14"/>
          <w:szCs w:val="14"/>
          <w:color w:val="FFFFFF"/>
        </w:rPr>
        <w:t>/</w:t>
      </w:r>
      <w:r>
        <w:rPr>
          <w:sz w:val="20"/>
          <w:szCs w:val="20"/>
          <w:color w:val="auto"/>
        </w:rPr>
        <w:tab/>
      </w:r>
      <w:r>
        <w:rPr>
          <w:rFonts w:ascii="Arial" w:cs="Arial" w:eastAsia="Arial" w:hAnsi="Arial"/>
          <w:sz w:val="12"/>
          <w:szCs w:val="12"/>
          <w:b w:val="1"/>
          <w:bCs w:val="1"/>
          <w:color w:val="FFFFFF"/>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506095</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ind w:left="1580"/>
        <w:spacing w:after="0"/>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692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00" cy="8692515"/>
                    </a:xfrm>
                    <a:prstGeom prst="rect">
                      <a:avLst/>
                    </a:prstGeom>
                    <a:noFill/>
                  </pic:spPr>
                </pic:pic>
              </a:graphicData>
            </a:graphic>
          </wp:anchor>
        </w:drawing>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80" w:right="2720"/>
        <w:spacing w:after="0" w:line="278" w:lineRule="auto"/>
        <w:rPr>
          <w:sz w:val="20"/>
          <w:szCs w:val="20"/>
          <w:color w:val="auto"/>
        </w:rPr>
      </w:pPr>
      <w:r>
        <w:rPr>
          <w:rFonts w:ascii="Arial" w:cs="Arial" w:eastAsia="Arial" w:hAnsi="Arial"/>
          <w:sz w:val="29"/>
          <w:szCs w:val="29"/>
          <w:b w:val="1"/>
          <w:bCs w:val="1"/>
          <w:color w:val="C04C57"/>
        </w:rPr>
        <w:t>SECURITY OWNERSHIP OF CERTAIN BENEFICIAL OWNERS AND MANAGEMENT</w:t>
      </w:r>
    </w:p>
    <w:p>
      <w:pPr>
        <w:spacing w:after="0" w:line="115" w:lineRule="exact"/>
        <w:rPr>
          <w:sz w:val="20"/>
          <w:szCs w:val="20"/>
          <w:color w:val="auto"/>
        </w:rPr>
      </w:pPr>
    </w:p>
    <w:p>
      <w:pPr>
        <w:ind w:left="1580" w:right="1660"/>
        <w:spacing w:after="0" w:line="230" w:lineRule="auto"/>
        <w:rPr>
          <w:sz w:val="20"/>
          <w:szCs w:val="20"/>
          <w:color w:val="auto"/>
        </w:rPr>
      </w:pPr>
      <w:r>
        <w:rPr>
          <w:rFonts w:ascii="Arial" w:cs="Arial" w:eastAsia="Arial" w:hAnsi="Arial"/>
          <w:sz w:val="15"/>
          <w:szCs w:val="15"/>
          <w:color w:val="231F20"/>
        </w:rPr>
        <w:t>The following table sets forth, as of April 14, 2020, the number of shares of the Company’s Class A stock and common stock beneficially owned by each of the Company’s directors, each of the NEOs referred to below under “Executive Compensation,” all directors and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spacing w:after="0" w:line="142" w:lineRule="exact"/>
        <w:rPr>
          <w:sz w:val="20"/>
          <w:szCs w:val="20"/>
          <w:color w:val="auto"/>
        </w:rPr>
      </w:pPr>
    </w:p>
    <w:p>
      <w:pPr>
        <w:ind w:left="1580" w:right="1660"/>
        <w:spacing w:after="0" w:line="227" w:lineRule="auto"/>
        <w:rPr>
          <w:sz w:val="20"/>
          <w:szCs w:val="20"/>
          <w:color w:val="auto"/>
        </w:rPr>
      </w:pPr>
      <w:r>
        <w:rPr>
          <w:rFonts w:ascii="Arial" w:cs="Arial" w:eastAsia="Arial" w:hAnsi="Arial"/>
          <w:sz w:val="15"/>
          <w:szCs w:val="15"/>
          <w:color w:val="231F20"/>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1,848,970 shares of Class A stock and 110,673,311 shares of common stock outstanding as of April 14, 2020,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14, 2020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47" w:lineRule="exact"/>
        <w:rPr>
          <w:sz w:val="20"/>
          <w:szCs w:val="20"/>
          <w:color w:val="auto"/>
        </w:rPr>
      </w:pPr>
    </w:p>
    <w:p>
      <w:pPr>
        <w:ind w:left="1580" w:right="1800"/>
        <w:spacing w:after="0" w:line="229" w:lineRule="auto"/>
        <w:rPr>
          <w:sz w:val="20"/>
          <w:szCs w:val="20"/>
          <w:color w:val="auto"/>
        </w:rPr>
      </w:pPr>
      <w:r>
        <w:rPr>
          <w:rFonts w:ascii="Arial" w:cs="Arial" w:eastAsia="Arial" w:hAnsi="Arial"/>
          <w:sz w:val="15"/>
          <w:szCs w:val="15"/>
          <w:color w:val="231F20"/>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PSUs, RSUs, or other convertible securities (if any) held by that person (and by directors and executive officers as a group) that are exercisable or releasable as of April 14, 2020 or are exercisable or releasable within sixty days after April 14, 2020 are deemed to be outstanding. Such shares are not deemed to be outstanding, however, for the purpose of computing the percentage ownership of common stock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47</w:t>
            </w:r>
          </w:p>
        </w:tc>
      </w:tr>
      <w:tr>
        <w:trPr>
          <w:trHeight w:val="910"/>
        </w:trPr>
        <w:tc>
          <w:tcPr>
            <w:tcW w:w="8040" w:type="dxa"/>
            <w:vAlign w:val="bottom"/>
            <w:tcBorders>
              <w:bottom w:val="single" w:sz="8" w:color="C0C0C0"/>
            </w:tcBorders>
          </w:tcPr>
          <w:p>
            <w:pPr>
              <w:spacing w:after="0"/>
              <w:rPr>
                <w:sz w:val="24"/>
                <w:szCs w:val="24"/>
                <w:color w:val="auto"/>
              </w:rPr>
            </w:pPr>
          </w:p>
        </w:tc>
        <w:tc>
          <w:tcPr>
            <w:tcW w:w="32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280" w:right="339" w:bottom="1440" w:gutter="0" w:footer="0" w:header="0"/>
        </w:sectPr>
      </w:pPr>
    </w:p>
    <w:bookmarkStart w:id="58" w:name="page59"/>
    <w:bookmarkEnd w:id="58"/>
    <w:p>
      <w:pPr>
        <w:ind w:left="460"/>
        <w:spacing w:after="0"/>
        <w:rPr>
          <w:sz w:val="20"/>
          <w:szCs w:val="20"/>
          <w:color w:val="auto"/>
        </w:rPr>
      </w:pPr>
      <w:r>
        <w:rPr>
          <w:rFonts w:ascii="Arial" w:cs="Arial" w:eastAsia="Arial" w:hAnsi="Arial"/>
          <w:sz w:val="16"/>
          <w:szCs w:val="16"/>
          <w:b w:val="1"/>
          <w:bCs w:val="1"/>
          <w:color w:val="2952A4"/>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41"/>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2952A4"/>
                <w:w w:val="97"/>
              </w:rPr>
              <w:t>Shares of Class A Stock</w:t>
            </w:r>
          </w:p>
        </w:tc>
        <w:tc>
          <w:tcPr>
            <w:tcW w:w="2240" w:type="dxa"/>
            <w:vAlign w:val="bottom"/>
            <w:gridSpan w:val="2"/>
          </w:tcPr>
          <w:p>
            <w:pPr>
              <w:jc w:val="right"/>
              <w:ind w:right="341"/>
              <w:spacing w:after="0"/>
              <w:rPr>
                <w:sz w:val="20"/>
                <w:szCs w:val="20"/>
                <w:color w:val="auto"/>
              </w:rPr>
            </w:pPr>
            <w:r>
              <w:rPr>
                <w:rFonts w:ascii="Arial" w:cs="Arial" w:eastAsia="Arial" w:hAnsi="Arial"/>
                <w:sz w:val="12"/>
                <w:szCs w:val="12"/>
                <w:b w:val="1"/>
                <w:bCs w:val="1"/>
                <w:color w:val="2952A4"/>
              </w:rPr>
              <w:t>Shares of Common Stock</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tcBorders>
              <w:bottom w:val="single" w:sz="8" w:color="2952A4"/>
            </w:tcBorders>
            <w:gridSpan w:val="2"/>
          </w:tcPr>
          <w:p>
            <w:pPr>
              <w:jc w:val="center"/>
              <w:spacing w:after="0" w:line="182" w:lineRule="exact"/>
              <w:rPr>
                <w:sz w:val="20"/>
                <w:szCs w:val="20"/>
                <w:color w:val="auto"/>
              </w:rPr>
            </w:pPr>
            <w:r>
              <w:rPr>
                <w:rFonts w:ascii="Arial" w:cs="Arial" w:eastAsia="Arial" w:hAnsi="Arial"/>
                <w:sz w:val="12"/>
                <w:szCs w:val="12"/>
                <w:b w:val="1"/>
                <w:bCs w:val="1"/>
                <w:color w:val="2952A4"/>
                <w:w w:val="97"/>
              </w:rPr>
              <w:t>Beneficially Owned</w:t>
            </w:r>
            <w:r>
              <w:rPr>
                <w:rFonts w:ascii="Arial" w:cs="Arial" w:eastAsia="Arial" w:hAnsi="Arial"/>
                <w:sz w:val="19"/>
                <w:szCs w:val="19"/>
                <w:b w:val="1"/>
                <w:bCs w:val="1"/>
                <w:color w:val="2952A4"/>
                <w:w w:val="97"/>
                <w:vertAlign w:val="superscript"/>
              </w:rPr>
              <w:t>1</w:t>
            </w:r>
          </w:p>
        </w:tc>
        <w:tc>
          <w:tcPr>
            <w:tcW w:w="240" w:type="dxa"/>
            <w:vAlign w:val="bottom"/>
          </w:tcPr>
          <w:p>
            <w:pPr>
              <w:spacing w:after="0"/>
              <w:rPr>
                <w:sz w:val="15"/>
                <w:szCs w:val="15"/>
                <w:color w:val="auto"/>
              </w:rPr>
            </w:pPr>
          </w:p>
        </w:tc>
        <w:tc>
          <w:tcPr>
            <w:tcW w:w="2240" w:type="dxa"/>
            <w:vAlign w:val="bottom"/>
            <w:tcBorders>
              <w:bottom w:val="single" w:sz="8" w:color="2952A4"/>
            </w:tcBorders>
            <w:gridSpan w:val="2"/>
          </w:tcPr>
          <w:p>
            <w:pPr>
              <w:jc w:val="right"/>
              <w:ind w:right="501"/>
              <w:spacing w:after="0" w:line="182" w:lineRule="exact"/>
              <w:rPr>
                <w:sz w:val="20"/>
                <w:szCs w:val="20"/>
                <w:color w:val="auto"/>
              </w:rPr>
            </w:pPr>
            <w:r>
              <w:rPr>
                <w:rFonts w:ascii="Arial" w:cs="Arial" w:eastAsia="Arial" w:hAnsi="Arial"/>
                <w:sz w:val="12"/>
                <w:szCs w:val="12"/>
                <w:b w:val="1"/>
                <w:bCs w:val="1"/>
                <w:color w:val="2952A4"/>
              </w:rPr>
              <w:t>Beneficially Owned</w:t>
            </w:r>
            <w:r>
              <w:rPr>
                <w:rFonts w:ascii="Arial" w:cs="Arial" w:eastAsia="Arial" w:hAnsi="Arial"/>
                <w:sz w:val="19"/>
                <w:szCs w:val="19"/>
                <w:b w:val="1"/>
                <w:bCs w:val="1"/>
                <w:color w:val="2952A4"/>
                <w:vertAlign w:val="superscript"/>
              </w:rPr>
              <w:t>1</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2952A4"/>
            </w:tcBorders>
          </w:tcPr>
          <w:p>
            <w:pPr>
              <w:ind w:left="40"/>
              <w:spacing w:after="0"/>
              <w:rPr>
                <w:sz w:val="20"/>
                <w:szCs w:val="20"/>
                <w:color w:val="auto"/>
              </w:rPr>
            </w:pPr>
            <w:r>
              <w:rPr>
                <w:rFonts w:ascii="Arial" w:cs="Arial" w:eastAsia="Arial" w:hAnsi="Arial"/>
                <w:sz w:val="12"/>
                <w:szCs w:val="12"/>
                <w:b w:val="1"/>
                <w:bCs w:val="1"/>
                <w:color w:val="2952A4"/>
              </w:rPr>
              <w:t>Name and Address of Beneficial Owner</w:t>
            </w:r>
          </w:p>
        </w:tc>
        <w:tc>
          <w:tcPr>
            <w:tcW w:w="240" w:type="dxa"/>
            <w:vAlign w:val="bottom"/>
            <w:tcBorders>
              <w:bottom w:val="single" w:sz="8" w:color="2952A4"/>
            </w:tcBorders>
          </w:tcPr>
          <w:p>
            <w:pPr>
              <w:spacing w:after="0"/>
              <w:rPr>
                <w:sz w:val="20"/>
                <w:szCs w:val="20"/>
                <w:color w:val="auto"/>
              </w:rPr>
            </w:pPr>
          </w:p>
        </w:tc>
        <w:tc>
          <w:tcPr>
            <w:tcW w:w="1020" w:type="dxa"/>
            <w:vAlign w:val="bottom"/>
            <w:tcBorders>
              <w:bottom w:val="single" w:sz="8" w:color="2952A4"/>
            </w:tcBorders>
          </w:tcPr>
          <w:p>
            <w:pPr>
              <w:ind w:left="260"/>
              <w:spacing w:after="0"/>
              <w:rPr>
                <w:sz w:val="20"/>
                <w:szCs w:val="20"/>
                <w:color w:val="auto"/>
              </w:rPr>
            </w:pPr>
            <w:r>
              <w:rPr>
                <w:rFonts w:ascii="Arial" w:cs="Arial" w:eastAsia="Arial" w:hAnsi="Arial"/>
                <w:sz w:val="12"/>
                <w:szCs w:val="12"/>
                <w:b w:val="1"/>
                <w:bCs w:val="1"/>
                <w:color w:val="2952A4"/>
              </w:rPr>
              <w:t>Number</w:t>
            </w:r>
          </w:p>
        </w:tc>
        <w:tc>
          <w:tcPr>
            <w:tcW w:w="1400" w:type="dxa"/>
            <w:vAlign w:val="bottom"/>
            <w:tcBorders>
              <w:bottom w:val="single" w:sz="8" w:color="2952A4"/>
            </w:tcBorders>
            <w:gridSpan w:val="2"/>
          </w:tcPr>
          <w:p>
            <w:pPr>
              <w:ind w:left="220"/>
              <w:spacing w:after="0"/>
              <w:rPr>
                <w:sz w:val="20"/>
                <w:szCs w:val="20"/>
                <w:color w:val="auto"/>
              </w:rPr>
            </w:pPr>
            <w:r>
              <w:rPr>
                <w:rFonts w:ascii="Arial" w:cs="Arial" w:eastAsia="Arial" w:hAnsi="Arial"/>
                <w:sz w:val="12"/>
                <w:szCs w:val="12"/>
                <w:b w:val="1"/>
                <w:bCs w:val="1"/>
                <w:color w:val="2952A4"/>
              </w:rPr>
              <w:t>Percent of Class</w:t>
            </w:r>
          </w:p>
        </w:tc>
        <w:tc>
          <w:tcPr>
            <w:tcW w:w="1160" w:type="dxa"/>
            <w:vAlign w:val="bottom"/>
            <w:tcBorders>
              <w:bottom w:val="single" w:sz="8" w:color="2952A4"/>
            </w:tcBorders>
          </w:tcPr>
          <w:p>
            <w:pPr>
              <w:jc w:val="right"/>
              <w:ind w:right="336"/>
              <w:spacing w:after="0"/>
              <w:rPr>
                <w:sz w:val="20"/>
                <w:szCs w:val="20"/>
                <w:color w:val="auto"/>
              </w:rPr>
            </w:pPr>
            <w:r>
              <w:rPr>
                <w:rFonts w:ascii="Arial" w:cs="Arial" w:eastAsia="Arial" w:hAnsi="Arial"/>
                <w:sz w:val="12"/>
                <w:szCs w:val="12"/>
                <w:b w:val="1"/>
                <w:bCs w:val="1"/>
                <w:color w:val="2952A4"/>
              </w:rPr>
              <w:t>Number</w:t>
            </w:r>
            <w:r>
              <w:rPr>
                <w:rFonts w:ascii="Arial" w:cs="Arial" w:eastAsia="Arial" w:hAnsi="Arial"/>
                <w:sz w:val="19"/>
                <w:szCs w:val="19"/>
                <w:b w:val="1"/>
                <w:bCs w:val="1"/>
                <w:color w:val="2952A4"/>
                <w:vertAlign w:val="superscript"/>
              </w:rPr>
              <w:t>2</w:t>
            </w:r>
          </w:p>
        </w:tc>
        <w:tc>
          <w:tcPr>
            <w:tcW w:w="1080" w:type="dxa"/>
            <w:vAlign w:val="bottom"/>
            <w:tcBorders>
              <w:bottom w:val="single" w:sz="8" w:color="2952A4"/>
            </w:tcBorders>
          </w:tcPr>
          <w:p>
            <w:pPr>
              <w:jc w:val="right"/>
              <w:spacing w:after="0"/>
              <w:rPr>
                <w:sz w:val="20"/>
                <w:szCs w:val="20"/>
                <w:color w:val="auto"/>
              </w:rPr>
            </w:pPr>
            <w:r>
              <w:rPr>
                <w:rFonts w:ascii="Arial" w:cs="Arial" w:eastAsia="Arial" w:hAnsi="Arial"/>
                <w:sz w:val="12"/>
                <w:szCs w:val="12"/>
                <w:b w:val="1"/>
                <w:bCs w:val="1"/>
                <w:color w:val="2952A4"/>
              </w:rPr>
              <w:t>Percent of Class</w:t>
            </w:r>
          </w:p>
        </w:tc>
        <w:tc>
          <w:tcPr>
            <w:tcW w:w="0" w:type="dxa"/>
            <w:vAlign w:val="bottom"/>
          </w:tcPr>
          <w:p>
            <w:pPr>
              <w:spacing w:after="0"/>
              <w:rPr>
                <w:sz w:val="1"/>
                <w:szCs w:val="1"/>
                <w:color w:val="auto"/>
              </w:rPr>
            </w:pPr>
          </w:p>
        </w:tc>
      </w:tr>
      <w:tr>
        <w:trPr>
          <w:trHeight w:val="150"/>
        </w:trPr>
        <w:tc>
          <w:tcPr>
            <w:tcW w:w="3200" w:type="dxa"/>
            <w:vAlign w:val="bottom"/>
          </w:tcPr>
          <w:p>
            <w:pPr>
              <w:ind w:left="40"/>
              <w:spacing w:after="0"/>
              <w:rPr>
                <w:sz w:val="20"/>
                <w:szCs w:val="20"/>
                <w:color w:val="auto"/>
              </w:rPr>
            </w:pPr>
            <w:r>
              <w:rPr>
                <w:rFonts w:ascii="Arial" w:cs="Arial" w:eastAsia="Arial" w:hAnsi="Arial"/>
                <w:sz w:val="12"/>
                <w:szCs w:val="12"/>
                <w:b w:val="1"/>
                <w:bCs w:val="1"/>
                <w:color w:val="2952A4"/>
              </w:rPr>
              <w:t>Beneficial Owners of More than 5% of Class A Stock or</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40"/>
              <w:spacing w:after="0" w:line="135" w:lineRule="exact"/>
              <w:rPr>
                <w:sz w:val="20"/>
                <w:szCs w:val="20"/>
                <w:color w:val="auto"/>
              </w:rPr>
            </w:pPr>
            <w:r>
              <w:rPr>
                <w:rFonts w:ascii="Arial" w:cs="Arial" w:eastAsia="Arial" w:hAnsi="Arial"/>
                <w:sz w:val="12"/>
                <w:szCs w:val="12"/>
                <w:b w:val="1"/>
                <w:bCs w:val="1"/>
                <w:color w:val="2952A4"/>
              </w:rPr>
              <w:t>Common Stock (Other than Directors and Executive</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200" w:type="dxa"/>
            <w:vAlign w:val="bottom"/>
            <w:tcBorders>
              <w:bottom w:val="single" w:sz="8" w:color="2952A4"/>
            </w:tcBorders>
          </w:tcPr>
          <w:p>
            <w:pPr>
              <w:ind w:left="40"/>
              <w:spacing w:after="0"/>
              <w:rPr>
                <w:sz w:val="20"/>
                <w:szCs w:val="20"/>
                <w:color w:val="auto"/>
              </w:rPr>
            </w:pPr>
            <w:r>
              <w:rPr>
                <w:rFonts w:ascii="Arial" w:cs="Arial" w:eastAsia="Arial" w:hAnsi="Arial"/>
                <w:sz w:val="12"/>
                <w:szCs w:val="12"/>
                <w:b w:val="1"/>
                <w:bCs w:val="1"/>
                <w:color w:val="2952A4"/>
              </w:rPr>
              <w:t>Officers):</w:t>
            </w:r>
          </w:p>
        </w:tc>
        <w:tc>
          <w:tcPr>
            <w:tcW w:w="240" w:type="dxa"/>
            <w:vAlign w:val="bottom"/>
            <w:tcBorders>
              <w:bottom w:val="single" w:sz="8" w:color="2952A4"/>
            </w:tcBorders>
          </w:tcPr>
          <w:p>
            <w:pPr>
              <w:spacing w:after="0"/>
              <w:rPr>
                <w:sz w:val="15"/>
                <w:szCs w:val="15"/>
                <w:color w:val="auto"/>
              </w:rPr>
            </w:pPr>
          </w:p>
        </w:tc>
        <w:tc>
          <w:tcPr>
            <w:tcW w:w="1020" w:type="dxa"/>
            <w:vAlign w:val="bottom"/>
            <w:tcBorders>
              <w:bottom w:val="single" w:sz="8" w:color="2952A4"/>
            </w:tcBorders>
          </w:tcPr>
          <w:p>
            <w:pPr>
              <w:spacing w:after="0"/>
              <w:rPr>
                <w:sz w:val="15"/>
                <w:szCs w:val="15"/>
                <w:color w:val="auto"/>
              </w:rPr>
            </w:pPr>
          </w:p>
        </w:tc>
        <w:tc>
          <w:tcPr>
            <w:tcW w:w="1160" w:type="dxa"/>
            <w:vAlign w:val="bottom"/>
            <w:tcBorders>
              <w:bottom w:val="single" w:sz="8" w:color="2952A4"/>
            </w:tcBorders>
          </w:tcPr>
          <w:p>
            <w:pPr>
              <w:spacing w:after="0"/>
              <w:rPr>
                <w:sz w:val="15"/>
                <w:szCs w:val="15"/>
                <w:color w:val="auto"/>
              </w:rPr>
            </w:pPr>
          </w:p>
        </w:tc>
        <w:tc>
          <w:tcPr>
            <w:tcW w:w="240" w:type="dxa"/>
            <w:vAlign w:val="bottom"/>
            <w:tcBorders>
              <w:bottom w:val="single" w:sz="8" w:color="2952A4"/>
            </w:tcBorders>
          </w:tcPr>
          <w:p>
            <w:pPr>
              <w:spacing w:after="0"/>
              <w:rPr>
                <w:sz w:val="15"/>
                <w:szCs w:val="15"/>
                <w:color w:val="auto"/>
              </w:rPr>
            </w:pPr>
          </w:p>
        </w:tc>
        <w:tc>
          <w:tcPr>
            <w:tcW w:w="1160" w:type="dxa"/>
            <w:vAlign w:val="bottom"/>
            <w:tcBorders>
              <w:bottom w:val="single" w:sz="8" w:color="2952A4"/>
            </w:tcBorders>
          </w:tcPr>
          <w:p>
            <w:pPr>
              <w:spacing w:after="0"/>
              <w:rPr>
                <w:sz w:val="15"/>
                <w:szCs w:val="15"/>
                <w:color w:val="auto"/>
              </w:rPr>
            </w:pPr>
          </w:p>
        </w:tc>
        <w:tc>
          <w:tcPr>
            <w:tcW w:w="1080" w:type="dxa"/>
            <w:vAlign w:val="bottom"/>
            <w:tcBorders>
              <w:bottom w:val="single" w:sz="8" w:color="2952A4"/>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40"/>
              <w:spacing w:after="0" w:line="206" w:lineRule="exact"/>
              <w:rPr>
                <w:sz w:val="20"/>
                <w:szCs w:val="20"/>
                <w:color w:val="auto"/>
              </w:rPr>
            </w:pPr>
            <w:r>
              <w:rPr>
                <w:rFonts w:ascii="Arial" w:cs="Arial" w:eastAsia="Arial" w:hAnsi="Arial"/>
                <w:sz w:val="13"/>
                <w:szCs w:val="13"/>
                <w:b w:val="1"/>
                <w:bCs w:val="1"/>
                <w:color w:val="C04C57"/>
              </w:rPr>
              <w:t>Sanofi</w:t>
            </w:r>
            <w:r>
              <w:rPr>
                <w:rFonts w:ascii="Arial" w:cs="Arial" w:eastAsia="Arial" w:hAnsi="Arial"/>
                <w:sz w:val="20"/>
                <w:szCs w:val="20"/>
                <w:b w:val="1"/>
                <w:bCs w:val="1"/>
                <w:color w:val="C04C57"/>
                <w:vertAlign w:val="superscript"/>
              </w:rPr>
              <w:t>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40"/>
              <w:spacing w:after="0"/>
              <w:rPr>
                <w:sz w:val="20"/>
                <w:szCs w:val="20"/>
                <w:color w:val="auto"/>
              </w:rPr>
            </w:pPr>
            <w:r>
              <w:rPr>
                <w:rFonts w:ascii="Arial" w:cs="Arial" w:eastAsia="Arial" w:hAnsi="Arial"/>
                <w:sz w:val="13"/>
                <w:szCs w:val="13"/>
                <w:color w:val="231F20"/>
              </w:rPr>
              <w:t>54, rue La Boetie</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00" w:type="dxa"/>
            <w:vAlign w:val="bottom"/>
            <w:tcBorders>
              <w:bottom w:val="single" w:sz="8" w:color="2952A4"/>
            </w:tcBorders>
          </w:tcPr>
          <w:p>
            <w:pPr>
              <w:ind w:left="40"/>
              <w:spacing w:after="0"/>
              <w:rPr>
                <w:sz w:val="20"/>
                <w:szCs w:val="20"/>
                <w:color w:val="auto"/>
              </w:rPr>
            </w:pPr>
            <w:r>
              <w:rPr>
                <w:rFonts w:ascii="Arial" w:cs="Arial" w:eastAsia="Arial" w:hAnsi="Arial"/>
                <w:sz w:val="13"/>
                <w:szCs w:val="13"/>
                <w:color w:val="231F20"/>
              </w:rPr>
              <w:t>75008 Paris, France</w:t>
            </w:r>
          </w:p>
        </w:tc>
        <w:tc>
          <w:tcPr>
            <w:tcW w:w="240" w:type="dxa"/>
            <w:vAlign w:val="bottom"/>
            <w:tcBorders>
              <w:bottom w:val="single" w:sz="8" w:color="2952A4"/>
            </w:tcBorders>
          </w:tcPr>
          <w:p>
            <w:pPr>
              <w:spacing w:after="0"/>
              <w:rPr>
                <w:sz w:val="14"/>
                <w:szCs w:val="14"/>
                <w:color w:val="auto"/>
              </w:rPr>
            </w:pPr>
          </w:p>
        </w:tc>
        <w:tc>
          <w:tcPr>
            <w:tcW w:w="1020" w:type="dxa"/>
            <w:vAlign w:val="bottom"/>
            <w:tcBorders>
              <w:bottom w:val="single" w:sz="8" w:color="2952A4"/>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2952A4"/>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2952A4"/>
            </w:tcBorders>
          </w:tcPr>
          <w:p>
            <w:pPr>
              <w:jc w:val="right"/>
              <w:ind w:right="196"/>
              <w:spacing w:after="0"/>
              <w:rPr>
                <w:sz w:val="20"/>
                <w:szCs w:val="20"/>
                <w:color w:val="auto"/>
              </w:rPr>
            </w:pPr>
            <w:r>
              <w:rPr>
                <w:rFonts w:ascii="Arial" w:cs="Arial" w:eastAsia="Arial" w:hAnsi="Arial"/>
                <w:sz w:val="13"/>
                <w:szCs w:val="13"/>
                <w:color w:val="231F20"/>
              </w:rPr>
              <w:t>23,221,451</w:t>
            </w:r>
          </w:p>
        </w:tc>
        <w:tc>
          <w:tcPr>
            <w:tcW w:w="1080" w:type="dxa"/>
            <w:vAlign w:val="bottom"/>
            <w:tcBorders>
              <w:bottom w:val="single" w:sz="8" w:color="2952A4"/>
            </w:tcBorders>
          </w:tcPr>
          <w:p>
            <w:pPr>
              <w:jc w:val="right"/>
              <w:ind w:right="161"/>
              <w:spacing w:after="0"/>
              <w:rPr>
                <w:sz w:val="20"/>
                <w:szCs w:val="20"/>
                <w:color w:val="auto"/>
              </w:rPr>
            </w:pPr>
            <w:r>
              <w:rPr>
                <w:rFonts w:ascii="Arial" w:cs="Arial" w:eastAsia="Arial" w:hAnsi="Arial"/>
                <w:sz w:val="13"/>
                <w:szCs w:val="13"/>
                <w:color w:val="231F20"/>
              </w:rPr>
              <w:t>21.0%</w:t>
            </w:r>
          </w:p>
        </w:tc>
        <w:tc>
          <w:tcPr>
            <w:tcW w:w="0" w:type="dxa"/>
            <w:vAlign w:val="bottom"/>
          </w:tcPr>
          <w:p>
            <w:pPr>
              <w:spacing w:after="0"/>
              <w:rPr>
                <w:sz w:val="1"/>
                <w:szCs w:val="1"/>
                <w:color w:val="auto"/>
              </w:rPr>
            </w:pPr>
          </w:p>
        </w:tc>
      </w:tr>
      <w:tr>
        <w:trPr>
          <w:trHeight w:val="203"/>
        </w:trPr>
        <w:tc>
          <w:tcPr>
            <w:tcW w:w="3200" w:type="dxa"/>
            <w:vAlign w:val="bottom"/>
            <w:shd w:val="clear" w:color="auto" w:fill="EAEAEC"/>
          </w:tcPr>
          <w:p>
            <w:pPr>
              <w:ind w:left="40"/>
              <w:spacing w:after="0" w:line="203" w:lineRule="exact"/>
              <w:rPr>
                <w:sz w:val="20"/>
                <w:szCs w:val="20"/>
                <w:color w:val="auto"/>
              </w:rPr>
            </w:pPr>
            <w:r>
              <w:rPr>
                <w:rFonts w:ascii="Arial" w:cs="Arial" w:eastAsia="Arial" w:hAnsi="Arial"/>
                <w:sz w:val="13"/>
                <w:szCs w:val="13"/>
                <w:b w:val="1"/>
                <w:bCs w:val="1"/>
                <w:color w:val="C04C57"/>
              </w:rPr>
              <w:t>Capital World Investors</w:t>
            </w:r>
            <w:r>
              <w:rPr>
                <w:rFonts w:ascii="Arial" w:cs="Arial" w:eastAsia="Arial" w:hAnsi="Arial"/>
                <w:sz w:val="20"/>
                <w:szCs w:val="20"/>
                <w:b w:val="1"/>
                <w:bCs w:val="1"/>
                <w:color w:val="C04C57"/>
                <w:vertAlign w:val="superscript"/>
              </w:rPr>
              <w:t>4</w:t>
            </w:r>
          </w:p>
        </w:tc>
        <w:tc>
          <w:tcPr>
            <w:tcW w:w="240" w:type="dxa"/>
            <w:vAlign w:val="bottom"/>
            <w:shd w:val="clear" w:color="auto" w:fill="EAEAEC"/>
          </w:tcPr>
          <w:p>
            <w:pPr>
              <w:spacing w:after="0"/>
              <w:rPr>
                <w:sz w:val="17"/>
                <w:szCs w:val="17"/>
                <w:color w:val="auto"/>
              </w:rPr>
            </w:pPr>
          </w:p>
        </w:tc>
        <w:tc>
          <w:tcPr>
            <w:tcW w:w="1020" w:type="dxa"/>
            <w:vAlign w:val="bottom"/>
            <w:shd w:val="clear" w:color="auto" w:fill="EAEAEC"/>
          </w:tcPr>
          <w:p>
            <w:pPr>
              <w:spacing w:after="0"/>
              <w:rPr>
                <w:sz w:val="17"/>
                <w:szCs w:val="17"/>
                <w:color w:val="auto"/>
              </w:rPr>
            </w:pPr>
          </w:p>
        </w:tc>
        <w:tc>
          <w:tcPr>
            <w:tcW w:w="1160" w:type="dxa"/>
            <w:vAlign w:val="bottom"/>
            <w:shd w:val="clear" w:color="auto" w:fill="EAEAEC"/>
          </w:tcPr>
          <w:p>
            <w:pPr>
              <w:spacing w:after="0"/>
              <w:rPr>
                <w:sz w:val="17"/>
                <w:szCs w:val="17"/>
                <w:color w:val="auto"/>
              </w:rPr>
            </w:pPr>
          </w:p>
        </w:tc>
        <w:tc>
          <w:tcPr>
            <w:tcW w:w="240" w:type="dxa"/>
            <w:vAlign w:val="bottom"/>
            <w:shd w:val="clear" w:color="auto" w:fill="EAEAEC"/>
          </w:tcPr>
          <w:p>
            <w:pPr>
              <w:spacing w:after="0"/>
              <w:rPr>
                <w:sz w:val="17"/>
                <w:szCs w:val="17"/>
                <w:color w:val="auto"/>
              </w:rPr>
            </w:pPr>
          </w:p>
        </w:tc>
        <w:tc>
          <w:tcPr>
            <w:tcW w:w="1160" w:type="dxa"/>
            <w:vAlign w:val="bottom"/>
            <w:shd w:val="clear" w:color="auto" w:fill="EAEAEC"/>
          </w:tcPr>
          <w:p>
            <w:pPr>
              <w:spacing w:after="0"/>
              <w:rPr>
                <w:sz w:val="17"/>
                <w:szCs w:val="17"/>
                <w:color w:val="auto"/>
              </w:rPr>
            </w:pPr>
          </w:p>
        </w:tc>
        <w:tc>
          <w:tcPr>
            <w:tcW w:w="1080" w:type="dxa"/>
            <w:vAlign w:val="bottom"/>
            <w:shd w:val="clear" w:color="auto" w:fill="EAEAE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00" w:type="dxa"/>
            <w:vAlign w:val="bottom"/>
            <w:shd w:val="clear" w:color="auto" w:fill="EAEAEC"/>
          </w:tcPr>
          <w:p>
            <w:pPr>
              <w:ind w:left="40"/>
              <w:spacing w:after="0"/>
              <w:rPr>
                <w:sz w:val="20"/>
                <w:szCs w:val="20"/>
                <w:color w:val="auto"/>
              </w:rPr>
            </w:pPr>
            <w:r>
              <w:rPr>
                <w:rFonts w:ascii="Arial" w:cs="Arial" w:eastAsia="Arial" w:hAnsi="Arial"/>
                <w:sz w:val="13"/>
                <w:szCs w:val="13"/>
                <w:color w:val="231F20"/>
              </w:rPr>
              <w:t>333 South Hope Street</w:t>
            </w:r>
          </w:p>
        </w:tc>
        <w:tc>
          <w:tcPr>
            <w:tcW w:w="240" w:type="dxa"/>
            <w:vAlign w:val="bottom"/>
            <w:shd w:val="clear" w:color="auto" w:fill="EAEAEC"/>
          </w:tcPr>
          <w:p>
            <w:pPr>
              <w:spacing w:after="0"/>
              <w:rPr>
                <w:sz w:val="13"/>
                <w:szCs w:val="13"/>
                <w:color w:val="auto"/>
              </w:rPr>
            </w:pPr>
          </w:p>
        </w:tc>
        <w:tc>
          <w:tcPr>
            <w:tcW w:w="1020" w:type="dxa"/>
            <w:vAlign w:val="bottom"/>
            <w:shd w:val="clear" w:color="auto" w:fill="EAEAEC"/>
          </w:tcPr>
          <w:p>
            <w:pPr>
              <w:spacing w:after="0"/>
              <w:rPr>
                <w:sz w:val="13"/>
                <w:szCs w:val="13"/>
                <w:color w:val="auto"/>
              </w:rPr>
            </w:pPr>
          </w:p>
        </w:tc>
        <w:tc>
          <w:tcPr>
            <w:tcW w:w="1160" w:type="dxa"/>
            <w:vAlign w:val="bottom"/>
            <w:shd w:val="clear" w:color="auto" w:fill="EAEAEC"/>
          </w:tcPr>
          <w:p>
            <w:pPr>
              <w:spacing w:after="0"/>
              <w:rPr>
                <w:sz w:val="13"/>
                <w:szCs w:val="13"/>
                <w:color w:val="auto"/>
              </w:rPr>
            </w:pPr>
          </w:p>
        </w:tc>
        <w:tc>
          <w:tcPr>
            <w:tcW w:w="240" w:type="dxa"/>
            <w:vAlign w:val="bottom"/>
            <w:shd w:val="clear" w:color="auto" w:fill="EAEAEC"/>
          </w:tcPr>
          <w:p>
            <w:pPr>
              <w:spacing w:after="0"/>
              <w:rPr>
                <w:sz w:val="13"/>
                <w:szCs w:val="13"/>
                <w:color w:val="auto"/>
              </w:rPr>
            </w:pPr>
          </w:p>
        </w:tc>
        <w:tc>
          <w:tcPr>
            <w:tcW w:w="1160" w:type="dxa"/>
            <w:vAlign w:val="bottom"/>
            <w:shd w:val="clear" w:color="auto" w:fill="EAEAEC"/>
          </w:tcPr>
          <w:p>
            <w:pPr>
              <w:spacing w:after="0"/>
              <w:rPr>
                <w:sz w:val="13"/>
                <w:szCs w:val="13"/>
                <w:color w:val="auto"/>
              </w:rPr>
            </w:pPr>
          </w:p>
        </w:tc>
        <w:tc>
          <w:tcPr>
            <w:tcW w:w="1080" w:type="dxa"/>
            <w:vAlign w:val="bottom"/>
            <w:shd w:val="clear" w:color="auto" w:fill="EAEAE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color w:val="231F20"/>
              </w:rPr>
              <w:t>Los Angeles, California 90071</w:t>
            </w:r>
          </w:p>
        </w:tc>
        <w:tc>
          <w:tcPr>
            <w:tcW w:w="240" w:type="dxa"/>
            <w:vAlign w:val="bottom"/>
            <w:tcBorders>
              <w:bottom w:val="single" w:sz="8" w:color="auto"/>
            </w:tcBorders>
            <w:shd w:val="clear" w:color="auto" w:fill="EAEAEC"/>
          </w:tcPr>
          <w:p>
            <w:pPr>
              <w:spacing w:after="0"/>
              <w:rPr>
                <w:sz w:val="14"/>
                <w:szCs w:val="14"/>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8,351,951</w:t>
            </w:r>
          </w:p>
        </w:tc>
        <w:tc>
          <w:tcPr>
            <w:tcW w:w="1080" w:type="dxa"/>
            <w:vAlign w:val="bottom"/>
            <w:tcBorders>
              <w:bottom w:val="single" w:sz="8" w:color="auto"/>
            </w:tcBorders>
            <w:shd w:val="clear" w:color="auto" w:fill="EAEAEC"/>
          </w:tcPr>
          <w:p>
            <w:pPr>
              <w:jc w:val="right"/>
              <w:ind w:right="161"/>
              <w:spacing w:after="0"/>
              <w:rPr>
                <w:sz w:val="20"/>
                <w:szCs w:val="20"/>
                <w:color w:val="auto"/>
              </w:rPr>
            </w:pPr>
            <w:r>
              <w:rPr>
                <w:rFonts w:ascii="Arial" w:cs="Arial" w:eastAsia="Arial" w:hAnsi="Arial"/>
                <w:sz w:val="13"/>
                <w:szCs w:val="13"/>
                <w:color w:val="231F20"/>
              </w:rPr>
              <w:t>7.5%</w:t>
            </w:r>
          </w:p>
        </w:tc>
        <w:tc>
          <w:tcPr>
            <w:tcW w:w="0" w:type="dxa"/>
            <w:vAlign w:val="bottom"/>
          </w:tcPr>
          <w:p>
            <w:pPr>
              <w:spacing w:after="0"/>
              <w:rPr>
                <w:sz w:val="1"/>
                <w:szCs w:val="1"/>
                <w:color w:val="auto"/>
              </w:rPr>
            </w:pPr>
          </w:p>
        </w:tc>
      </w:tr>
      <w:tr>
        <w:trPr>
          <w:trHeight w:val="206"/>
        </w:trPr>
        <w:tc>
          <w:tcPr>
            <w:tcW w:w="3200" w:type="dxa"/>
            <w:vAlign w:val="bottom"/>
          </w:tcPr>
          <w:p>
            <w:pPr>
              <w:ind w:left="40"/>
              <w:spacing w:after="0" w:line="206" w:lineRule="exact"/>
              <w:rPr>
                <w:sz w:val="20"/>
                <w:szCs w:val="20"/>
                <w:color w:val="auto"/>
              </w:rPr>
            </w:pPr>
            <w:r>
              <w:rPr>
                <w:rFonts w:ascii="Arial" w:cs="Arial" w:eastAsia="Arial" w:hAnsi="Arial"/>
                <w:sz w:val="13"/>
                <w:szCs w:val="13"/>
                <w:b w:val="1"/>
                <w:bCs w:val="1"/>
                <w:color w:val="C04C57"/>
              </w:rPr>
              <w:t>The Vanguard Group, Inc.</w:t>
            </w:r>
            <w:r>
              <w:rPr>
                <w:rFonts w:ascii="Arial" w:cs="Arial" w:eastAsia="Arial" w:hAnsi="Arial"/>
                <w:sz w:val="20"/>
                <w:szCs w:val="20"/>
                <w:b w:val="1"/>
                <w:bCs w:val="1"/>
                <w:color w:val="C04C57"/>
                <w:vertAlign w:val="superscript"/>
              </w:rPr>
              <w:t>5</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40"/>
              <w:spacing w:after="0"/>
              <w:rPr>
                <w:sz w:val="20"/>
                <w:szCs w:val="20"/>
                <w:color w:val="auto"/>
              </w:rPr>
            </w:pPr>
            <w:r>
              <w:rPr>
                <w:rFonts w:ascii="Arial" w:cs="Arial" w:eastAsia="Arial" w:hAnsi="Arial"/>
                <w:sz w:val="13"/>
                <w:szCs w:val="13"/>
                <w:color w:val="231F20"/>
              </w:rPr>
              <w:t>100 Vanguard Blvd.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Malvern, PA 19355</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6,252,303</w:t>
            </w: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color w:val="231F20"/>
              </w:rPr>
              <w:t>5.6%</w:t>
            </w:r>
          </w:p>
        </w:tc>
        <w:tc>
          <w:tcPr>
            <w:tcW w:w="0" w:type="dxa"/>
            <w:vAlign w:val="bottom"/>
          </w:tcPr>
          <w:p>
            <w:pPr>
              <w:spacing w:after="0"/>
              <w:rPr>
                <w:sz w:val="1"/>
                <w:szCs w:val="1"/>
                <w:color w:val="auto"/>
              </w:rPr>
            </w:pPr>
          </w:p>
        </w:tc>
      </w:tr>
      <w:tr>
        <w:trPr>
          <w:trHeight w:val="203"/>
        </w:trPr>
        <w:tc>
          <w:tcPr>
            <w:tcW w:w="3200" w:type="dxa"/>
            <w:vAlign w:val="bottom"/>
            <w:shd w:val="clear" w:color="auto" w:fill="EAEAEC"/>
          </w:tcPr>
          <w:p>
            <w:pPr>
              <w:ind w:left="40"/>
              <w:spacing w:after="0" w:line="203" w:lineRule="exact"/>
              <w:rPr>
                <w:sz w:val="20"/>
                <w:szCs w:val="20"/>
                <w:color w:val="auto"/>
              </w:rPr>
            </w:pPr>
            <w:r>
              <w:rPr>
                <w:rFonts w:ascii="Arial" w:cs="Arial" w:eastAsia="Arial" w:hAnsi="Arial"/>
                <w:sz w:val="13"/>
                <w:szCs w:val="13"/>
                <w:b w:val="1"/>
                <w:bCs w:val="1"/>
                <w:color w:val="C04C57"/>
              </w:rPr>
              <w:t>BlackRock, Inc.</w:t>
            </w:r>
            <w:r>
              <w:rPr>
                <w:rFonts w:ascii="Arial" w:cs="Arial" w:eastAsia="Arial" w:hAnsi="Arial"/>
                <w:sz w:val="20"/>
                <w:szCs w:val="20"/>
                <w:b w:val="1"/>
                <w:bCs w:val="1"/>
                <w:color w:val="C04C57"/>
                <w:vertAlign w:val="superscript"/>
              </w:rPr>
              <w:t>6</w:t>
            </w:r>
          </w:p>
        </w:tc>
        <w:tc>
          <w:tcPr>
            <w:tcW w:w="240" w:type="dxa"/>
            <w:vAlign w:val="bottom"/>
            <w:shd w:val="clear" w:color="auto" w:fill="EAEAEC"/>
          </w:tcPr>
          <w:p>
            <w:pPr>
              <w:spacing w:after="0"/>
              <w:rPr>
                <w:sz w:val="17"/>
                <w:szCs w:val="17"/>
                <w:color w:val="auto"/>
              </w:rPr>
            </w:pPr>
          </w:p>
        </w:tc>
        <w:tc>
          <w:tcPr>
            <w:tcW w:w="1020" w:type="dxa"/>
            <w:vAlign w:val="bottom"/>
            <w:shd w:val="clear" w:color="auto" w:fill="EAEAEC"/>
          </w:tcPr>
          <w:p>
            <w:pPr>
              <w:spacing w:after="0"/>
              <w:rPr>
                <w:sz w:val="17"/>
                <w:szCs w:val="17"/>
                <w:color w:val="auto"/>
              </w:rPr>
            </w:pPr>
          </w:p>
        </w:tc>
        <w:tc>
          <w:tcPr>
            <w:tcW w:w="1160" w:type="dxa"/>
            <w:vAlign w:val="bottom"/>
            <w:shd w:val="clear" w:color="auto" w:fill="EAEAEC"/>
          </w:tcPr>
          <w:p>
            <w:pPr>
              <w:spacing w:after="0"/>
              <w:rPr>
                <w:sz w:val="17"/>
                <w:szCs w:val="17"/>
                <w:color w:val="auto"/>
              </w:rPr>
            </w:pPr>
          </w:p>
        </w:tc>
        <w:tc>
          <w:tcPr>
            <w:tcW w:w="240" w:type="dxa"/>
            <w:vAlign w:val="bottom"/>
            <w:shd w:val="clear" w:color="auto" w:fill="EAEAEC"/>
          </w:tcPr>
          <w:p>
            <w:pPr>
              <w:spacing w:after="0"/>
              <w:rPr>
                <w:sz w:val="17"/>
                <w:szCs w:val="17"/>
                <w:color w:val="auto"/>
              </w:rPr>
            </w:pPr>
          </w:p>
        </w:tc>
        <w:tc>
          <w:tcPr>
            <w:tcW w:w="1160" w:type="dxa"/>
            <w:vAlign w:val="bottom"/>
            <w:shd w:val="clear" w:color="auto" w:fill="EAEAEC"/>
          </w:tcPr>
          <w:p>
            <w:pPr>
              <w:spacing w:after="0"/>
              <w:rPr>
                <w:sz w:val="17"/>
                <w:szCs w:val="17"/>
                <w:color w:val="auto"/>
              </w:rPr>
            </w:pPr>
          </w:p>
        </w:tc>
        <w:tc>
          <w:tcPr>
            <w:tcW w:w="1080" w:type="dxa"/>
            <w:vAlign w:val="bottom"/>
            <w:shd w:val="clear" w:color="auto" w:fill="EAEAE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00" w:type="dxa"/>
            <w:vAlign w:val="bottom"/>
            <w:shd w:val="clear" w:color="auto" w:fill="EAEAEC"/>
          </w:tcPr>
          <w:p>
            <w:pPr>
              <w:ind w:left="40"/>
              <w:spacing w:after="0"/>
              <w:rPr>
                <w:sz w:val="20"/>
                <w:szCs w:val="20"/>
                <w:color w:val="auto"/>
              </w:rPr>
            </w:pPr>
            <w:r>
              <w:rPr>
                <w:rFonts w:ascii="Arial" w:cs="Arial" w:eastAsia="Arial" w:hAnsi="Arial"/>
                <w:sz w:val="13"/>
                <w:szCs w:val="13"/>
                <w:color w:val="231F20"/>
              </w:rPr>
              <w:t>55 East 52nd Street</w:t>
            </w:r>
          </w:p>
        </w:tc>
        <w:tc>
          <w:tcPr>
            <w:tcW w:w="240" w:type="dxa"/>
            <w:vAlign w:val="bottom"/>
            <w:shd w:val="clear" w:color="auto" w:fill="EAEAEC"/>
          </w:tcPr>
          <w:p>
            <w:pPr>
              <w:spacing w:after="0"/>
              <w:rPr>
                <w:sz w:val="13"/>
                <w:szCs w:val="13"/>
                <w:color w:val="auto"/>
              </w:rPr>
            </w:pPr>
          </w:p>
        </w:tc>
        <w:tc>
          <w:tcPr>
            <w:tcW w:w="1020" w:type="dxa"/>
            <w:vAlign w:val="bottom"/>
            <w:shd w:val="clear" w:color="auto" w:fill="EAEAEC"/>
          </w:tcPr>
          <w:p>
            <w:pPr>
              <w:spacing w:after="0"/>
              <w:rPr>
                <w:sz w:val="13"/>
                <w:szCs w:val="13"/>
                <w:color w:val="auto"/>
              </w:rPr>
            </w:pPr>
          </w:p>
        </w:tc>
        <w:tc>
          <w:tcPr>
            <w:tcW w:w="1160" w:type="dxa"/>
            <w:vAlign w:val="bottom"/>
            <w:shd w:val="clear" w:color="auto" w:fill="EAEAEC"/>
          </w:tcPr>
          <w:p>
            <w:pPr>
              <w:spacing w:after="0"/>
              <w:rPr>
                <w:sz w:val="13"/>
                <w:szCs w:val="13"/>
                <w:color w:val="auto"/>
              </w:rPr>
            </w:pPr>
          </w:p>
        </w:tc>
        <w:tc>
          <w:tcPr>
            <w:tcW w:w="240" w:type="dxa"/>
            <w:vAlign w:val="bottom"/>
            <w:shd w:val="clear" w:color="auto" w:fill="EAEAEC"/>
          </w:tcPr>
          <w:p>
            <w:pPr>
              <w:spacing w:after="0"/>
              <w:rPr>
                <w:sz w:val="13"/>
                <w:szCs w:val="13"/>
                <w:color w:val="auto"/>
              </w:rPr>
            </w:pPr>
          </w:p>
        </w:tc>
        <w:tc>
          <w:tcPr>
            <w:tcW w:w="1160" w:type="dxa"/>
            <w:vAlign w:val="bottom"/>
            <w:shd w:val="clear" w:color="auto" w:fill="EAEAEC"/>
          </w:tcPr>
          <w:p>
            <w:pPr>
              <w:spacing w:after="0"/>
              <w:rPr>
                <w:sz w:val="13"/>
                <w:szCs w:val="13"/>
                <w:color w:val="auto"/>
              </w:rPr>
            </w:pPr>
          </w:p>
        </w:tc>
        <w:tc>
          <w:tcPr>
            <w:tcW w:w="1080" w:type="dxa"/>
            <w:vAlign w:val="bottom"/>
            <w:shd w:val="clear" w:color="auto" w:fill="EAEAE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0" w:type="dxa"/>
            <w:vAlign w:val="bottom"/>
            <w:tcBorders>
              <w:bottom w:val="single" w:sz="8" w:color="2952A4"/>
            </w:tcBorders>
            <w:shd w:val="clear" w:color="auto" w:fill="EAEAEC"/>
          </w:tcPr>
          <w:p>
            <w:pPr>
              <w:ind w:left="40"/>
              <w:spacing w:after="0"/>
              <w:rPr>
                <w:sz w:val="20"/>
                <w:szCs w:val="20"/>
                <w:color w:val="auto"/>
              </w:rPr>
            </w:pPr>
            <w:r>
              <w:rPr>
                <w:rFonts w:ascii="Arial" w:cs="Arial" w:eastAsia="Arial" w:hAnsi="Arial"/>
                <w:sz w:val="13"/>
                <w:szCs w:val="13"/>
                <w:color w:val="231F20"/>
              </w:rPr>
              <w:t>New York, New York 10055</w:t>
            </w:r>
          </w:p>
        </w:tc>
        <w:tc>
          <w:tcPr>
            <w:tcW w:w="240" w:type="dxa"/>
            <w:vAlign w:val="bottom"/>
            <w:tcBorders>
              <w:bottom w:val="single" w:sz="8" w:color="2952A4"/>
            </w:tcBorders>
            <w:shd w:val="clear" w:color="auto" w:fill="EAEAEC"/>
          </w:tcPr>
          <w:p>
            <w:pPr>
              <w:spacing w:after="0"/>
              <w:rPr>
                <w:sz w:val="14"/>
                <w:szCs w:val="14"/>
                <w:color w:val="auto"/>
              </w:rPr>
            </w:pPr>
          </w:p>
        </w:tc>
        <w:tc>
          <w:tcPr>
            <w:tcW w:w="1020" w:type="dxa"/>
            <w:vAlign w:val="bottom"/>
            <w:tcBorders>
              <w:bottom w:val="single" w:sz="8" w:color="2952A4"/>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2952A4"/>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2952A4"/>
            </w:tcBorders>
            <w:shd w:val="clear" w:color="auto" w:fill="EAEAEC"/>
          </w:tcPr>
          <w:p>
            <w:pPr>
              <w:jc w:val="right"/>
              <w:ind w:right="196"/>
              <w:spacing w:after="0"/>
              <w:rPr>
                <w:sz w:val="20"/>
                <w:szCs w:val="20"/>
                <w:color w:val="auto"/>
              </w:rPr>
            </w:pPr>
            <w:r>
              <w:rPr>
                <w:rFonts w:ascii="Arial" w:cs="Arial" w:eastAsia="Arial" w:hAnsi="Arial"/>
                <w:sz w:val="13"/>
                <w:szCs w:val="13"/>
                <w:color w:val="231F20"/>
              </w:rPr>
              <w:t>6,138,848</w:t>
            </w:r>
          </w:p>
        </w:tc>
        <w:tc>
          <w:tcPr>
            <w:tcW w:w="1080" w:type="dxa"/>
            <w:vAlign w:val="bottom"/>
            <w:tcBorders>
              <w:bottom w:val="single" w:sz="8" w:color="2952A4"/>
            </w:tcBorders>
            <w:shd w:val="clear" w:color="auto" w:fill="EAEAEC"/>
          </w:tcPr>
          <w:p>
            <w:pPr>
              <w:jc w:val="right"/>
              <w:ind w:right="161"/>
              <w:spacing w:after="0"/>
              <w:rPr>
                <w:sz w:val="20"/>
                <w:szCs w:val="20"/>
                <w:color w:val="auto"/>
              </w:rPr>
            </w:pPr>
            <w:r>
              <w:rPr>
                <w:rFonts w:ascii="Arial" w:cs="Arial" w:eastAsia="Arial" w:hAnsi="Arial"/>
                <w:sz w:val="13"/>
                <w:szCs w:val="13"/>
                <w:color w:val="231F20"/>
              </w:rPr>
              <w:t>5.5%</w:t>
            </w:r>
          </w:p>
        </w:tc>
        <w:tc>
          <w:tcPr>
            <w:tcW w:w="0" w:type="dxa"/>
            <w:vAlign w:val="bottom"/>
          </w:tcPr>
          <w:p>
            <w:pPr>
              <w:spacing w:after="0"/>
              <w:rPr>
                <w:sz w:val="1"/>
                <w:szCs w:val="1"/>
                <w:color w:val="auto"/>
              </w:rPr>
            </w:pPr>
          </w:p>
        </w:tc>
      </w:tr>
      <w:tr>
        <w:trPr>
          <w:trHeight w:val="351"/>
        </w:trPr>
        <w:tc>
          <w:tcPr>
            <w:tcW w:w="3200" w:type="dxa"/>
            <w:vAlign w:val="bottom"/>
            <w:tcBorders>
              <w:bottom w:val="single" w:sz="8" w:color="2952A4"/>
            </w:tcBorders>
          </w:tcPr>
          <w:p>
            <w:pPr>
              <w:ind w:left="40"/>
              <w:spacing w:after="0"/>
              <w:rPr>
                <w:sz w:val="20"/>
                <w:szCs w:val="20"/>
                <w:color w:val="auto"/>
              </w:rPr>
            </w:pPr>
            <w:r>
              <w:rPr>
                <w:rFonts w:ascii="Arial" w:cs="Arial" w:eastAsia="Arial" w:hAnsi="Arial"/>
                <w:sz w:val="12"/>
                <w:szCs w:val="12"/>
                <w:b w:val="1"/>
                <w:bCs w:val="1"/>
                <w:color w:val="2952A4"/>
              </w:rPr>
              <w:t>Directors and Executive Officers:</w:t>
            </w:r>
            <w:r>
              <w:rPr>
                <w:rFonts w:ascii="Arial" w:cs="Arial" w:eastAsia="Arial" w:hAnsi="Arial"/>
                <w:sz w:val="19"/>
                <w:szCs w:val="19"/>
                <w:b w:val="1"/>
                <w:bCs w:val="1"/>
                <w:color w:val="2952A4"/>
                <w:vertAlign w:val="superscript"/>
              </w:rPr>
              <w:t>7</w:t>
            </w:r>
          </w:p>
        </w:tc>
        <w:tc>
          <w:tcPr>
            <w:tcW w:w="240" w:type="dxa"/>
            <w:vAlign w:val="bottom"/>
            <w:tcBorders>
              <w:bottom w:val="single" w:sz="8" w:color="2952A4"/>
            </w:tcBorders>
          </w:tcPr>
          <w:p>
            <w:pPr>
              <w:spacing w:after="0"/>
              <w:rPr>
                <w:sz w:val="24"/>
                <w:szCs w:val="24"/>
                <w:color w:val="auto"/>
              </w:rPr>
            </w:pPr>
          </w:p>
        </w:tc>
        <w:tc>
          <w:tcPr>
            <w:tcW w:w="1020" w:type="dxa"/>
            <w:vAlign w:val="bottom"/>
            <w:tcBorders>
              <w:bottom w:val="single" w:sz="8" w:color="2952A4"/>
            </w:tcBorders>
          </w:tcPr>
          <w:p>
            <w:pPr>
              <w:spacing w:after="0"/>
              <w:rPr>
                <w:sz w:val="24"/>
                <w:szCs w:val="24"/>
                <w:color w:val="auto"/>
              </w:rPr>
            </w:pPr>
          </w:p>
        </w:tc>
        <w:tc>
          <w:tcPr>
            <w:tcW w:w="1160" w:type="dxa"/>
            <w:vAlign w:val="bottom"/>
            <w:tcBorders>
              <w:bottom w:val="single" w:sz="8" w:color="2952A4"/>
            </w:tcBorders>
          </w:tcPr>
          <w:p>
            <w:pPr>
              <w:spacing w:after="0"/>
              <w:rPr>
                <w:sz w:val="24"/>
                <w:szCs w:val="24"/>
                <w:color w:val="auto"/>
              </w:rPr>
            </w:pPr>
          </w:p>
        </w:tc>
        <w:tc>
          <w:tcPr>
            <w:tcW w:w="240" w:type="dxa"/>
            <w:vAlign w:val="bottom"/>
            <w:tcBorders>
              <w:bottom w:val="single" w:sz="8" w:color="2952A4"/>
            </w:tcBorders>
          </w:tcPr>
          <w:p>
            <w:pPr>
              <w:spacing w:after="0"/>
              <w:rPr>
                <w:sz w:val="24"/>
                <w:szCs w:val="24"/>
                <w:color w:val="auto"/>
              </w:rPr>
            </w:pPr>
          </w:p>
        </w:tc>
        <w:tc>
          <w:tcPr>
            <w:tcW w:w="1160" w:type="dxa"/>
            <w:vAlign w:val="bottom"/>
            <w:tcBorders>
              <w:bottom w:val="single" w:sz="8" w:color="2952A4"/>
            </w:tcBorders>
          </w:tcPr>
          <w:p>
            <w:pPr>
              <w:spacing w:after="0"/>
              <w:rPr>
                <w:sz w:val="24"/>
                <w:szCs w:val="24"/>
                <w:color w:val="auto"/>
              </w:rPr>
            </w:pPr>
          </w:p>
        </w:tc>
        <w:tc>
          <w:tcPr>
            <w:tcW w:w="1080" w:type="dxa"/>
            <w:vAlign w:val="bottom"/>
            <w:tcBorders>
              <w:bottom w:val="single" w:sz="8" w:color="2952A4"/>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Leonard S. Schleifer, M.D., Ph.D.</w:t>
            </w:r>
          </w:p>
        </w:tc>
        <w:tc>
          <w:tcPr>
            <w:tcW w:w="1260" w:type="dxa"/>
            <w:vAlign w:val="bottom"/>
            <w:tcBorders>
              <w:bottom w:val="single" w:sz="8" w:color="auto"/>
            </w:tcBorders>
            <w:gridSpan w:val="2"/>
          </w:tcPr>
          <w:p>
            <w:pPr>
              <w:jc w:val="center"/>
              <w:ind w:left="115"/>
              <w:spacing w:after="0" w:line="223" w:lineRule="exact"/>
              <w:rPr>
                <w:sz w:val="20"/>
                <w:szCs w:val="20"/>
                <w:color w:val="auto"/>
              </w:rPr>
            </w:pPr>
            <w:r>
              <w:rPr>
                <w:rFonts w:ascii="Arial" w:cs="Arial" w:eastAsia="Arial" w:hAnsi="Arial"/>
                <w:sz w:val="13"/>
                <w:szCs w:val="13"/>
                <w:color w:val="231F20"/>
                <w:w w:val="97"/>
              </w:rPr>
              <w:t>1,726,565</w:t>
            </w:r>
            <w:r>
              <w:rPr>
                <w:rFonts w:ascii="Arial" w:cs="Arial" w:eastAsia="Arial" w:hAnsi="Arial"/>
                <w:sz w:val="21"/>
                <w:szCs w:val="21"/>
                <w:color w:val="231F20"/>
                <w:w w:val="97"/>
                <w:vertAlign w:val="superscript"/>
              </w:rPr>
              <w:t>8</w:t>
            </w:r>
          </w:p>
        </w:tc>
        <w:tc>
          <w:tcPr>
            <w:tcW w:w="1160" w:type="dxa"/>
            <w:vAlign w:val="bottom"/>
            <w:tcBorders>
              <w:bottom w:val="single" w:sz="8" w:color="auto"/>
            </w:tcBorders>
          </w:tcPr>
          <w:p>
            <w:pPr>
              <w:jc w:val="center"/>
              <w:ind w:left="135"/>
              <w:spacing w:after="0"/>
              <w:rPr>
                <w:sz w:val="20"/>
                <w:szCs w:val="20"/>
                <w:color w:val="auto"/>
              </w:rPr>
            </w:pPr>
            <w:r>
              <w:rPr>
                <w:rFonts w:ascii="Arial" w:cs="Arial" w:eastAsia="Arial" w:hAnsi="Arial"/>
                <w:sz w:val="13"/>
                <w:szCs w:val="13"/>
                <w:color w:val="231F20"/>
                <w:w w:val="97"/>
              </w:rPr>
              <w:t>93.4%</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6"/>
              <w:spacing w:after="0" w:line="223" w:lineRule="exact"/>
              <w:rPr>
                <w:sz w:val="20"/>
                <w:szCs w:val="20"/>
                <w:color w:val="auto"/>
              </w:rPr>
            </w:pPr>
            <w:r>
              <w:rPr>
                <w:rFonts w:ascii="Arial" w:cs="Arial" w:eastAsia="Arial" w:hAnsi="Arial"/>
                <w:sz w:val="13"/>
                <w:szCs w:val="13"/>
                <w:color w:val="231F20"/>
              </w:rPr>
              <w:t>4,127,724</w:t>
            </w:r>
            <w:r>
              <w:rPr>
                <w:rFonts w:ascii="Arial" w:cs="Arial" w:eastAsia="Arial" w:hAnsi="Arial"/>
                <w:sz w:val="21"/>
                <w:szCs w:val="21"/>
                <w:color w:val="231F20"/>
                <w:vertAlign w:val="superscript"/>
              </w:rPr>
              <w:t>9</w:t>
            </w: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color w:val="231F20"/>
              </w:rPr>
              <w:t>3.6%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P. Roy Vagelos, M.D.</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1,821,406</w:t>
            </w:r>
            <w:r>
              <w:rPr>
                <w:rFonts w:ascii="Arial" w:cs="Arial" w:eastAsia="Arial" w:hAnsi="Arial"/>
                <w:sz w:val="21"/>
                <w:szCs w:val="21"/>
                <w:color w:val="231F20"/>
                <w:vertAlign w:val="superscript"/>
              </w:rPr>
              <w:t>10</w:t>
            </w:r>
          </w:p>
        </w:tc>
        <w:tc>
          <w:tcPr>
            <w:tcW w:w="1080" w:type="dxa"/>
            <w:vAlign w:val="bottom"/>
            <w:tcBorders>
              <w:bottom w:val="single" w:sz="8" w:color="auto"/>
            </w:tcBorders>
            <w:shd w:val="clear" w:color="auto" w:fill="EAEAEC"/>
          </w:tcPr>
          <w:p>
            <w:pPr>
              <w:jc w:val="right"/>
              <w:ind w:right="161"/>
              <w:spacing w:after="0"/>
              <w:rPr>
                <w:sz w:val="20"/>
                <w:szCs w:val="20"/>
                <w:color w:val="auto"/>
              </w:rPr>
            </w:pPr>
            <w:r>
              <w:rPr>
                <w:rFonts w:ascii="Arial" w:cs="Arial" w:eastAsia="Arial" w:hAnsi="Arial"/>
                <w:sz w:val="13"/>
                <w:szCs w:val="13"/>
                <w:color w:val="231F20"/>
              </w:rPr>
              <w:t>1.6%</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George D. Yancopoulos, M.D., Ph.D.</w:t>
            </w:r>
          </w:p>
        </w:tc>
        <w:tc>
          <w:tcPr>
            <w:tcW w:w="1260" w:type="dxa"/>
            <w:vAlign w:val="bottom"/>
            <w:tcBorders>
              <w:bottom w:val="single" w:sz="8" w:color="auto"/>
            </w:tcBorders>
            <w:gridSpan w:val="2"/>
          </w:tcPr>
          <w:p>
            <w:pPr>
              <w:jc w:val="center"/>
              <w:ind w:left="115"/>
              <w:spacing w:after="0" w:line="223" w:lineRule="exact"/>
              <w:rPr>
                <w:sz w:val="20"/>
                <w:szCs w:val="20"/>
                <w:color w:val="auto"/>
              </w:rPr>
            </w:pPr>
            <w:r>
              <w:rPr>
                <w:rFonts w:ascii="Arial" w:cs="Arial" w:eastAsia="Arial" w:hAnsi="Arial"/>
                <w:sz w:val="13"/>
                <w:szCs w:val="13"/>
                <w:color w:val="231F20"/>
                <w:w w:val="93"/>
              </w:rPr>
              <w:t>42,750</w:t>
            </w:r>
            <w:r>
              <w:rPr>
                <w:rFonts w:ascii="Arial" w:cs="Arial" w:eastAsia="Arial" w:hAnsi="Arial"/>
                <w:sz w:val="21"/>
                <w:szCs w:val="21"/>
                <w:color w:val="231F20"/>
                <w:w w:val="93"/>
                <w:vertAlign w:val="superscript"/>
              </w:rPr>
              <w:t>11</w:t>
            </w:r>
          </w:p>
        </w:tc>
        <w:tc>
          <w:tcPr>
            <w:tcW w:w="1160" w:type="dxa"/>
            <w:vAlign w:val="bottom"/>
            <w:tcBorders>
              <w:bottom w:val="single" w:sz="8" w:color="auto"/>
            </w:tcBorders>
          </w:tcPr>
          <w:p>
            <w:pPr>
              <w:jc w:val="center"/>
              <w:ind w:left="115"/>
              <w:spacing w:after="0"/>
              <w:rPr>
                <w:sz w:val="20"/>
                <w:szCs w:val="20"/>
                <w:color w:val="auto"/>
              </w:rPr>
            </w:pPr>
            <w:r>
              <w:rPr>
                <w:rFonts w:ascii="Arial" w:cs="Arial" w:eastAsia="Arial" w:hAnsi="Arial"/>
                <w:sz w:val="13"/>
                <w:szCs w:val="13"/>
                <w:color w:val="231F20"/>
              </w:rPr>
              <w:t>2.3%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line="223" w:lineRule="exact"/>
              <w:rPr>
                <w:sz w:val="20"/>
                <w:szCs w:val="20"/>
                <w:color w:val="auto"/>
              </w:rPr>
            </w:pPr>
            <w:r>
              <w:rPr>
                <w:rFonts w:ascii="Arial" w:cs="Arial" w:eastAsia="Arial" w:hAnsi="Arial"/>
                <w:sz w:val="13"/>
                <w:szCs w:val="13"/>
                <w:color w:val="231F20"/>
              </w:rPr>
              <w:t>2,520,436</w:t>
            </w:r>
            <w:r>
              <w:rPr>
                <w:rFonts w:ascii="Arial" w:cs="Arial" w:eastAsia="Arial" w:hAnsi="Arial"/>
                <w:sz w:val="21"/>
                <w:szCs w:val="21"/>
                <w:color w:val="231F20"/>
                <w:vertAlign w:val="superscript"/>
              </w:rPr>
              <w:t>12</w:t>
            </w: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color w:val="231F20"/>
              </w:rPr>
              <w:t>2.2%</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N. Anthony Coles, M.D.</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23,835</w:t>
            </w:r>
            <w:r>
              <w:rPr>
                <w:rFonts w:ascii="Arial" w:cs="Arial" w:eastAsia="Arial" w:hAnsi="Arial"/>
                <w:sz w:val="21"/>
                <w:szCs w:val="21"/>
                <w:color w:val="231F20"/>
                <w:vertAlign w:val="superscript"/>
              </w:rPr>
              <w:t>13</w:t>
            </w:r>
          </w:p>
        </w:tc>
        <w:tc>
          <w:tcPr>
            <w:tcW w:w="1080" w:type="dxa"/>
            <w:vAlign w:val="bottom"/>
            <w:tcBorders>
              <w:bottom w:val="single" w:sz="8" w:color="auto"/>
            </w:tcBorders>
            <w:shd w:val="clear" w:color="auto" w:fill="EAEAEC"/>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Bonnie L. Bassler, Ph.D.</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3"/>
                <w:szCs w:val="13"/>
                <w:color w:val="231F20"/>
              </w:rPr>
              <w:t>28,930</w:t>
            </w:r>
            <w:r>
              <w:rPr>
                <w:rFonts w:ascii="Arial" w:cs="Arial" w:eastAsia="Arial" w:hAnsi="Arial"/>
                <w:sz w:val="21"/>
                <w:szCs w:val="21"/>
                <w:color w:val="231F20"/>
                <w:vertAlign w:val="superscript"/>
              </w:rPr>
              <w:t>14</w:t>
            </w: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Michael S. Brown, M.D.</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56,618</w:t>
            </w:r>
            <w:r>
              <w:rPr>
                <w:rFonts w:ascii="Arial" w:cs="Arial" w:eastAsia="Arial" w:hAnsi="Arial"/>
                <w:sz w:val="21"/>
                <w:szCs w:val="21"/>
                <w:color w:val="231F20"/>
                <w:vertAlign w:val="superscript"/>
              </w:rPr>
              <w:t>15</w:t>
            </w:r>
          </w:p>
        </w:tc>
        <w:tc>
          <w:tcPr>
            <w:tcW w:w="1080" w:type="dxa"/>
            <w:vAlign w:val="bottom"/>
            <w:tcBorders>
              <w:bottom w:val="single" w:sz="8" w:color="auto"/>
            </w:tcBorders>
            <w:shd w:val="clear" w:color="auto" w:fill="EAEAEC"/>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Joseph L. Goldstein, M.D.</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3"/>
                <w:szCs w:val="13"/>
                <w:color w:val="231F20"/>
              </w:rPr>
              <w:t>48,019</w:t>
            </w:r>
            <w:r>
              <w:rPr>
                <w:rFonts w:ascii="Arial" w:cs="Arial" w:eastAsia="Arial" w:hAnsi="Arial"/>
                <w:sz w:val="21"/>
                <w:szCs w:val="21"/>
                <w:color w:val="231F20"/>
                <w:vertAlign w:val="superscript"/>
              </w:rPr>
              <w:t>16</w:t>
            </w: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Andrew J. Murphy, Ph.D.</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330,913</w:t>
            </w:r>
            <w:r>
              <w:rPr>
                <w:rFonts w:ascii="Arial" w:cs="Arial" w:eastAsia="Arial" w:hAnsi="Arial"/>
                <w:sz w:val="21"/>
                <w:szCs w:val="21"/>
                <w:color w:val="231F20"/>
                <w:vertAlign w:val="superscript"/>
              </w:rPr>
              <w:t>17</w:t>
            </w:r>
          </w:p>
        </w:tc>
        <w:tc>
          <w:tcPr>
            <w:tcW w:w="1080" w:type="dxa"/>
            <w:vAlign w:val="bottom"/>
            <w:tcBorders>
              <w:bottom w:val="single" w:sz="8" w:color="auto"/>
            </w:tcBorders>
            <w:shd w:val="clear" w:color="auto" w:fill="EAEAEC"/>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Christine A. Poon</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3"/>
                <w:szCs w:val="13"/>
                <w:color w:val="231F20"/>
              </w:rPr>
              <w:t>122,089</w:t>
            </w:r>
            <w:r>
              <w:rPr>
                <w:rFonts w:ascii="Arial" w:cs="Arial" w:eastAsia="Arial" w:hAnsi="Arial"/>
                <w:sz w:val="21"/>
                <w:szCs w:val="21"/>
                <w:color w:val="231F20"/>
                <w:vertAlign w:val="superscript"/>
              </w:rPr>
              <w:t>18</w:t>
            </w: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Arthur F. Ryan</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80,819</w:t>
            </w:r>
            <w:r>
              <w:rPr>
                <w:rFonts w:ascii="Arial" w:cs="Arial" w:eastAsia="Arial" w:hAnsi="Arial"/>
                <w:sz w:val="21"/>
                <w:szCs w:val="21"/>
                <w:color w:val="231F20"/>
                <w:vertAlign w:val="superscript"/>
              </w:rPr>
              <w:t>19</w:t>
            </w:r>
          </w:p>
        </w:tc>
        <w:tc>
          <w:tcPr>
            <w:tcW w:w="1080" w:type="dxa"/>
            <w:vAlign w:val="bottom"/>
            <w:tcBorders>
              <w:bottom w:val="single" w:sz="8" w:color="auto"/>
            </w:tcBorders>
            <w:shd w:val="clear" w:color="auto" w:fill="EAEAEC"/>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George L. Sing</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3"/>
                <w:szCs w:val="13"/>
                <w:color w:val="231F20"/>
              </w:rPr>
              <w:t>224,141</w:t>
            </w:r>
            <w:r>
              <w:rPr>
                <w:rFonts w:ascii="Arial" w:cs="Arial" w:eastAsia="Arial" w:hAnsi="Arial"/>
                <w:sz w:val="21"/>
                <w:szCs w:val="21"/>
                <w:color w:val="231F20"/>
                <w:vertAlign w:val="superscript"/>
              </w:rPr>
              <w:t>20</w:t>
            </w: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Marc Tessier-Lavigne, Ph.D.</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67,956</w:t>
            </w:r>
            <w:r>
              <w:rPr>
                <w:rFonts w:ascii="Arial" w:cs="Arial" w:eastAsia="Arial" w:hAnsi="Arial"/>
                <w:sz w:val="21"/>
                <w:szCs w:val="21"/>
                <w:color w:val="231F20"/>
                <w:vertAlign w:val="superscript"/>
              </w:rPr>
              <w:t>21</w:t>
            </w:r>
          </w:p>
        </w:tc>
        <w:tc>
          <w:tcPr>
            <w:tcW w:w="1080" w:type="dxa"/>
            <w:vAlign w:val="bottom"/>
            <w:tcBorders>
              <w:bottom w:val="single" w:sz="8" w:color="auto"/>
            </w:tcBorders>
            <w:shd w:val="clear" w:color="auto" w:fill="EAEAEC"/>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C04C57"/>
              </w:rPr>
              <w:t>Robert E. Landry</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3"/>
                <w:szCs w:val="13"/>
                <w:color w:val="231F20"/>
              </w:rPr>
              <w:t>158,891</w:t>
            </w:r>
            <w:r>
              <w:rPr>
                <w:rFonts w:ascii="Arial" w:cs="Arial" w:eastAsia="Arial" w:hAnsi="Arial"/>
                <w:sz w:val="21"/>
                <w:szCs w:val="21"/>
                <w:color w:val="231F20"/>
                <w:vertAlign w:val="superscript"/>
              </w:rPr>
              <w:t>22</w:t>
            </w: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Daniel P. Van Plew</w:t>
            </w:r>
          </w:p>
        </w:tc>
        <w:tc>
          <w:tcPr>
            <w:tcW w:w="240" w:type="dxa"/>
            <w:vAlign w:val="bottom"/>
            <w:tcBorders>
              <w:bottom w:val="single" w:sz="8" w:color="auto"/>
            </w:tcBorders>
            <w:shd w:val="clear" w:color="auto" w:fill="EAEAEC"/>
          </w:tcPr>
          <w:p>
            <w:pPr>
              <w:spacing w:after="0"/>
              <w:rPr>
                <w:sz w:val="17"/>
                <w:szCs w:val="17"/>
                <w:color w:val="auto"/>
              </w:rPr>
            </w:pP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auto"/>
            </w:tcBorders>
            <w:gridSpan w:val="2"/>
            <w:shd w:val="clear" w:color="auto" w:fill="EAEAEC"/>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auto"/>
            </w:tcBorders>
            <w:shd w:val="clear" w:color="auto" w:fill="EAEAEC"/>
          </w:tcPr>
          <w:p>
            <w:pPr>
              <w:jc w:val="right"/>
              <w:ind w:right="76"/>
              <w:spacing w:after="0" w:line="196" w:lineRule="exact"/>
              <w:rPr>
                <w:sz w:val="20"/>
                <w:szCs w:val="20"/>
                <w:color w:val="auto"/>
              </w:rPr>
            </w:pPr>
            <w:r>
              <w:rPr>
                <w:rFonts w:ascii="Arial" w:cs="Arial" w:eastAsia="Arial" w:hAnsi="Arial"/>
                <w:sz w:val="13"/>
                <w:szCs w:val="13"/>
                <w:color w:val="231F20"/>
              </w:rPr>
              <w:t>382,430</w:t>
            </w:r>
            <w:r>
              <w:rPr>
                <w:rFonts w:ascii="Arial" w:cs="Arial" w:eastAsia="Arial" w:hAnsi="Arial"/>
                <w:sz w:val="21"/>
                <w:szCs w:val="21"/>
                <w:color w:val="231F20"/>
                <w:vertAlign w:val="superscript"/>
              </w:rPr>
              <w:t>23</w:t>
            </w:r>
          </w:p>
        </w:tc>
        <w:tc>
          <w:tcPr>
            <w:tcW w:w="1080" w:type="dxa"/>
            <w:vAlign w:val="bottom"/>
            <w:tcBorders>
              <w:bottom w:val="single" w:sz="8" w:color="auto"/>
            </w:tcBorders>
            <w:shd w:val="clear" w:color="auto" w:fill="EAEAEC"/>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2952A4"/>
            </w:tcBorders>
          </w:tcPr>
          <w:p>
            <w:pPr>
              <w:ind w:left="40"/>
              <w:spacing w:after="0"/>
              <w:rPr>
                <w:sz w:val="20"/>
                <w:szCs w:val="20"/>
                <w:color w:val="auto"/>
              </w:rPr>
            </w:pPr>
            <w:r>
              <w:rPr>
                <w:rFonts w:ascii="Arial" w:cs="Arial" w:eastAsia="Arial" w:hAnsi="Arial"/>
                <w:sz w:val="13"/>
                <w:szCs w:val="13"/>
                <w:b w:val="1"/>
                <w:bCs w:val="1"/>
                <w:color w:val="C04C57"/>
              </w:rPr>
              <w:t>Huda Y. Zoghbi, M.D.</w:t>
            </w:r>
          </w:p>
        </w:tc>
        <w:tc>
          <w:tcPr>
            <w:tcW w:w="240" w:type="dxa"/>
            <w:vAlign w:val="bottom"/>
            <w:tcBorders>
              <w:bottom w:val="single" w:sz="8" w:color="2952A4"/>
            </w:tcBorders>
          </w:tcPr>
          <w:p>
            <w:pPr>
              <w:spacing w:after="0"/>
              <w:rPr>
                <w:sz w:val="17"/>
                <w:szCs w:val="17"/>
                <w:color w:val="auto"/>
              </w:rPr>
            </w:pPr>
          </w:p>
        </w:tc>
        <w:tc>
          <w:tcPr>
            <w:tcW w:w="1020" w:type="dxa"/>
            <w:vAlign w:val="bottom"/>
            <w:tcBorders>
              <w:bottom w:val="single" w:sz="8" w:color="2952A4"/>
            </w:tcBorders>
          </w:tcPr>
          <w:p>
            <w:pPr>
              <w:jc w:val="center"/>
              <w:spacing w:after="0"/>
              <w:rPr>
                <w:sz w:val="20"/>
                <w:szCs w:val="20"/>
                <w:color w:val="auto"/>
              </w:rPr>
            </w:pPr>
            <w:r>
              <w:rPr>
                <w:rFonts w:ascii="Arial" w:cs="Arial" w:eastAsia="Arial" w:hAnsi="Arial"/>
                <w:sz w:val="13"/>
                <w:szCs w:val="13"/>
                <w:color w:val="231F20"/>
                <w:w w:val="91"/>
              </w:rPr>
              <w:t>—</w:t>
            </w:r>
          </w:p>
        </w:tc>
        <w:tc>
          <w:tcPr>
            <w:tcW w:w="1400" w:type="dxa"/>
            <w:vAlign w:val="bottom"/>
            <w:tcBorders>
              <w:bottom w:val="single" w:sz="8" w:color="2952A4"/>
            </w:tcBorders>
            <w:gridSpan w:val="2"/>
          </w:tcPr>
          <w:p>
            <w:pPr>
              <w:jc w:val="center"/>
              <w:ind w:right="40"/>
              <w:spacing w:after="0"/>
              <w:rPr>
                <w:sz w:val="20"/>
                <w:szCs w:val="20"/>
                <w:color w:val="auto"/>
              </w:rPr>
            </w:pPr>
            <w:r>
              <w:rPr>
                <w:rFonts w:ascii="Arial" w:cs="Arial" w:eastAsia="Arial" w:hAnsi="Arial"/>
                <w:sz w:val="13"/>
                <w:szCs w:val="13"/>
                <w:color w:val="231F20"/>
                <w:w w:val="91"/>
              </w:rPr>
              <w:t>—</w:t>
            </w:r>
          </w:p>
        </w:tc>
        <w:tc>
          <w:tcPr>
            <w:tcW w:w="1160" w:type="dxa"/>
            <w:vAlign w:val="bottom"/>
            <w:tcBorders>
              <w:bottom w:val="single" w:sz="8" w:color="2952A4"/>
            </w:tcBorders>
          </w:tcPr>
          <w:p>
            <w:pPr>
              <w:jc w:val="right"/>
              <w:ind w:right="76"/>
              <w:spacing w:after="0" w:line="196" w:lineRule="exact"/>
              <w:rPr>
                <w:sz w:val="20"/>
                <w:szCs w:val="20"/>
                <w:color w:val="auto"/>
              </w:rPr>
            </w:pPr>
            <w:r>
              <w:rPr>
                <w:rFonts w:ascii="Arial" w:cs="Arial" w:eastAsia="Arial" w:hAnsi="Arial"/>
                <w:sz w:val="13"/>
                <w:szCs w:val="13"/>
                <w:color w:val="231F20"/>
              </w:rPr>
              <w:t>28,930</w:t>
            </w:r>
            <w:r>
              <w:rPr>
                <w:rFonts w:ascii="Arial" w:cs="Arial" w:eastAsia="Arial" w:hAnsi="Arial"/>
                <w:sz w:val="21"/>
                <w:szCs w:val="21"/>
                <w:color w:val="231F20"/>
                <w:vertAlign w:val="superscript"/>
              </w:rPr>
              <w:t>24</w:t>
            </w:r>
          </w:p>
        </w:tc>
        <w:tc>
          <w:tcPr>
            <w:tcW w:w="1080" w:type="dxa"/>
            <w:vAlign w:val="bottom"/>
            <w:tcBorders>
              <w:bottom w:val="single" w:sz="8" w:color="2952A4"/>
            </w:tcBorders>
          </w:tcPr>
          <w:p>
            <w:pPr>
              <w:jc w:val="right"/>
              <w:ind w:right="261"/>
              <w:spacing w:after="0"/>
              <w:rPr>
                <w:sz w:val="20"/>
                <w:szCs w:val="20"/>
                <w:color w:val="auto"/>
              </w:rPr>
            </w:pPr>
            <w:r>
              <w:rPr>
                <w:rFonts w:ascii="Arial" w:cs="Arial" w:eastAsia="Arial" w:hAnsi="Arial"/>
                <w:sz w:val="11"/>
                <w:szCs w:val="11"/>
                <w:color w:val="231F20"/>
              </w:rPr>
              <w:t>26</w:t>
            </w:r>
          </w:p>
        </w:tc>
        <w:tc>
          <w:tcPr>
            <w:tcW w:w="0" w:type="dxa"/>
            <w:vAlign w:val="bottom"/>
          </w:tcPr>
          <w:p>
            <w:pPr>
              <w:spacing w:after="0"/>
              <w:rPr>
                <w:sz w:val="1"/>
                <w:szCs w:val="1"/>
                <w:color w:val="auto"/>
              </w:rPr>
            </w:pPr>
          </w:p>
        </w:tc>
      </w:tr>
      <w:tr>
        <w:trPr>
          <w:trHeight w:val="140"/>
        </w:trPr>
        <w:tc>
          <w:tcPr>
            <w:tcW w:w="3200" w:type="dxa"/>
            <w:vAlign w:val="bottom"/>
            <w:shd w:val="clear" w:color="auto" w:fill="EAEAEC"/>
          </w:tcPr>
          <w:p>
            <w:pPr>
              <w:ind w:left="40"/>
              <w:spacing w:after="0" w:line="140" w:lineRule="exact"/>
              <w:rPr>
                <w:sz w:val="20"/>
                <w:szCs w:val="20"/>
                <w:color w:val="auto"/>
              </w:rPr>
            </w:pPr>
            <w:r>
              <w:rPr>
                <w:rFonts w:ascii="Arial" w:cs="Arial" w:eastAsia="Arial" w:hAnsi="Arial"/>
                <w:sz w:val="13"/>
                <w:szCs w:val="13"/>
                <w:b w:val="1"/>
                <w:bCs w:val="1"/>
                <w:color w:val="C04C57"/>
                <w:w w:val="99"/>
              </w:rPr>
              <w:t>All Directors and Executive Officers as a Group (19</w:t>
            </w:r>
          </w:p>
        </w:tc>
        <w:tc>
          <w:tcPr>
            <w:tcW w:w="1260" w:type="dxa"/>
            <w:vAlign w:val="bottom"/>
            <w:gridSpan w:val="2"/>
            <w:vMerge w:val="restart"/>
            <w:shd w:val="clear" w:color="auto" w:fill="EAEAEC"/>
          </w:tcPr>
          <w:p>
            <w:pPr>
              <w:jc w:val="center"/>
              <w:ind w:left="135"/>
              <w:spacing w:after="0"/>
              <w:rPr>
                <w:sz w:val="20"/>
                <w:szCs w:val="20"/>
                <w:color w:val="auto"/>
              </w:rPr>
            </w:pPr>
            <w:r>
              <w:rPr>
                <w:rFonts w:ascii="Arial" w:cs="Arial" w:eastAsia="Arial" w:hAnsi="Arial"/>
                <w:sz w:val="13"/>
                <w:szCs w:val="13"/>
                <w:b w:val="1"/>
                <w:bCs w:val="1"/>
                <w:color w:val="231F20"/>
              </w:rPr>
              <w:t>1,769,315</w:t>
            </w:r>
          </w:p>
        </w:tc>
        <w:tc>
          <w:tcPr>
            <w:tcW w:w="1160" w:type="dxa"/>
            <w:vAlign w:val="bottom"/>
            <w:vMerge w:val="restart"/>
            <w:shd w:val="clear" w:color="auto" w:fill="EAEAEC"/>
          </w:tcPr>
          <w:p>
            <w:pPr>
              <w:jc w:val="center"/>
              <w:ind w:left="135"/>
              <w:spacing w:after="0"/>
              <w:rPr>
                <w:sz w:val="20"/>
                <w:szCs w:val="20"/>
                <w:color w:val="auto"/>
              </w:rPr>
            </w:pPr>
            <w:r>
              <w:rPr>
                <w:rFonts w:ascii="Arial" w:cs="Arial" w:eastAsia="Arial" w:hAnsi="Arial"/>
                <w:sz w:val="13"/>
                <w:szCs w:val="13"/>
                <w:b w:val="1"/>
                <w:bCs w:val="1"/>
                <w:color w:val="231F20"/>
                <w:w w:val="97"/>
              </w:rPr>
              <w:t>95.7%</w:t>
            </w:r>
          </w:p>
        </w:tc>
        <w:tc>
          <w:tcPr>
            <w:tcW w:w="240" w:type="dxa"/>
            <w:vAlign w:val="bottom"/>
            <w:shd w:val="clear" w:color="auto" w:fill="EAEAEC"/>
          </w:tcPr>
          <w:p>
            <w:pPr>
              <w:spacing w:after="0"/>
              <w:rPr>
                <w:sz w:val="12"/>
                <w:szCs w:val="12"/>
                <w:color w:val="auto"/>
              </w:rPr>
            </w:pPr>
          </w:p>
        </w:tc>
        <w:tc>
          <w:tcPr>
            <w:tcW w:w="1160" w:type="dxa"/>
            <w:vAlign w:val="bottom"/>
            <w:vMerge w:val="restart"/>
            <w:shd w:val="clear" w:color="auto" w:fill="EAEAEC"/>
          </w:tcPr>
          <w:p>
            <w:pPr>
              <w:jc w:val="right"/>
              <w:ind w:right="76"/>
              <w:spacing w:after="0"/>
              <w:rPr>
                <w:sz w:val="20"/>
                <w:szCs w:val="20"/>
                <w:color w:val="auto"/>
              </w:rPr>
            </w:pPr>
            <w:r>
              <w:rPr>
                <w:rFonts w:ascii="Arial" w:cs="Arial" w:eastAsia="Arial" w:hAnsi="Arial"/>
                <w:sz w:val="13"/>
                <w:szCs w:val="13"/>
                <w:b w:val="1"/>
                <w:bCs w:val="1"/>
                <w:color w:val="231F20"/>
              </w:rPr>
              <w:t>10,917,813</w:t>
            </w:r>
            <w:r>
              <w:rPr>
                <w:rFonts w:ascii="Arial" w:cs="Arial" w:eastAsia="Arial" w:hAnsi="Arial"/>
                <w:sz w:val="21"/>
                <w:szCs w:val="21"/>
                <w:b w:val="1"/>
                <w:bCs w:val="1"/>
                <w:color w:val="231F20"/>
                <w:vertAlign w:val="superscript"/>
              </w:rPr>
              <w:t>25</w:t>
            </w:r>
          </w:p>
        </w:tc>
        <w:tc>
          <w:tcPr>
            <w:tcW w:w="1080" w:type="dxa"/>
            <w:vAlign w:val="bottom"/>
            <w:vMerge w:val="restart"/>
            <w:shd w:val="clear" w:color="auto" w:fill="EAEAEC"/>
          </w:tcPr>
          <w:p>
            <w:pPr>
              <w:jc w:val="right"/>
              <w:ind w:right="161"/>
              <w:spacing w:after="0"/>
              <w:rPr>
                <w:sz w:val="20"/>
                <w:szCs w:val="20"/>
                <w:color w:val="auto"/>
              </w:rPr>
            </w:pPr>
            <w:r>
              <w:rPr>
                <w:rFonts w:ascii="Arial" w:cs="Arial" w:eastAsia="Arial" w:hAnsi="Arial"/>
                <w:sz w:val="13"/>
                <w:szCs w:val="13"/>
                <w:b w:val="1"/>
                <w:bCs w:val="1"/>
                <w:color w:val="231F20"/>
              </w:rPr>
              <w:t>9.2%</w:t>
            </w:r>
          </w:p>
        </w:tc>
        <w:tc>
          <w:tcPr>
            <w:tcW w:w="0" w:type="dxa"/>
            <w:vAlign w:val="bottom"/>
          </w:tcPr>
          <w:p>
            <w:pPr>
              <w:spacing w:after="0"/>
              <w:rPr>
                <w:sz w:val="1"/>
                <w:szCs w:val="1"/>
                <w:color w:val="auto"/>
              </w:rPr>
            </w:pPr>
          </w:p>
        </w:tc>
      </w:tr>
      <w:tr>
        <w:trPr>
          <w:trHeight w:val="184"/>
        </w:trPr>
        <w:tc>
          <w:tcPr>
            <w:tcW w:w="3200" w:type="dxa"/>
            <w:vAlign w:val="bottom"/>
            <w:tcBorders>
              <w:bottom w:val="single" w:sz="8" w:color="2952A4"/>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persons)</w:t>
            </w:r>
          </w:p>
        </w:tc>
        <w:tc>
          <w:tcPr>
            <w:tcW w:w="1260" w:type="dxa"/>
            <w:vAlign w:val="bottom"/>
            <w:tcBorders>
              <w:bottom w:val="single" w:sz="8" w:color="2952A4"/>
            </w:tcBorders>
            <w:gridSpan w:val="2"/>
            <w:vMerge w:val="continue"/>
            <w:shd w:val="clear" w:color="auto" w:fill="EAEAEC"/>
          </w:tcPr>
          <w:p>
            <w:pPr>
              <w:spacing w:after="0"/>
              <w:rPr>
                <w:sz w:val="16"/>
                <w:szCs w:val="16"/>
                <w:color w:val="auto"/>
              </w:rPr>
            </w:pPr>
          </w:p>
        </w:tc>
        <w:tc>
          <w:tcPr>
            <w:tcW w:w="1160" w:type="dxa"/>
            <w:vAlign w:val="bottom"/>
            <w:tcBorders>
              <w:bottom w:val="single" w:sz="8" w:color="2952A4"/>
            </w:tcBorders>
            <w:vMerge w:val="continue"/>
            <w:shd w:val="clear" w:color="auto" w:fill="EAEAEC"/>
          </w:tcPr>
          <w:p>
            <w:pPr>
              <w:spacing w:after="0"/>
              <w:rPr>
                <w:sz w:val="16"/>
                <w:szCs w:val="16"/>
                <w:color w:val="auto"/>
              </w:rPr>
            </w:pPr>
          </w:p>
        </w:tc>
        <w:tc>
          <w:tcPr>
            <w:tcW w:w="240" w:type="dxa"/>
            <w:vAlign w:val="bottom"/>
            <w:tcBorders>
              <w:bottom w:val="single" w:sz="8" w:color="2952A4"/>
            </w:tcBorders>
            <w:shd w:val="clear" w:color="auto" w:fill="EAEAEC"/>
          </w:tcPr>
          <w:p>
            <w:pPr>
              <w:spacing w:after="0"/>
              <w:rPr>
                <w:sz w:val="16"/>
                <w:szCs w:val="16"/>
                <w:color w:val="auto"/>
              </w:rPr>
            </w:pPr>
          </w:p>
        </w:tc>
        <w:tc>
          <w:tcPr>
            <w:tcW w:w="1160" w:type="dxa"/>
            <w:vAlign w:val="bottom"/>
            <w:tcBorders>
              <w:bottom w:val="single" w:sz="8" w:color="2952A4"/>
            </w:tcBorders>
            <w:vMerge w:val="continue"/>
            <w:shd w:val="clear" w:color="auto" w:fill="EAEAEC"/>
          </w:tcPr>
          <w:p>
            <w:pPr>
              <w:spacing w:after="0"/>
              <w:rPr>
                <w:sz w:val="16"/>
                <w:szCs w:val="16"/>
                <w:color w:val="auto"/>
              </w:rPr>
            </w:pPr>
          </w:p>
        </w:tc>
        <w:tc>
          <w:tcPr>
            <w:tcW w:w="1080" w:type="dxa"/>
            <w:vAlign w:val="bottom"/>
            <w:tcBorders>
              <w:bottom w:val="single" w:sz="8" w:color="2952A4"/>
            </w:tcBorders>
            <w:vMerge w:val="continue"/>
            <w:shd w:val="clear" w:color="auto" w:fill="EAEAEC"/>
          </w:tcPr>
          <w:p>
            <w:pPr>
              <w:spacing w:after="0"/>
              <w:rPr>
                <w:sz w:val="16"/>
                <w:szCs w:val="1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720" w:right="599" w:hanging="266"/>
        <w:spacing w:after="0" w:line="242" w:lineRule="auto"/>
        <w:tabs>
          <w:tab w:leader="none" w:pos="720" w:val="left"/>
        </w:tabs>
        <w:numPr>
          <w:ilvl w:val="0"/>
          <w:numId w:val="59"/>
        </w:numPr>
        <w:rPr>
          <w:rFonts w:ascii="Arial" w:cs="Arial" w:eastAsia="Arial" w:hAnsi="Arial"/>
          <w:sz w:val="15"/>
          <w:szCs w:val="15"/>
          <w:b w:val="1"/>
          <w:bCs w:val="1"/>
          <w:color w:val="2952A4"/>
        </w:rPr>
      </w:pPr>
      <w:r>
        <w:rPr>
          <w:rFonts w:ascii="Arial" w:cs="Arial" w:eastAsia="Arial" w:hAnsi="Arial"/>
          <w:sz w:val="15"/>
          <w:szCs w:val="15"/>
          <w:color w:val="231F20"/>
        </w:rPr>
        <w:t>The inclusion in this table of any Class A stock or common stock, as the case may be, deemed beneficially owned does not constitute an admission of beneficial ownership of those shares.</w:t>
      </w:r>
    </w:p>
    <w:p>
      <w:pPr>
        <w:spacing w:after="0" w:line="111" w:lineRule="exact"/>
        <w:rPr>
          <w:sz w:val="20"/>
          <w:szCs w:val="20"/>
          <w:color w:val="auto"/>
        </w:rPr>
      </w:pPr>
    </w:p>
    <w:p>
      <w:pPr>
        <w:ind w:left="720" w:right="619" w:hanging="266"/>
        <w:spacing w:after="0" w:line="235" w:lineRule="auto"/>
        <w:tabs>
          <w:tab w:leader="none" w:pos="720" w:val="left"/>
        </w:tabs>
        <w:numPr>
          <w:ilvl w:val="0"/>
          <w:numId w:val="60"/>
        </w:numPr>
        <w:rPr>
          <w:rFonts w:ascii="Arial" w:cs="Arial" w:eastAsia="Arial" w:hAnsi="Arial"/>
          <w:sz w:val="15"/>
          <w:szCs w:val="15"/>
          <w:b w:val="1"/>
          <w:bCs w:val="1"/>
          <w:color w:val="2952A4"/>
        </w:rPr>
      </w:pPr>
      <w:r>
        <w:rPr>
          <w:rFonts w:ascii="Arial" w:cs="Arial" w:eastAsia="Arial" w:hAnsi="Arial"/>
          <w:sz w:val="15"/>
          <w:szCs w:val="15"/>
          <w:color w:val="231F20"/>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14" w:lineRule="exact"/>
        <w:rPr>
          <w:sz w:val="20"/>
          <w:szCs w:val="20"/>
          <w:color w:val="auto"/>
        </w:rPr>
      </w:pPr>
    </w:p>
    <w:p>
      <w:pPr>
        <w:ind w:left="720" w:right="559" w:hanging="266"/>
        <w:spacing w:after="0" w:line="225" w:lineRule="auto"/>
        <w:tabs>
          <w:tab w:leader="none" w:pos="720" w:val="left"/>
        </w:tabs>
        <w:numPr>
          <w:ilvl w:val="0"/>
          <w:numId w:val="61"/>
        </w:numPr>
        <w:rPr>
          <w:rFonts w:ascii="Arial" w:cs="Arial" w:eastAsia="Arial" w:hAnsi="Arial"/>
          <w:sz w:val="15"/>
          <w:szCs w:val="15"/>
          <w:b w:val="1"/>
          <w:bCs w:val="1"/>
          <w:color w:val="2952A4"/>
        </w:rPr>
      </w:pPr>
      <w:r>
        <w:rPr>
          <w:rFonts w:ascii="Arial" w:cs="Arial" w:eastAsia="Arial" w:hAnsi="Arial"/>
          <w:sz w:val="15"/>
          <w:szCs w:val="15"/>
          <w:color w:val="231F20"/>
        </w:rPr>
        <w:t>Based solely on a Form 4 filed by Sanofi with the SEC on March 11, 2020. According to this Form 4, 20,421,899 of the shares are held directly by Sanofi and 2,799,552 of the shares are held directly by Aventisub LLC (formerly known as Aventis Pharmaceuticals Inc.). Aventisub LLC is an indirect, wholly-owned subsidiary of Sanofi. Pursuant to the Amended and Restated Investor Agreement, dated as of January 11, 2014 (as amended), by and among Sanofi, sanofi-aventis US LLC, Aventisub LLC, and sanofi-aventis Amérique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outstanding shares or voting rights of Class A stock and common stock (taken together), and new equity compensation plans or amendments if not materially consistent with our historical equity compensation practices. See “The Company — Certain Relationships and Related Transactions</w:t>
      </w:r>
    </w:p>
    <w:p>
      <w:pPr>
        <w:spacing w:after="0" w:line="3" w:lineRule="exact"/>
        <w:rPr>
          <w:rFonts w:ascii="Arial" w:cs="Arial" w:eastAsia="Arial" w:hAnsi="Arial"/>
          <w:sz w:val="15"/>
          <w:szCs w:val="15"/>
          <w:b w:val="1"/>
          <w:bCs w:val="1"/>
          <w:color w:val="2952A4"/>
        </w:rPr>
      </w:pPr>
    </w:p>
    <w:p>
      <w:pPr>
        <w:ind w:left="720" w:right="739"/>
        <w:spacing w:after="0" w:line="242" w:lineRule="auto"/>
        <w:rPr>
          <w:rFonts w:ascii="Arial" w:cs="Arial" w:eastAsia="Arial" w:hAnsi="Arial"/>
          <w:sz w:val="15"/>
          <w:szCs w:val="15"/>
          <w:b w:val="1"/>
          <w:bCs w:val="1"/>
          <w:color w:val="2952A4"/>
        </w:rPr>
      </w:pPr>
      <w:r>
        <w:rPr>
          <w:rFonts w:ascii="Arial" w:cs="Arial" w:eastAsia="Arial" w:hAnsi="Arial"/>
          <w:sz w:val="15"/>
          <w:szCs w:val="15"/>
          <w:color w:val="231F20"/>
        </w:rPr>
        <w:t>— Transactions with Related Persons — Amended and Restated Investor Agreement with Sanofi; 2018 Letter Agreement” above for further information regarding the Amended and Restated Investor Agreement with Sanofi.</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48  </w:t>
      </w:r>
      <w:r>
        <w:rPr>
          <w:rFonts w:ascii="Arial" w:cs="Arial" w:eastAsia="Arial" w:hAnsi="Arial"/>
          <w:sz w:val="14"/>
          <w:szCs w:val="14"/>
          <w:color w:val="205BA8"/>
        </w:rPr>
        <w:t xml:space="preserve">/  </w:t>
      </w:r>
      <w:r>
        <w:rPr>
          <w:sz w:val="1"/>
          <w:szCs w:val="1"/>
          <w:color w:val="auto"/>
        </w:rPr>
        <w:drawing>
          <wp:inline distT="0" distB="0" distL="0" distR="0">
            <wp:extent cx="745490" cy="857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05BA8"/>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59" w:name="page60"/>
    <w:bookmarkEnd w:id="59"/>
    <w:p>
      <w:pPr>
        <w:spacing w:after="0" w:line="56"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2952A4"/>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720" w:right="619" w:hanging="266"/>
        <w:spacing w:after="0" w:line="233" w:lineRule="auto"/>
        <w:tabs>
          <w:tab w:leader="none" w:pos="720" w:val="left"/>
        </w:tabs>
        <w:numPr>
          <w:ilvl w:val="0"/>
          <w:numId w:val="62"/>
        </w:numPr>
        <w:rPr>
          <w:rFonts w:ascii="Arial" w:cs="Arial" w:eastAsia="Arial" w:hAnsi="Arial"/>
          <w:sz w:val="15"/>
          <w:szCs w:val="15"/>
          <w:b w:val="1"/>
          <w:bCs w:val="1"/>
          <w:color w:val="2952A4"/>
        </w:rPr>
      </w:pPr>
      <w:r>
        <w:rPr>
          <w:rFonts w:ascii="Arial" w:cs="Arial" w:eastAsia="Arial" w:hAnsi="Arial"/>
          <w:sz w:val="15"/>
          <w:szCs w:val="15"/>
          <w:color w:val="231F20"/>
        </w:rPr>
        <w:t>Based solely on an amendment to a Schedule 13G filed by Capital World Investors on February 12, 2020. According to this amendment, Capital World Investors, a division of Capital Research and Management Company (“CRMC”), has sole voting as to 8,308,528 of the shares reported as beneficially owned and dispositive power as to all of the shares reported as beneficially owned.</w:t>
      </w:r>
    </w:p>
    <w:p>
      <w:pPr>
        <w:spacing w:after="0" w:line="59" w:lineRule="exact"/>
        <w:rPr>
          <w:sz w:val="20"/>
          <w:szCs w:val="20"/>
          <w:color w:val="auto"/>
        </w:rPr>
      </w:pPr>
    </w:p>
    <w:p>
      <w:pPr>
        <w:ind w:left="720" w:right="579" w:hanging="266"/>
        <w:spacing w:after="0" w:line="229" w:lineRule="auto"/>
        <w:tabs>
          <w:tab w:leader="none" w:pos="720" w:val="left"/>
        </w:tabs>
        <w:numPr>
          <w:ilvl w:val="0"/>
          <w:numId w:val="63"/>
        </w:numPr>
        <w:rPr>
          <w:rFonts w:ascii="Arial" w:cs="Arial" w:eastAsia="Arial" w:hAnsi="Arial"/>
          <w:sz w:val="15"/>
          <w:szCs w:val="15"/>
          <w:b w:val="1"/>
          <w:bCs w:val="1"/>
          <w:color w:val="2952A4"/>
        </w:rPr>
      </w:pPr>
      <w:r>
        <w:rPr>
          <w:rFonts w:ascii="Arial" w:cs="Arial" w:eastAsia="Arial" w:hAnsi="Arial"/>
          <w:sz w:val="15"/>
          <w:szCs w:val="15"/>
          <w:color w:val="231F20"/>
        </w:rPr>
        <w:t>Based solely on an amendment to a Schedule 13G filed by The Vanguard Group, Inc. on February 10, 2020. According to this amendment, The Vanguard Group, Inc. has sole voting power as to 120,348, shared voting power as to 23,068, sole dispositive power as to 6,116,133, and shared dispositive power as to 136,170 of the shares reported as beneficially owned. Vanguard Fiduciary Trust Company, a wholly-owned subsidiary of The Vanguard Group, Inc., is the beneficial owner of 91,833 shares as a result of its serving as investment manager of collective trust accounts. Vanguard Investments Australia, Ltd., a wholly-owned subsidiary of The Vanguard Group, Inc., is the beneficial owner of 71,498 shares as a result of its serving as investment manager of Australian investment offerings.</w:t>
      </w:r>
    </w:p>
    <w:p>
      <w:pPr>
        <w:spacing w:after="0" w:line="60" w:lineRule="exact"/>
        <w:rPr>
          <w:sz w:val="20"/>
          <w:szCs w:val="20"/>
          <w:color w:val="auto"/>
        </w:rPr>
      </w:pPr>
    </w:p>
    <w:p>
      <w:pPr>
        <w:ind w:left="720" w:right="579" w:hanging="266"/>
        <w:spacing w:after="0" w:line="235" w:lineRule="auto"/>
        <w:tabs>
          <w:tab w:leader="none" w:pos="720" w:val="left"/>
        </w:tabs>
        <w:numPr>
          <w:ilvl w:val="0"/>
          <w:numId w:val="64"/>
        </w:numPr>
        <w:rPr>
          <w:rFonts w:ascii="Arial" w:cs="Arial" w:eastAsia="Arial" w:hAnsi="Arial"/>
          <w:sz w:val="15"/>
          <w:szCs w:val="15"/>
          <w:b w:val="1"/>
          <w:bCs w:val="1"/>
          <w:color w:val="2952A4"/>
        </w:rPr>
      </w:pPr>
      <w:r>
        <w:rPr>
          <w:rFonts w:ascii="Arial" w:cs="Arial" w:eastAsia="Arial" w:hAnsi="Arial"/>
          <w:sz w:val="15"/>
          <w:szCs w:val="15"/>
          <w:color w:val="231F20"/>
        </w:rPr>
        <w:t>Based solely on an amendment to a Schedule 13G filed by BlackRock, Inc. on February 5, 2020. According to this amendment, BlackRock, Inc. has sole voting power as to 5,367,704 of the shares reported as beneficially owned and sole dispositive power as to all of the shares reported as beneficially owned.</w:t>
      </w:r>
    </w:p>
    <w:p>
      <w:pPr>
        <w:spacing w:after="0" w:line="60" w:lineRule="exact"/>
        <w:rPr>
          <w:sz w:val="20"/>
          <w:szCs w:val="20"/>
          <w:color w:val="auto"/>
        </w:rPr>
      </w:pPr>
    </w:p>
    <w:p>
      <w:pPr>
        <w:ind w:left="720" w:right="919" w:hanging="266"/>
        <w:spacing w:after="0" w:line="242" w:lineRule="auto"/>
        <w:tabs>
          <w:tab w:leader="none" w:pos="720" w:val="left"/>
        </w:tabs>
        <w:numPr>
          <w:ilvl w:val="0"/>
          <w:numId w:val="65"/>
        </w:numPr>
        <w:rPr>
          <w:rFonts w:ascii="Arial" w:cs="Arial" w:eastAsia="Arial" w:hAnsi="Arial"/>
          <w:sz w:val="15"/>
          <w:szCs w:val="15"/>
          <w:b w:val="1"/>
          <w:bCs w:val="1"/>
          <w:color w:val="2952A4"/>
        </w:rPr>
      </w:pPr>
      <w:r>
        <w:rPr>
          <w:rFonts w:ascii="Arial" w:cs="Arial" w:eastAsia="Arial" w:hAnsi="Arial"/>
          <w:sz w:val="15"/>
          <w:szCs w:val="15"/>
          <w:color w:val="231F20"/>
        </w:rPr>
        <w:t>The address for each director and executive officer is c/o Regeneron Pharmaceuticals, Inc., 777 Old Saw Mill River Road, Tarrytown, New York 10591-6707.</w:t>
      </w:r>
    </w:p>
    <w:p>
      <w:pPr>
        <w:spacing w:after="0" w:line="57" w:lineRule="exact"/>
        <w:rPr>
          <w:sz w:val="20"/>
          <w:szCs w:val="20"/>
          <w:color w:val="auto"/>
        </w:rPr>
      </w:pPr>
    </w:p>
    <w:p>
      <w:pPr>
        <w:ind w:left="720" w:right="639" w:hanging="266"/>
        <w:spacing w:after="0" w:line="242" w:lineRule="auto"/>
        <w:tabs>
          <w:tab w:leader="none" w:pos="720" w:val="left"/>
        </w:tabs>
        <w:numPr>
          <w:ilvl w:val="0"/>
          <w:numId w:val="66"/>
        </w:numPr>
        <w:rPr>
          <w:rFonts w:ascii="Arial" w:cs="Arial" w:eastAsia="Arial" w:hAnsi="Arial"/>
          <w:sz w:val="15"/>
          <w:szCs w:val="15"/>
          <w:b w:val="1"/>
          <w:bCs w:val="1"/>
          <w:color w:val="2952A4"/>
        </w:rPr>
      </w:pPr>
      <w:r>
        <w:rPr>
          <w:rFonts w:ascii="Arial" w:cs="Arial" w:eastAsia="Arial" w:hAnsi="Arial"/>
          <w:sz w:val="15"/>
          <w:szCs w:val="15"/>
          <w:color w:val="231F20"/>
        </w:rPr>
        <w:t>Includes 15,775 shares of Class A stock held in trust for the benefit of Dr. Schleifer’s son, of which Dr. Schleifer is a trustee.</w:t>
      </w:r>
    </w:p>
    <w:p>
      <w:pPr>
        <w:spacing w:after="0" w:line="57" w:lineRule="exact"/>
        <w:rPr>
          <w:sz w:val="20"/>
          <w:szCs w:val="20"/>
          <w:color w:val="auto"/>
        </w:rPr>
      </w:pPr>
    </w:p>
    <w:p>
      <w:pPr>
        <w:ind w:left="720" w:right="559" w:hanging="266"/>
        <w:spacing w:after="0" w:line="229" w:lineRule="auto"/>
        <w:tabs>
          <w:tab w:leader="none" w:pos="720" w:val="left"/>
        </w:tabs>
        <w:numPr>
          <w:ilvl w:val="0"/>
          <w:numId w:val="67"/>
        </w:numPr>
        <w:rPr>
          <w:rFonts w:ascii="Arial" w:cs="Arial" w:eastAsia="Arial" w:hAnsi="Arial"/>
          <w:sz w:val="15"/>
          <w:szCs w:val="15"/>
          <w:b w:val="1"/>
          <w:bCs w:val="1"/>
          <w:color w:val="2952A4"/>
        </w:rPr>
      </w:pPr>
      <w:r>
        <w:rPr>
          <w:rFonts w:ascii="Arial" w:cs="Arial" w:eastAsia="Arial" w:hAnsi="Arial"/>
          <w:sz w:val="15"/>
          <w:szCs w:val="15"/>
          <w:color w:val="231F20"/>
        </w:rPr>
        <w:t>Includes (i) 1,820,844 shares of common stock purchasable upon the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(collectively, the “Long-Term Incentive Plans”) that are exercisable or become so within sixty days after April 14, 2020; (ii) 100,000 shares of common stock held in a grantor retained annuity trust of which Dr. Schleifer is the trustee; and (iii) 5,816 shares of common stock held in an account under the Company’s 401(k) Savings Plan.</w:t>
      </w:r>
    </w:p>
    <w:p>
      <w:pPr>
        <w:spacing w:after="0" w:line="63" w:lineRule="exact"/>
        <w:rPr>
          <w:sz w:val="20"/>
          <w:szCs w:val="20"/>
          <w:color w:val="auto"/>
        </w:rPr>
      </w:pPr>
    </w:p>
    <w:p>
      <w:pPr>
        <w:ind w:left="720" w:right="759" w:hanging="266"/>
        <w:spacing w:after="0" w:line="225" w:lineRule="auto"/>
        <w:tabs>
          <w:tab w:leader="none" w:pos="720" w:val="left"/>
        </w:tabs>
        <w:numPr>
          <w:ilvl w:val="0"/>
          <w:numId w:val="68"/>
        </w:numPr>
        <w:rPr>
          <w:rFonts w:ascii="Arial" w:cs="Arial" w:eastAsia="Arial" w:hAnsi="Arial"/>
          <w:sz w:val="15"/>
          <w:szCs w:val="15"/>
          <w:b w:val="1"/>
          <w:bCs w:val="1"/>
          <w:color w:val="2952A4"/>
        </w:rPr>
      </w:pPr>
      <w:r>
        <w:rPr>
          <w:rFonts w:ascii="Arial" w:cs="Arial" w:eastAsia="Arial" w:hAnsi="Arial"/>
          <w:sz w:val="15"/>
          <w:szCs w:val="15"/>
          <w:color w:val="231F20"/>
        </w:rPr>
        <w:t>Includes (i) 1,145,495 shares of common stock purchasable upon exercise of options granted pursuant to the Long-Term Incentive Plans that are exercisable or become so within sixty days after April 14, 2020; (ii) 2,204 shares of common stock held in an account under the Company’s 401(k) Savings Plan; (iii) 143,900 shares of common stock held in a charitable lead annuity trust, of which Dr. Vagelos is the trustee; (iv) 83,652 shares of common stock held in a trust for his grandchildren, of which Dr. Vagelos’s wife is the trustee; (v) 1,203 shares of common stock held in trusts for his grandchildren, of which Dr. Vagelos and/or his wife are trustees; and (vi)</w:t>
      </w:r>
    </w:p>
    <w:p>
      <w:pPr>
        <w:spacing w:after="0" w:line="1" w:lineRule="exact"/>
        <w:rPr>
          <w:rFonts w:ascii="Arial" w:cs="Arial" w:eastAsia="Arial" w:hAnsi="Arial"/>
          <w:sz w:val="15"/>
          <w:szCs w:val="15"/>
          <w:b w:val="1"/>
          <w:bCs w:val="1"/>
          <w:color w:val="2952A4"/>
        </w:rPr>
      </w:pPr>
    </w:p>
    <w:p>
      <w:pPr>
        <w:ind w:left="720" w:right="659"/>
        <w:spacing w:after="0" w:line="235" w:lineRule="auto"/>
        <w:rPr>
          <w:rFonts w:ascii="Arial" w:cs="Arial" w:eastAsia="Arial" w:hAnsi="Arial"/>
          <w:sz w:val="15"/>
          <w:szCs w:val="15"/>
          <w:b w:val="1"/>
          <w:bCs w:val="1"/>
          <w:color w:val="2952A4"/>
        </w:rPr>
      </w:pPr>
      <w:r>
        <w:rPr>
          <w:rFonts w:ascii="Arial" w:cs="Arial" w:eastAsia="Arial" w:hAnsi="Arial"/>
          <w:sz w:val="15"/>
          <w:szCs w:val="15"/>
          <w:color w:val="231F20"/>
        </w:rPr>
        <w:t>54,146 shares of common stock and 86,321 shares of common stock held by the Marianthi Foundation and the Pindaros Foundation, respectively, both of which are charitable foundations of which Dr. Vagelos is a director and an officer. Dr. Vagelos disclaims beneficial ownership of the shares held by these charitable foundations.</w:t>
      </w:r>
    </w:p>
    <w:p>
      <w:pPr>
        <w:spacing w:after="0" w:line="60" w:lineRule="exact"/>
        <w:rPr>
          <w:rFonts w:ascii="Arial" w:cs="Arial" w:eastAsia="Arial" w:hAnsi="Arial"/>
          <w:sz w:val="15"/>
          <w:szCs w:val="15"/>
          <w:b w:val="1"/>
          <w:bCs w:val="1"/>
          <w:color w:val="2952A4"/>
        </w:rPr>
      </w:pPr>
    </w:p>
    <w:p>
      <w:pPr>
        <w:ind w:left="720" w:right="579" w:hanging="266"/>
        <w:spacing w:after="0" w:line="235" w:lineRule="auto"/>
        <w:tabs>
          <w:tab w:leader="none" w:pos="720" w:val="left"/>
        </w:tabs>
        <w:numPr>
          <w:ilvl w:val="0"/>
          <w:numId w:val="68"/>
        </w:numPr>
        <w:rPr>
          <w:rFonts w:ascii="Arial" w:cs="Arial" w:eastAsia="Arial" w:hAnsi="Arial"/>
          <w:sz w:val="15"/>
          <w:szCs w:val="15"/>
          <w:b w:val="1"/>
          <w:bCs w:val="1"/>
          <w:color w:val="2952A4"/>
        </w:rPr>
      </w:pPr>
      <w:r>
        <w:rPr>
          <w:rFonts w:ascii="Arial" w:cs="Arial" w:eastAsia="Arial" w:hAnsi="Arial"/>
          <w:sz w:val="15"/>
          <w:szCs w:val="15"/>
          <w:color w:val="231F20"/>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60" w:lineRule="exact"/>
        <w:rPr>
          <w:rFonts w:ascii="Arial" w:cs="Arial" w:eastAsia="Arial" w:hAnsi="Arial"/>
          <w:sz w:val="15"/>
          <w:szCs w:val="15"/>
          <w:b w:val="1"/>
          <w:bCs w:val="1"/>
          <w:color w:val="2952A4"/>
        </w:rPr>
      </w:pPr>
    </w:p>
    <w:p>
      <w:pPr>
        <w:ind w:left="720" w:right="579" w:hanging="266"/>
        <w:spacing w:after="0"/>
        <w:tabs>
          <w:tab w:leader="none" w:pos="720" w:val="left"/>
        </w:tabs>
        <w:numPr>
          <w:ilvl w:val="0"/>
          <w:numId w:val="68"/>
        </w:numPr>
        <w:rPr>
          <w:rFonts w:ascii="Arial" w:cs="Arial" w:eastAsia="Arial" w:hAnsi="Arial"/>
          <w:sz w:val="15"/>
          <w:szCs w:val="15"/>
          <w:b w:val="1"/>
          <w:bCs w:val="1"/>
          <w:color w:val="2952A4"/>
        </w:rPr>
      </w:pPr>
      <w:r>
        <w:rPr>
          <w:rFonts w:ascii="Arial" w:cs="Arial" w:eastAsia="Arial" w:hAnsi="Arial"/>
          <w:sz w:val="15"/>
          <w:szCs w:val="15"/>
          <w:color w:val="231F20"/>
        </w:rPr>
        <w:t>Includes (i) 1,371,988 shares of common stock purchasable upon exercise of options granted pursuant to the Long-Term Incentive Plans that are exercisable or become so within sixty days after April 14, 2020; (ii) 5,791 shares of common stock held in an account under the Company’s 401(k) Savings Plan; (iii) 557,465 shares held in separate grantor retained annuity trusts, of which Dr. Yancopoulos is the trustee; (iv) 517,799 shares of common stock held in trust for the benefit of Dr. Yancopoulos’s children and certain other family members, of which Dr. Yancopoulos is a trustee; and (v) 24,643 shares of common stock held in trusts for the benefit of Dr. Yancopoulos’s children.</w:t>
      </w:r>
    </w:p>
    <w:p>
      <w:pPr>
        <w:spacing w:after="0" w:line="180" w:lineRule="exact"/>
        <w:rPr>
          <w:rFonts w:ascii="Arial" w:cs="Arial" w:eastAsia="Arial" w:hAnsi="Arial"/>
          <w:sz w:val="15"/>
          <w:szCs w:val="15"/>
          <w:b w:val="1"/>
          <w:bCs w:val="1"/>
          <w:color w:val="2952A4"/>
        </w:rPr>
      </w:pPr>
    </w:p>
    <w:p>
      <w:pPr>
        <w:ind w:left="720" w:right="799" w:hanging="266"/>
        <w:spacing w:after="0" w:line="233" w:lineRule="auto"/>
        <w:tabs>
          <w:tab w:leader="none" w:pos="720" w:val="left"/>
        </w:tabs>
        <w:numPr>
          <w:ilvl w:val="0"/>
          <w:numId w:val="68"/>
        </w:numPr>
        <w:rPr>
          <w:rFonts w:ascii="Arial" w:cs="Arial" w:eastAsia="Arial" w:hAnsi="Arial"/>
          <w:sz w:val="15"/>
          <w:szCs w:val="15"/>
          <w:b w:val="1"/>
          <w:bCs w:val="1"/>
          <w:color w:val="2952A4"/>
        </w:rPr>
      </w:pPr>
      <w:r>
        <w:rPr>
          <w:rFonts w:ascii="Arial" w:cs="Arial" w:eastAsia="Arial" w:hAnsi="Arial"/>
          <w:sz w:val="15"/>
          <w:szCs w:val="15"/>
          <w:color w:val="231F20"/>
        </w:rPr>
        <w:t>Consists of (i) 23,370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 days after April 14, 2020 upon termination of service.</w:t>
      </w:r>
    </w:p>
    <w:p>
      <w:pPr>
        <w:spacing w:after="0" w:line="59" w:lineRule="exact"/>
        <w:rPr>
          <w:rFonts w:ascii="Arial" w:cs="Arial" w:eastAsia="Arial" w:hAnsi="Arial"/>
          <w:sz w:val="15"/>
          <w:szCs w:val="15"/>
          <w:b w:val="1"/>
          <w:bCs w:val="1"/>
          <w:color w:val="2952A4"/>
        </w:rPr>
      </w:pPr>
    </w:p>
    <w:p>
      <w:pPr>
        <w:ind w:left="720" w:right="799" w:hanging="266"/>
        <w:spacing w:after="0" w:line="233" w:lineRule="auto"/>
        <w:tabs>
          <w:tab w:leader="none" w:pos="720" w:val="left"/>
        </w:tabs>
        <w:numPr>
          <w:ilvl w:val="0"/>
          <w:numId w:val="68"/>
        </w:numPr>
        <w:rPr>
          <w:rFonts w:ascii="Arial" w:cs="Arial" w:eastAsia="Arial" w:hAnsi="Arial"/>
          <w:sz w:val="15"/>
          <w:szCs w:val="15"/>
          <w:b w:val="1"/>
          <w:bCs w:val="1"/>
          <w:color w:val="2952A4"/>
        </w:rPr>
      </w:pPr>
      <w:r>
        <w:rPr>
          <w:rFonts w:ascii="Arial" w:cs="Arial" w:eastAsia="Arial" w:hAnsi="Arial"/>
          <w:sz w:val="15"/>
          <w:szCs w:val="15"/>
          <w:color w:val="231F20"/>
        </w:rPr>
        <w:t>Consists of (i) 28,465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 days after April 14, 2020 upon termination of service.</w:t>
      </w:r>
    </w:p>
    <w:p>
      <w:pPr>
        <w:spacing w:after="0" w:line="59" w:lineRule="exact"/>
        <w:rPr>
          <w:rFonts w:ascii="Arial" w:cs="Arial" w:eastAsia="Arial" w:hAnsi="Arial"/>
          <w:sz w:val="15"/>
          <w:szCs w:val="15"/>
          <w:b w:val="1"/>
          <w:bCs w:val="1"/>
          <w:color w:val="2952A4"/>
        </w:rPr>
      </w:pPr>
    </w:p>
    <w:p>
      <w:pPr>
        <w:ind w:left="720" w:right="579" w:hanging="266"/>
        <w:spacing w:after="0" w:line="225" w:lineRule="auto"/>
        <w:tabs>
          <w:tab w:leader="none" w:pos="720" w:val="left"/>
        </w:tabs>
        <w:numPr>
          <w:ilvl w:val="0"/>
          <w:numId w:val="68"/>
        </w:numPr>
        <w:rPr>
          <w:rFonts w:ascii="Arial" w:cs="Arial" w:eastAsia="Arial" w:hAnsi="Arial"/>
          <w:sz w:val="15"/>
          <w:szCs w:val="15"/>
          <w:b w:val="1"/>
          <w:bCs w:val="1"/>
          <w:color w:val="2952A4"/>
        </w:rPr>
      </w:pPr>
      <w:r>
        <w:rPr>
          <w:rFonts w:ascii="Arial" w:cs="Arial" w:eastAsia="Arial" w:hAnsi="Arial"/>
          <w:sz w:val="15"/>
          <w:szCs w:val="15"/>
          <w:color w:val="231F20"/>
        </w:rPr>
        <w:t>Consists of (i) 38,804 shares of common stock purchasable upon exercise of options granted pursuant to the Long-Term Incentive Plans that are exercisable or become so within sixty days after April 14, 2020, which are held in a trust of which Dr. Brown and his spouse are trustees for the benefit of Dr. Brown’s immediate family members;</w:t>
      </w:r>
    </w:p>
    <w:p>
      <w:pPr>
        <w:ind w:left="720" w:right="539" w:firstLine="4"/>
        <w:spacing w:after="0" w:line="225" w:lineRule="auto"/>
        <w:tabs>
          <w:tab w:leader="none" w:pos="932" w:val="left"/>
        </w:tabs>
        <w:numPr>
          <w:ilvl w:val="1"/>
          <w:numId w:val="68"/>
        </w:numPr>
        <w:rPr>
          <w:rFonts w:ascii="Arial" w:cs="Arial" w:eastAsia="Arial" w:hAnsi="Arial"/>
          <w:sz w:val="15"/>
          <w:szCs w:val="15"/>
          <w:color w:val="231F20"/>
        </w:rPr>
      </w:pPr>
      <w:r>
        <w:rPr>
          <w:rFonts w:ascii="Arial" w:cs="Arial" w:eastAsia="Arial" w:hAnsi="Arial"/>
          <w:sz w:val="15"/>
          <w:szCs w:val="15"/>
          <w:color w:val="231F20"/>
        </w:rPr>
        <w:t>11,349 shares of common stock held in a trust of which Dr. Brown and his spouse are trustees for the benefit of Dr. Brown’s immediate family members; (iii) 5,000 shares of common stock held in a trust of which Dr. Brown’s spouse is trustee for the benefit of Dr. Brown’s immediate family members; (iv) 1,000 shares of common stock held by a family charitable foundation of which Dr. Brown is a director and an officer and his wife is a director; and (v) 465 shares of common stock issuable upon settlement of RSUs that are releasable within sixty days after April 14, 2020 upon termination of service. Dr. Brown disclaims beneficial ownership of the shares referenced in (iii) and</w:t>
      </w:r>
    </w:p>
    <w:p>
      <w:pPr>
        <w:spacing w:after="0" w:line="1" w:lineRule="exact"/>
        <w:rPr>
          <w:rFonts w:ascii="Arial" w:cs="Arial" w:eastAsia="Arial" w:hAnsi="Arial"/>
          <w:sz w:val="15"/>
          <w:szCs w:val="15"/>
          <w:color w:val="231F20"/>
        </w:rPr>
      </w:pPr>
    </w:p>
    <w:p>
      <w:pPr>
        <w:spacing w:after="0"/>
        <w:tabs>
          <w:tab w:leader="none" w:pos="0" w:val="left"/>
        </w:tabs>
        <w:numPr>
          <w:ilvl w:val="1"/>
          <w:numId w:val="69"/>
        </w:numPr>
        <w:rPr>
          <w:rFonts w:ascii="Arial" w:cs="Arial" w:eastAsia="Arial" w:hAnsi="Arial"/>
          <w:sz w:val="15"/>
          <w:szCs w:val="15"/>
          <w:color w:val="231F20"/>
        </w:rPr>
      </w:pPr>
    </w:p>
    <w:p>
      <w:pPr>
        <w:spacing w:after="0" w:line="70" w:lineRule="exact"/>
        <w:rPr>
          <w:rFonts w:ascii="Arial" w:cs="Arial" w:eastAsia="Arial" w:hAnsi="Arial"/>
          <w:sz w:val="15"/>
          <w:szCs w:val="15"/>
          <w:color w:val="231F20"/>
        </w:rPr>
      </w:pPr>
    </w:p>
    <w:p>
      <w:pPr>
        <w:ind w:left="720" w:right="619" w:hanging="266"/>
        <w:spacing w:after="0" w:line="233" w:lineRule="auto"/>
        <w:tabs>
          <w:tab w:leader="none" w:pos="720" w:val="left"/>
        </w:tabs>
        <w:numPr>
          <w:ilvl w:val="0"/>
          <w:numId w:val="70"/>
        </w:numPr>
        <w:rPr>
          <w:rFonts w:ascii="Arial" w:cs="Arial" w:eastAsia="Arial" w:hAnsi="Arial"/>
          <w:sz w:val="15"/>
          <w:szCs w:val="15"/>
          <w:b w:val="1"/>
          <w:bCs w:val="1"/>
          <w:color w:val="2952A4"/>
        </w:rPr>
      </w:pPr>
      <w:r>
        <w:rPr>
          <w:rFonts w:ascii="Arial" w:cs="Arial" w:eastAsia="Arial" w:hAnsi="Arial"/>
          <w:sz w:val="15"/>
          <w:szCs w:val="15"/>
          <w:color w:val="231F20"/>
        </w:rPr>
        <w:t>Includes (i) 38,554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 days after April 14, 2020 upon termination of service.</w:t>
      </w:r>
    </w:p>
    <w:p>
      <w:pPr>
        <w:spacing w:after="0" w:line="59" w:lineRule="exact"/>
        <w:rPr>
          <w:rFonts w:ascii="Arial" w:cs="Arial" w:eastAsia="Arial" w:hAnsi="Arial"/>
          <w:sz w:val="15"/>
          <w:szCs w:val="15"/>
          <w:b w:val="1"/>
          <w:bCs w:val="1"/>
          <w:color w:val="2952A4"/>
        </w:rPr>
      </w:pPr>
    </w:p>
    <w:p>
      <w:pPr>
        <w:jc w:val="both"/>
        <w:ind w:left="720" w:right="619" w:hanging="266"/>
        <w:spacing w:after="0" w:line="233" w:lineRule="auto"/>
        <w:tabs>
          <w:tab w:leader="none" w:pos="720" w:val="left"/>
        </w:tabs>
        <w:numPr>
          <w:ilvl w:val="0"/>
          <w:numId w:val="70"/>
        </w:numPr>
        <w:rPr>
          <w:rFonts w:ascii="Arial" w:cs="Arial" w:eastAsia="Arial" w:hAnsi="Arial"/>
          <w:sz w:val="15"/>
          <w:szCs w:val="15"/>
          <w:b w:val="1"/>
          <w:bCs w:val="1"/>
          <w:color w:val="2952A4"/>
        </w:rPr>
      </w:pPr>
      <w:r>
        <w:rPr>
          <w:rFonts w:ascii="Arial" w:cs="Arial" w:eastAsia="Arial" w:hAnsi="Arial"/>
          <w:sz w:val="15"/>
          <w:szCs w:val="15"/>
          <w:color w:val="231F20"/>
        </w:rPr>
        <w:t>Includes (i) 276,750 shares of common stock purchasable upon exercise of options granted pursuant to the Long-Term Incentive Plans that are exercisable or become so within sixty days after April 14, 2020; (ii) 27,625 shares of restricted stock (“RSAs”); and (iii) 4,212 shares of common stock held in an account under the Company’s 401(k) Savings Plan.</w:t>
      </w:r>
    </w:p>
    <w:p>
      <w:pPr>
        <w:spacing w:after="0" w:line="59" w:lineRule="exact"/>
        <w:rPr>
          <w:rFonts w:ascii="Arial" w:cs="Arial" w:eastAsia="Arial" w:hAnsi="Arial"/>
          <w:sz w:val="15"/>
          <w:szCs w:val="15"/>
          <w:b w:val="1"/>
          <w:bCs w:val="1"/>
          <w:color w:val="2952A4"/>
        </w:rPr>
      </w:pPr>
    </w:p>
    <w:p>
      <w:pPr>
        <w:ind w:left="720" w:right="619" w:hanging="266"/>
        <w:spacing w:after="0" w:line="233" w:lineRule="auto"/>
        <w:tabs>
          <w:tab w:leader="none" w:pos="720" w:val="left"/>
        </w:tabs>
        <w:numPr>
          <w:ilvl w:val="0"/>
          <w:numId w:val="70"/>
        </w:numPr>
        <w:rPr>
          <w:rFonts w:ascii="Arial" w:cs="Arial" w:eastAsia="Arial" w:hAnsi="Arial"/>
          <w:sz w:val="15"/>
          <w:szCs w:val="15"/>
          <w:b w:val="1"/>
          <w:bCs w:val="1"/>
          <w:color w:val="2952A4"/>
        </w:rPr>
      </w:pPr>
      <w:r>
        <w:rPr>
          <w:rFonts w:ascii="Arial" w:cs="Arial" w:eastAsia="Arial" w:hAnsi="Arial"/>
          <w:sz w:val="15"/>
          <w:szCs w:val="15"/>
          <w:color w:val="231F20"/>
        </w:rPr>
        <w:t>Includes (i) 120,834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 days after April 14, 2020 upon termination of service.</w:t>
      </w:r>
    </w:p>
    <w:p>
      <w:pPr>
        <w:spacing w:after="0" w:line="59" w:lineRule="exact"/>
        <w:rPr>
          <w:rFonts w:ascii="Arial" w:cs="Arial" w:eastAsia="Arial" w:hAnsi="Arial"/>
          <w:sz w:val="15"/>
          <w:szCs w:val="15"/>
          <w:b w:val="1"/>
          <w:bCs w:val="1"/>
          <w:color w:val="2952A4"/>
        </w:rPr>
      </w:pPr>
    </w:p>
    <w:p>
      <w:pPr>
        <w:ind w:left="720" w:right="619" w:hanging="266"/>
        <w:spacing w:after="0" w:line="233" w:lineRule="auto"/>
        <w:tabs>
          <w:tab w:leader="none" w:pos="720" w:val="left"/>
        </w:tabs>
        <w:numPr>
          <w:ilvl w:val="0"/>
          <w:numId w:val="70"/>
        </w:numPr>
        <w:rPr>
          <w:rFonts w:ascii="Arial" w:cs="Arial" w:eastAsia="Arial" w:hAnsi="Arial"/>
          <w:sz w:val="15"/>
          <w:szCs w:val="15"/>
          <w:b w:val="1"/>
          <w:bCs w:val="1"/>
          <w:color w:val="2952A4"/>
        </w:rPr>
      </w:pPr>
      <w:r>
        <w:rPr>
          <w:rFonts w:ascii="Arial" w:cs="Arial" w:eastAsia="Arial" w:hAnsi="Arial"/>
          <w:sz w:val="15"/>
          <w:szCs w:val="15"/>
          <w:color w:val="231F20"/>
        </w:rPr>
        <w:t>Includes (i) 52,054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 days after April 14, 2020 upon termination of service.</w:t>
      </w:r>
    </w:p>
    <w:p>
      <w:pPr>
        <w:spacing w:after="0" w:line="59" w:lineRule="exact"/>
        <w:rPr>
          <w:rFonts w:ascii="Arial" w:cs="Arial" w:eastAsia="Arial" w:hAnsi="Arial"/>
          <w:sz w:val="15"/>
          <w:szCs w:val="15"/>
          <w:b w:val="1"/>
          <w:bCs w:val="1"/>
          <w:color w:val="2952A4"/>
        </w:rPr>
      </w:pPr>
    </w:p>
    <w:p>
      <w:pPr>
        <w:ind w:left="720" w:right="679" w:hanging="266"/>
        <w:spacing w:after="0" w:line="230" w:lineRule="auto"/>
        <w:tabs>
          <w:tab w:leader="none" w:pos="720" w:val="left"/>
        </w:tabs>
        <w:numPr>
          <w:ilvl w:val="0"/>
          <w:numId w:val="70"/>
        </w:numPr>
        <w:rPr>
          <w:rFonts w:ascii="Arial" w:cs="Arial" w:eastAsia="Arial" w:hAnsi="Arial"/>
          <w:sz w:val="15"/>
          <w:szCs w:val="15"/>
          <w:b w:val="1"/>
          <w:bCs w:val="1"/>
          <w:color w:val="2952A4"/>
        </w:rPr>
      </w:pPr>
      <w:r>
        <w:rPr>
          <w:rFonts w:ascii="Arial" w:cs="Arial" w:eastAsia="Arial" w:hAnsi="Arial"/>
          <w:sz w:val="15"/>
          <w:szCs w:val="15"/>
          <w:color w:val="231F20"/>
        </w:rPr>
        <w:t>Includes (i) 93,804 shares of common stock purchasable upon exercise of options granted pursuant to the Long-Term Incentive Plans that are exercisable or become so within sixty days after April 14, 2020; (ii) 2,400 shares of common stock held by Mr. Sing’s spouse; (iii) 3,700 shares of common stock held by Mr. Sing’s spouse as custodian for the benefit of their son; (iv) 9,000 shares of common stock held in a trust for benefit of Mr. Sing’s son; and (v) 465 shares of common stock issuable upon settlement of RSUs that are releasable within sixty days after April 14, 2020 upon termination of service.</w:t>
      </w:r>
    </w:p>
    <w:p>
      <w:pPr>
        <w:spacing w:after="0" w:line="61" w:lineRule="exact"/>
        <w:rPr>
          <w:rFonts w:ascii="Arial" w:cs="Arial" w:eastAsia="Arial" w:hAnsi="Arial"/>
          <w:sz w:val="15"/>
          <w:szCs w:val="15"/>
          <w:b w:val="1"/>
          <w:bCs w:val="1"/>
          <w:color w:val="2952A4"/>
        </w:rPr>
      </w:pPr>
    </w:p>
    <w:p>
      <w:pPr>
        <w:jc w:val="both"/>
        <w:ind w:left="720" w:right="699" w:hanging="266"/>
        <w:spacing w:after="0" w:line="235" w:lineRule="auto"/>
        <w:tabs>
          <w:tab w:leader="none" w:pos="720" w:val="left"/>
        </w:tabs>
        <w:numPr>
          <w:ilvl w:val="0"/>
          <w:numId w:val="70"/>
        </w:numPr>
        <w:rPr>
          <w:rFonts w:ascii="Arial" w:cs="Arial" w:eastAsia="Arial" w:hAnsi="Arial"/>
          <w:sz w:val="15"/>
          <w:szCs w:val="15"/>
          <w:b w:val="1"/>
          <w:bCs w:val="1"/>
          <w:color w:val="2952A4"/>
        </w:rPr>
      </w:pPr>
      <w:r>
        <w:rPr>
          <w:rFonts w:ascii="Arial" w:cs="Arial" w:eastAsia="Arial" w:hAnsi="Arial"/>
          <w:sz w:val="15"/>
          <w:szCs w:val="15"/>
          <w:color w:val="231F20"/>
        </w:rPr>
        <w:t>Includes (i) 66,304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w:t>
      </w:r>
    </w:p>
    <w:p>
      <w:pPr>
        <w:sectPr>
          <w:pgSz w:w="11900" w:h="16895" w:orient="portrait"/>
          <w:cols w:equalWidth="0" w:num="1">
            <w:col w:w="9019"/>
          </w:cols>
          <w:pgMar w:left="1440" w:top="405" w:right="1440"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05BA8"/>
              </w:rPr>
              <w:t>2020 PROXY STATEMENT AND NOTICE OF ANNUAL SHAREHOLDER MEETING</w:t>
            </w:r>
          </w:p>
        </w:tc>
        <w:tc>
          <w:tcPr>
            <w:tcW w:w="3200" w:type="dxa"/>
            <w:vAlign w:val="bottom"/>
          </w:tcPr>
          <w:p>
            <w:pPr>
              <w:jc w:val="right"/>
              <w:ind w:right="1137"/>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4"/>
                <w:szCs w:val="14"/>
                <w:b w:val="1"/>
                <w:bCs w:val="1"/>
                <w:color w:val="00A5EC"/>
              </w:rPr>
              <w:t>49</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-290830</wp:posOffset>
            </wp:positionV>
            <wp:extent cx="74549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1" w:name="page62"/>
    <w:bookmarkEnd w:id="61"/>
    <w:p>
      <w:pPr>
        <w:ind w:left="460"/>
        <w:spacing w:after="0"/>
        <w:rPr>
          <w:sz w:val="20"/>
          <w:szCs w:val="20"/>
          <w:color w:val="auto"/>
        </w:rPr>
      </w:pPr>
      <w:r>
        <w:rPr>
          <w:rFonts w:ascii="Arial" w:cs="Arial" w:eastAsia="Arial" w:hAnsi="Arial"/>
          <w:sz w:val="16"/>
          <w:szCs w:val="16"/>
          <w:b w:val="1"/>
          <w:bCs w:val="1"/>
          <w:color w:val="2952A4"/>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720"/>
        <w:spacing w:after="0"/>
        <w:rPr>
          <w:sz w:val="20"/>
          <w:szCs w:val="20"/>
          <w:color w:val="auto"/>
        </w:rPr>
      </w:pPr>
      <w:r>
        <w:rPr>
          <w:rFonts w:ascii="Arial" w:cs="Arial" w:eastAsia="Arial" w:hAnsi="Arial"/>
          <w:sz w:val="15"/>
          <w:szCs w:val="15"/>
          <w:color w:val="231F20"/>
        </w:rPr>
        <w:t>days after April 14, 2020 upon termination of service.</w:t>
      </w:r>
    </w:p>
    <w:p>
      <w:pPr>
        <w:spacing w:after="0" w:line="71" w:lineRule="exact"/>
        <w:rPr>
          <w:sz w:val="20"/>
          <w:szCs w:val="20"/>
          <w:color w:val="auto"/>
        </w:rPr>
      </w:pPr>
    </w:p>
    <w:p>
      <w:pPr>
        <w:ind w:left="720" w:right="619" w:hanging="266"/>
        <w:spacing w:after="0" w:line="235" w:lineRule="auto"/>
        <w:tabs>
          <w:tab w:leader="none" w:pos="720" w:val="left"/>
        </w:tabs>
        <w:numPr>
          <w:ilvl w:val="0"/>
          <w:numId w:val="71"/>
        </w:numPr>
        <w:rPr>
          <w:rFonts w:ascii="Arial" w:cs="Arial" w:eastAsia="Arial" w:hAnsi="Arial"/>
          <w:sz w:val="15"/>
          <w:szCs w:val="15"/>
          <w:b w:val="1"/>
          <w:bCs w:val="1"/>
          <w:color w:val="2952A4"/>
        </w:rPr>
      </w:pPr>
      <w:r>
        <w:rPr>
          <w:rFonts w:ascii="Arial" w:cs="Arial" w:eastAsia="Arial" w:hAnsi="Arial"/>
          <w:sz w:val="15"/>
          <w:szCs w:val="15"/>
          <w:color w:val="231F20"/>
        </w:rPr>
        <w:t>Includes (i) 133,493 shares of common stock purchasable upon exercise of options granted pursuant to the Long-Term Incentive Plans that are exercisable or become so within sixty days after April 14, 2020; (ii) 20,125 RSAs; and (iii) 172 shares of common stock held in an account under the Company’s 401(k) Savings Plan.</w:t>
      </w:r>
    </w:p>
    <w:p>
      <w:pPr>
        <w:spacing w:after="0" w:line="60" w:lineRule="exact"/>
        <w:rPr>
          <w:rFonts w:ascii="Arial" w:cs="Arial" w:eastAsia="Arial" w:hAnsi="Arial"/>
          <w:sz w:val="15"/>
          <w:szCs w:val="15"/>
          <w:b w:val="1"/>
          <w:bCs w:val="1"/>
          <w:color w:val="2952A4"/>
        </w:rPr>
      </w:pPr>
    </w:p>
    <w:p>
      <w:pPr>
        <w:jc w:val="both"/>
        <w:ind w:left="720" w:right="599" w:hanging="266"/>
        <w:spacing w:after="0" w:line="235" w:lineRule="auto"/>
        <w:tabs>
          <w:tab w:leader="none" w:pos="720" w:val="left"/>
        </w:tabs>
        <w:numPr>
          <w:ilvl w:val="0"/>
          <w:numId w:val="71"/>
        </w:numPr>
        <w:rPr>
          <w:rFonts w:ascii="Arial" w:cs="Arial" w:eastAsia="Arial" w:hAnsi="Arial"/>
          <w:sz w:val="15"/>
          <w:szCs w:val="15"/>
          <w:b w:val="1"/>
          <w:bCs w:val="1"/>
          <w:color w:val="2952A4"/>
        </w:rPr>
      </w:pPr>
      <w:r>
        <w:rPr>
          <w:rFonts w:ascii="Arial" w:cs="Arial" w:eastAsia="Arial" w:hAnsi="Arial"/>
          <w:sz w:val="15"/>
          <w:szCs w:val="15"/>
          <w:color w:val="231F20"/>
        </w:rPr>
        <w:t>Includes (i) 352,642 shares of common stock purchasable upon exercise of options granted pursuant to the Long-Term Incentive Plans that are exercisable or become so within sixty days after April 14, 2020; (ii) 7,625 RSAs; and (iii) 1,537 shares of common stock held in an account under the Company’s 401(k) Savings Plan.</w:t>
      </w:r>
    </w:p>
    <w:p>
      <w:pPr>
        <w:spacing w:after="0" w:line="60" w:lineRule="exact"/>
        <w:rPr>
          <w:rFonts w:ascii="Arial" w:cs="Arial" w:eastAsia="Arial" w:hAnsi="Arial"/>
          <w:sz w:val="15"/>
          <w:szCs w:val="15"/>
          <w:b w:val="1"/>
          <w:bCs w:val="1"/>
          <w:color w:val="2952A4"/>
        </w:rPr>
      </w:pPr>
    </w:p>
    <w:p>
      <w:pPr>
        <w:ind w:left="720" w:right="799" w:hanging="266"/>
        <w:spacing w:after="0" w:line="233" w:lineRule="auto"/>
        <w:tabs>
          <w:tab w:leader="none" w:pos="720" w:val="left"/>
        </w:tabs>
        <w:numPr>
          <w:ilvl w:val="0"/>
          <w:numId w:val="71"/>
        </w:numPr>
        <w:rPr>
          <w:rFonts w:ascii="Arial" w:cs="Arial" w:eastAsia="Arial" w:hAnsi="Arial"/>
          <w:sz w:val="15"/>
          <w:szCs w:val="15"/>
          <w:b w:val="1"/>
          <w:bCs w:val="1"/>
          <w:color w:val="2952A4"/>
        </w:rPr>
      </w:pPr>
      <w:r>
        <w:rPr>
          <w:rFonts w:ascii="Arial" w:cs="Arial" w:eastAsia="Arial" w:hAnsi="Arial"/>
          <w:sz w:val="15"/>
          <w:szCs w:val="15"/>
          <w:color w:val="231F20"/>
        </w:rPr>
        <w:t>Consists of (i) 28,465 shares of common stock purchasable upon exercise of options granted pursuant to the Long-Term Incentive Plans that are exercisable or become so within sixty days after April 14, 2020; and (ii) 465 shares of common stock issuable upon settlement of RSUs that are releasable within sixty days after April 14, 2020 upon termination of service.</w:t>
      </w:r>
    </w:p>
    <w:p>
      <w:pPr>
        <w:spacing w:after="0" w:line="59" w:lineRule="exact"/>
        <w:rPr>
          <w:rFonts w:ascii="Arial" w:cs="Arial" w:eastAsia="Arial" w:hAnsi="Arial"/>
          <w:sz w:val="15"/>
          <w:szCs w:val="15"/>
          <w:b w:val="1"/>
          <w:bCs w:val="1"/>
          <w:color w:val="2952A4"/>
        </w:rPr>
      </w:pPr>
    </w:p>
    <w:p>
      <w:pPr>
        <w:ind w:left="720" w:right="679" w:hanging="266"/>
        <w:spacing w:after="0" w:line="231" w:lineRule="auto"/>
        <w:tabs>
          <w:tab w:leader="none" w:pos="720" w:val="left"/>
        </w:tabs>
        <w:numPr>
          <w:ilvl w:val="0"/>
          <w:numId w:val="71"/>
        </w:numPr>
        <w:rPr>
          <w:rFonts w:ascii="Arial" w:cs="Arial" w:eastAsia="Arial" w:hAnsi="Arial"/>
          <w:sz w:val="15"/>
          <w:szCs w:val="15"/>
          <w:b w:val="1"/>
          <w:bCs w:val="1"/>
          <w:color w:val="2952A4"/>
        </w:rPr>
      </w:pPr>
      <w:r>
        <w:rPr>
          <w:rFonts w:ascii="Arial" w:cs="Arial" w:eastAsia="Arial" w:hAnsi="Arial"/>
          <w:sz w:val="15"/>
          <w:szCs w:val="15"/>
          <w:color w:val="231F20"/>
        </w:rPr>
        <w:t>Includes (i) 6,397,730 shares of common stock purchasable upon exercise of options granted pursuant to the Long-Term Incentive Plans that are exercisable or become so within sixty days after April 14, 2020; (ii) 83,108 RSAs; (iii) 4,185 shares of common stock issuable upon settlement of RSUs that are releasable within sixty days after April 14, 2020; and (iv) 27,183 shares of common stock held in an account under the Company’s 401(k) Savings Plan.</w:t>
      </w:r>
    </w:p>
    <w:p>
      <w:pPr>
        <w:spacing w:after="0" w:line="60" w:lineRule="exact"/>
        <w:rPr>
          <w:rFonts w:ascii="Arial" w:cs="Arial" w:eastAsia="Arial" w:hAnsi="Arial"/>
          <w:sz w:val="15"/>
          <w:szCs w:val="15"/>
          <w:b w:val="1"/>
          <w:bCs w:val="1"/>
          <w:color w:val="2952A4"/>
        </w:rPr>
      </w:pPr>
    </w:p>
    <w:p>
      <w:pPr>
        <w:ind w:left="720" w:hanging="266"/>
        <w:spacing w:after="0"/>
        <w:tabs>
          <w:tab w:leader="none" w:pos="720" w:val="left"/>
        </w:tabs>
        <w:numPr>
          <w:ilvl w:val="0"/>
          <w:numId w:val="71"/>
        </w:numPr>
        <w:rPr>
          <w:rFonts w:ascii="Arial" w:cs="Arial" w:eastAsia="Arial" w:hAnsi="Arial"/>
          <w:sz w:val="15"/>
          <w:szCs w:val="15"/>
          <w:b w:val="1"/>
          <w:bCs w:val="1"/>
          <w:color w:val="2952A4"/>
        </w:rPr>
      </w:pPr>
      <w:r>
        <w:rPr>
          <w:rFonts w:ascii="Arial" w:cs="Arial" w:eastAsia="Arial" w:hAnsi="Arial"/>
          <w:sz w:val="15"/>
          <w:szCs w:val="15"/>
          <w:color w:val="231F20"/>
        </w:rPr>
        <w:t>Represents less than 1%.</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920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196" w:lineRule="exact"/>
        <w:rPr>
          <w:sz w:val="20"/>
          <w:szCs w:val="20"/>
          <w:color w:val="auto"/>
        </w:rPr>
      </w:pPr>
    </w:p>
    <w:p>
      <w:pPr>
        <w:ind w:left="460" w:right="639"/>
        <w:spacing w:after="0" w:line="228" w:lineRule="auto"/>
        <w:rPr>
          <w:sz w:val="20"/>
          <w:szCs w:val="20"/>
          <w:color w:val="auto"/>
        </w:rPr>
      </w:pPr>
      <w:r>
        <w:rPr>
          <w:rFonts w:ascii="Arial" w:cs="Arial" w:eastAsia="Arial" w:hAnsi="Arial"/>
          <w:sz w:val="15"/>
          <w:szCs w:val="15"/>
          <w:color w:val="231F20"/>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50  </w:t>
      </w:r>
      <w:r>
        <w:rPr>
          <w:rFonts w:ascii="Arial" w:cs="Arial" w:eastAsia="Arial" w:hAnsi="Arial"/>
          <w:sz w:val="14"/>
          <w:szCs w:val="14"/>
          <w:color w:val="205BA8"/>
        </w:rPr>
        <w:t xml:space="preserve">/  </w:t>
      </w:r>
      <w:r>
        <w:rPr>
          <w:sz w:val="1"/>
          <w:szCs w:val="1"/>
          <w:color w:val="auto"/>
        </w:rPr>
        <w:drawing>
          <wp:inline distT="0" distB="0" distL="0" distR="0">
            <wp:extent cx="745490" cy="8572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05BA8"/>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62" w:name="page63"/>
    <w:bookmarkEnd w:id="62"/>
    <w:p>
      <w:pPr>
        <w:ind w:left="1480"/>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084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8405"/>
                    </a:xfrm>
                    <a:prstGeom prst="rect">
                      <a:avLst/>
                    </a:prstGeom>
                    <a:noFill/>
                  </pic:spPr>
                </pic:pic>
              </a:graphicData>
            </a:graphic>
          </wp:anchor>
        </w:drawing>
        <w:t>COMPENSATION-RELATED</w:t>
      </w:r>
    </w:p>
    <w:p>
      <w:pPr>
        <w:spacing w:after="0" w:line="43" w:lineRule="exact"/>
        <w:rPr>
          <w:sz w:val="20"/>
          <w:szCs w:val="20"/>
          <w:color w:val="auto"/>
        </w:rPr>
      </w:pPr>
    </w:p>
    <w:p>
      <w:pPr>
        <w:ind w:left="1480"/>
        <w:spacing w:after="0"/>
        <w:rPr>
          <w:sz w:val="20"/>
          <w:szCs w:val="20"/>
          <w:color w:val="auto"/>
        </w:rPr>
      </w:pPr>
      <w:r>
        <w:rPr>
          <w:rFonts w:ascii="Arial" w:cs="Arial" w:eastAsia="Arial" w:hAnsi="Arial"/>
          <w:sz w:val="38"/>
          <w:szCs w:val="38"/>
          <w:b w:val="1"/>
          <w:bCs w:val="1"/>
          <w:color w:val="FFFFFF"/>
        </w:rPr>
        <w:t>MATTERS</w:t>
      </w:r>
    </w:p>
    <w:p>
      <w:pPr>
        <w:spacing w:after="0" w:line="200" w:lineRule="exact"/>
        <w:rPr>
          <w:sz w:val="20"/>
          <w:szCs w:val="20"/>
          <w:color w:val="auto"/>
        </w:rPr>
      </w:pPr>
    </w:p>
    <w:p>
      <w:pPr>
        <w:spacing w:after="0" w:line="367" w:lineRule="exact"/>
        <w:rPr>
          <w:sz w:val="20"/>
          <w:szCs w:val="20"/>
          <w:color w:val="auto"/>
        </w:rPr>
      </w:pPr>
    </w:p>
    <w:p>
      <w:pPr>
        <w:ind w:left="1480"/>
        <w:spacing w:after="0"/>
        <w:rPr>
          <w:sz w:val="20"/>
          <w:szCs w:val="20"/>
          <w:color w:val="auto"/>
        </w:rPr>
      </w:pPr>
      <w:r>
        <w:rPr>
          <w:rFonts w:ascii="Arial" w:cs="Arial" w:eastAsia="Arial" w:hAnsi="Arial"/>
          <w:sz w:val="29"/>
          <w:szCs w:val="29"/>
          <w:b w:val="1"/>
          <w:bCs w:val="1"/>
          <w:color w:val="C04C5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27940</wp:posOffset>
            </wp:positionV>
            <wp:extent cx="52635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22"/>
                <w:szCs w:val="22"/>
                <w:b w:val="1"/>
                <w:bCs w:val="1"/>
                <w:u w:val="single" w:color="auto"/>
                <w:color w:val="2952A4"/>
              </w:rPr>
            </w:pPr>
            <w:hyperlink w:anchor="page64">
              <w:r>
                <w:rPr>
                  <w:rFonts w:ascii="Arial" w:cs="Arial" w:eastAsia="Arial" w:hAnsi="Arial"/>
                  <w:sz w:val="22"/>
                  <w:szCs w:val="22"/>
                  <w:b w:val="1"/>
                  <w:bCs w:val="1"/>
                  <w:u w:val="single" w:color="auto"/>
                  <w:color w:val="2952A4"/>
                </w:rPr>
                <w:t>INTRODUCTION</w:t>
              </w:r>
            </w:hyperlink>
          </w:p>
        </w:tc>
        <w:tc>
          <w:tcPr>
            <w:tcW w:w="880" w:type="dxa"/>
            <w:vAlign w:val="bottom"/>
          </w:tcPr>
          <w:p>
            <w:pPr>
              <w:jc w:val="right"/>
              <w:ind w:right="421"/>
              <w:spacing w:after="0"/>
              <w:rPr>
                <w:sz w:val="20"/>
                <w:szCs w:val="20"/>
                <w:color w:val="auto"/>
              </w:rPr>
            </w:pPr>
            <w:r>
              <w:rPr>
                <w:rFonts w:ascii="Arial" w:cs="Arial" w:eastAsia="Arial" w:hAnsi="Arial"/>
                <w:sz w:val="22"/>
                <w:szCs w:val="22"/>
                <w:b w:val="1"/>
                <w:bCs w:val="1"/>
                <w:color w:val="2952A4"/>
              </w:rPr>
              <w:t>52</w:t>
            </w:r>
          </w:p>
        </w:tc>
        <w:tc>
          <w:tcPr>
            <w:tcW w:w="3380" w:type="dxa"/>
            <w:vAlign w:val="bottom"/>
            <w:gridSpan w:val="12"/>
          </w:tcPr>
          <w:p>
            <w:pPr>
              <w:spacing w:after="0"/>
              <w:rPr>
                <w:rFonts w:ascii="Arial" w:cs="Arial" w:eastAsia="Arial" w:hAnsi="Arial"/>
                <w:sz w:val="22"/>
                <w:szCs w:val="22"/>
                <w:b w:val="1"/>
                <w:bCs w:val="1"/>
                <w:u w:val="single" w:color="auto"/>
                <w:color w:val="2952A4"/>
              </w:rPr>
            </w:pPr>
            <w:hyperlink w:anchor="page98">
              <w:r>
                <w:rPr>
                  <w:rFonts w:ascii="Arial" w:cs="Arial" w:eastAsia="Arial" w:hAnsi="Arial"/>
                  <w:sz w:val="22"/>
                  <w:szCs w:val="22"/>
                  <w:b w:val="1"/>
                  <w:bCs w:val="1"/>
                  <w:u w:val="single" w:color="auto"/>
                  <w:color w:val="2952A4"/>
                </w:rPr>
                <w:t>COMPENSATION DASHBOARD</w:t>
              </w:r>
            </w:hyperlink>
          </w:p>
        </w:tc>
        <w:tc>
          <w:tcPr>
            <w:tcW w:w="1980" w:type="dxa"/>
            <w:vAlign w:val="bottom"/>
          </w:tcPr>
          <w:p>
            <w:pPr>
              <w:jc w:val="right"/>
              <w:ind w:right="1398"/>
              <w:spacing w:after="0"/>
              <w:rPr>
                <w:sz w:val="20"/>
                <w:szCs w:val="20"/>
                <w:color w:val="auto"/>
              </w:rPr>
            </w:pPr>
            <w:r>
              <w:rPr>
                <w:rFonts w:ascii="Arial" w:cs="Arial" w:eastAsia="Arial" w:hAnsi="Arial"/>
                <w:sz w:val="22"/>
                <w:szCs w:val="22"/>
                <w:b w:val="1"/>
                <w:bCs w:val="1"/>
                <w:color w:val="2952A4"/>
              </w:rPr>
              <w:t>86</w:t>
            </w:r>
          </w:p>
        </w:tc>
        <w:tc>
          <w:tcPr>
            <w:tcW w:w="0" w:type="dxa"/>
            <w:vAlign w:val="bottom"/>
          </w:tcPr>
          <w:p>
            <w:pPr>
              <w:spacing w:after="0"/>
              <w:rPr>
                <w:sz w:val="1"/>
                <w:szCs w:val="1"/>
                <w:color w:val="auto"/>
              </w:rPr>
            </w:pPr>
          </w:p>
        </w:tc>
      </w:tr>
      <w:tr>
        <w:trPr>
          <w:trHeight w:val="354"/>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22"/>
                <w:szCs w:val="22"/>
                <w:b w:val="1"/>
                <w:bCs w:val="1"/>
                <w:color w:val="2952A4"/>
              </w:rPr>
            </w:pPr>
            <w:hyperlink w:anchor="page69">
              <w:r>
                <w:rPr>
                  <w:rFonts w:ascii="Arial" w:cs="Arial" w:eastAsia="Arial" w:hAnsi="Arial"/>
                  <w:sz w:val="22"/>
                  <w:szCs w:val="22"/>
                  <w:b w:val="1"/>
                  <w:bCs w:val="1"/>
                  <w:color w:val="2952A4"/>
                </w:rPr>
                <w:t>COMPENSATION DISCUSSION</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22"/>
                <w:szCs w:val="22"/>
                <w:b w:val="1"/>
                <w:bCs w:val="1"/>
                <w:color w:val="2952A4"/>
              </w:rPr>
              <w:t>57</w:t>
            </w:r>
          </w:p>
        </w:tc>
        <w:tc>
          <w:tcPr>
            <w:tcW w:w="3380" w:type="dxa"/>
            <w:vAlign w:val="bottom"/>
            <w:gridSpan w:val="12"/>
          </w:tcPr>
          <w:p>
            <w:pPr>
              <w:spacing w:after="0"/>
              <w:rPr>
                <w:rFonts w:ascii="Arial" w:cs="Arial" w:eastAsia="Arial" w:hAnsi="Arial"/>
                <w:sz w:val="15"/>
                <w:szCs w:val="15"/>
                <w:b w:val="1"/>
                <w:bCs w:val="1"/>
                <w:u w:val="single" w:color="auto"/>
                <w:color w:val="231F20"/>
              </w:rPr>
            </w:pPr>
            <w:hyperlink w:anchor="page98">
              <w:r>
                <w:rPr>
                  <w:rFonts w:ascii="Arial" w:cs="Arial" w:eastAsia="Arial" w:hAnsi="Arial"/>
                  <w:sz w:val="15"/>
                  <w:szCs w:val="15"/>
                  <w:b w:val="1"/>
                  <w:bCs w:val="1"/>
                  <w:u w:val="single" w:color="auto"/>
                  <w:color w:val="231F20"/>
                </w:rPr>
                <w:t>2019 Executive Compensation Tables</w:t>
              </w:r>
            </w:hyperlink>
          </w:p>
        </w:tc>
        <w:tc>
          <w:tcPr>
            <w:tcW w:w="1980" w:type="dxa"/>
            <w:vAlign w:val="bottom"/>
          </w:tcPr>
          <w:p>
            <w:pPr>
              <w:jc w:val="right"/>
              <w:ind w:right="1398"/>
              <w:spacing w:after="0"/>
              <w:rPr>
                <w:sz w:val="20"/>
                <w:szCs w:val="20"/>
                <w:color w:val="auto"/>
              </w:rPr>
            </w:pPr>
            <w:r>
              <w:rPr>
                <w:rFonts w:ascii="Arial" w:cs="Arial" w:eastAsia="Arial" w:hAnsi="Arial"/>
                <w:sz w:val="15"/>
                <w:szCs w:val="15"/>
                <w:b w:val="1"/>
                <w:bCs w:val="1"/>
                <w:color w:val="231F20"/>
              </w:rPr>
              <w:t>86</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600" w:type="dxa"/>
            <w:vAlign w:val="bottom"/>
            <w:tcBorders>
              <w:top w:val="single" w:sz="8" w:color="2952A4"/>
              <w:bottom w:val="single" w:sz="8" w:color="2952A4"/>
            </w:tcBorders>
            <w:gridSpan w:val="6"/>
          </w:tcPr>
          <w:p>
            <w:pPr>
              <w:spacing w:after="0" w:line="209" w:lineRule="exact"/>
              <w:rPr>
                <w:rFonts w:ascii="Arial" w:cs="Arial" w:eastAsia="Arial" w:hAnsi="Arial"/>
                <w:sz w:val="22"/>
                <w:szCs w:val="22"/>
                <w:b w:val="1"/>
                <w:bCs w:val="1"/>
                <w:color w:val="2952A4"/>
                <w:w w:val="95"/>
              </w:rPr>
            </w:pPr>
            <w:hyperlink w:anchor="page69">
              <w:r>
                <w:rPr>
                  <w:rFonts w:ascii="Arial" w:cs="Arial" w:eastAsia="Arial" w:hAnsi="Arial"/>
                  <w:sz w:val="22"/>
                  <w:szCs w:val="22"/>
                  <w:b w:val="1"/>
                  <w:bCs w:val="1"/>
                  <w:color w:val="2952A4"/>
                  <w:w w:val="95"/>
                </w:rPr>
                <w:t>AND ANALYSIS</w:t>
              </w:r>
            </w:hyperlink>
          </w:p>
        </w:tc>
        <w:tc>
          <w:tcPr>
            <w:tcW w:w="640" w:type="dxa"/>
            <w:vAlign w:val="bottom"/>
            <w:tcBorders>
              <w:top w:val="single" w:sz="8" w:color="2952A4"/>
              <w:bottom w:val="single" w:sz="8" w:color="2952A4"/>
            </w:tcBorders>
          </w:tcPr>
          <w:p>
            <w:pPr>
              <w:spacing w:after="0"/>
              <w:rPr>
                <w:sz w:val="19"/>
                <w:szCs w:val="19"/>
                <w:color w:val="auto"/>
              </w:rPr>
            </w:pPr>
          </w:p>
        </w:tc>
        <w:tc>
          <w:tcPr>
            <w:tcW w:w="400" w:type="dxa"/>
            <w:vAlign w:val="bottom"/>
            <w:tcBorders>
              <w:top w:val="single" w:sz="8" w:color="2952A4"/>
              <w:bottom w:val="single" w:sz="8" w:color="2952A4"/>
            </w:tcBorders>
          </w:tcPr>
          <w:p>
            <w:pPr>
              <w:spacing w:after="0"/>
              <w:rPr>
                <w:sz w:val="19"/>
                <w:szCs w:val="19"/>
                <w:color w:val="auto"/>
              </w:rPr>
            </w:pPr>
          </w:p>
        </w:tc>
        <w:tc>
          <w:tcPr>
            <w:tcW w:w="340" w:type="dxa"/>
            <w:vAlign w:val="bottom"/>
            <w:tcBorders>
              <w:top w:val="single" w:sz="8" w:color="2952A4"/>
              <w:bottom w:val="single" w:sz="8" w:color="2952A4"/>
            </w:tcBorders>
          </w:tcPr>
          <w:p>
            <w:pPr>
              <w:spacing w:after="0"/>
              <w:rPr>
                <w:sz w:val="19"/>
                <w:szCs w:val="19"/>
                <w:color w:val="auto"/>
              </w:rPr>
            </w:pPr>
          </w:p>
        </w:tc>
        <w:tc>
          <w:tcPr>
            <w:tcW w:w="100" w:type="dxa"/>
            <w:vAlign w:val="bottom"/>
            <w:tcBorders>
              <w:top w:val="single" w:sz="8" w:color="2952A4"/>
              <w:bottom w:val="single" w:sz="8" w:color="2952A4"/>
            </w:tcBorders>
          </w:tcPr>
          <w:p>
            <w:pPr>
              <w:spacing w:after="0"/>
              <w:rPr>
                <w:sz w:val="19"/>
                <w:szCs w:val="19"/>
                <w:color w:val="auto"/>
              </w:rPr>
            </w:pPr>
          </w:p>
        </w:tc>
        <w:tc>
          <w:tcPr>
            <w:tcW w:w="80" w:type="dxa"/>
            <w:vAlign w:val="bottom"/>
            <w:tcBorders>
              <w:top w:val="single" w:sz="8" w:color="2952A4"/>
              <w:bottom w:val="single" w:sz="8" w:color="2952A4"/>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10"/>
          </w:tcPr>
          <w:p>
            <w:pPr>
              <w:spacing w:after="0"/>
              <w:rPr>
                <w:rFonts w:ascii="Arial" w:cs="Arial" w:eastAsia="Arial" w:hAnsi="Arial"/>
                <w:sz w:val="15"/>
                <w:szCs w:val="15"/>
                <w:u w:val="single" w:color="auto"/>
                <w:color w:val="231F20"/>
              </w:rPr>
            </w:pPr>
            <w:hyperlink w:anchor="page98">
              <w:r>
                <w:rPr>
                  <w:rFonts w:ascii="Arial" w:cs="Arial" w:eastAsia="Arial" w:hAnsi="Arial"/>
                  <w:sz w:val="15"/>
                  <w:szCs w:val="15"/>
                  <w:u w:val="single" w:color="auto"/>
                  <w:color w:val="231F20"/>
                </w:rPr>
                <w:t>2019 Summary Compensation Table</w:t>
              </w:r>
            </w:hyperlink>
          </w:p>
        </w:tc>
        <w:tc>
          <w:tcPr>
            <w:tcW w:w="1980" w:type="dxa"/>
            <w:vAlign w:val="bottom"/>
          </w:tcPr>
          <w:p>
            <w:pPr>
              <w:jc w:val="right"/>
              <w:ind w:right="1398"/>
              <w:spacing w:after="0"/>
              <w:rPr>
                <w:sz w:val="20"/>
                <w:szCs w:val="20"/>
                <w:color w:val="auto"/>
              </w:rPr>
            </w:pPr>
            <w:r>
              <w:rPr>
                <w:rFonts w:ascii="Arial" w:cs="Arial" w:eastAsia="Arial" w:hAnsi="Arial"/>
                <w:sz w:val="15"/>
                <w:szCs w:val="15"/>
                <w:color w:val="231F20"/>
              </w:rPr>
              <w:t>86</w:t>
            </w:r>
          </w:p>
        </w:tc>
        <w:tc>
          <w:tcPr>
            <w:tcW w:w="0" w:type="dxa"/>
            <w:vAlign w:val="bottom"/>
          </w:tcPr>
          <w:p>
            <w:pPr>
              <w:spacing w:after="0"/>
              <w:rPr>
                <w:sz w:val="1"/>
                <w:szCs w:val="1"/>
                <w:color w:val="auto"/>
              </w:rPr>
            </w:pPr>
          </w:p>
        </w:tc>
      </w:tr>
      <w:tr>
        <w:trPr>
          <w:trHeight w:val="363"/>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15"/>
                <w:szCs w:val="15"/>
                <w:b w:val="1"/>
                <w:bCs w:val="1"/>
                <w:u w:val="single" w:color="auto"/>
                <w:color w:val="231F20"/>
              </w:rPr>
            </w:pPr>
            <w:hyperlink w:anchor="page69">
              <w:r>
                <w:rPr>
                  <w:rFonts w:ascii="Arial" w:cs="Arial" w:eastAsia="Arial" w:hAnsi="Arial"/>
                  <w:sz w:val="15"/>
                  <w:szCs w:val="15"/>
                  <w:b w:val="1"/>
                  <w:bCs w:val="1"/>
                  <w:u w:val="single" w:color="auto"/>
                  <w:color w:val="231F20"/>
                </w:rPr>
                <w:t>Executive Summary</w:t>
              </w:r>
            </w:hyperlink>
          </w:p>
        </w:tc>
        <w:tc>
          <w:tcPr>
            <w:tcW w:w="880" w:type="dxa"/>
            <w:vAlign w:val="bottom"/>
          </w:tcPr>
          <w:p>
            <w:pPr>
              <w:jc w:val="right"/>
              <w:ind w:right="421"/>
              <w:spacing w:after="0"/>
              <w:rPr>
                <w:sz w:val="20"/>
                <w:szCs w:val="20"/>
                <w:color w:val="auto"/>
              </w:rPr>
            </w:pPr>
            <w:r>
              <w:rPr>
                <w:rFonts w:ascii="Arial" w:cs="Arial" w:eastAsia="Arial" w:hAnsi="Arial"/>
                <w:sz w:val="15"/>
                <w:szCs w:val="15"/>
                <w:b w:val="1"/>
                <w:bCs w:val="1"/>
                <w:color w:val="231F20"/>
              </w:rPr>
              <w:t>57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10"/>
          </w:tcPr>
          <w:p>
            <w:pPr>
              <w:spacing w:after="0"/>
              <w:rPr>
                <w:rFonts w:ascii="Arial" w:cs="Arial" w:eastAsia="Arial" w:hAnsi="Arial"/>
                <w:sz w:val="15"/>
                <w:szCs w:val="15"/>
                <w:u w:val="single" w:color="auto"/>
                <w:color w:val="231F20"/>
              </w:rPr>
            </w:pPr>
            <w:hyperlink w:anchor="page99">
              <w:r>
                <w:rPr>
                  <w:rFonts w:ascii="Arial" w:cs="Arial" w:eastAsia="Arial" w:hAnsi="Arial"/>
                  <w:sz w:val="15"/>
                  <w:szCs w:val="15"/>
                  <w:u w:val="single" w:color="auto"/>
                  <w:color w:val="231F20"/>
                </w:rPr>
                <w:t>2019 Grants of Plan-Based Awards</w:t>
              </w:r>
            </w:hyperlink>
          </w:p>
        </w:tc>
        <w:tc>
          <w:tcPr>
            <w:tcW w:w="1980" w:type="dxa"/>
            <w:vAlign w:val="bottom"/>
          </w:tcPr>
          <w:p>
            <w:pPr>
              <w:jc w:val="right"/>
              <w:ind w:right="1398"/>
              <w:spacing w:after="0"/>
              <w:rPr>
                <w:sz w:val="20"/>
                <w:szCs w:val="20"/>
                <w:color w:val="auto"/>
              </w:rPr>
            </w:pPr>
            <w:r>
              <w:rPr>
                <w:rFonts w:ascii="Arial" w:cs="Arial" w:eastAsia="Arial" w:hAnsi="Arial"/>
                <w:sz w:val="15"/>
                <w:szCs w:val="15"/>
                <w:color w:val="231F20"/>
              </w:rPr>
              <w:t>87</w:t>
            </w:r>
          </w:p>
        </w:tc>
        <w:tc>
          <w:tcPr>
            <w:tcW w:w="0" w:type="dxa"/>
            <w:vAlign w:val="bottom"/>
          </w:tcPr>
          <w:p>
            <w:pPr>
              <w:spacing w:after="0"/>
              <w:rPr>
                <w:sz w:val="1"/>
                <w:szCs w:val="1"/>
                <w:color w:val="auto"/>
              </w:rPr>
            </w:pPr>
          </w:p>
        </w:tc>
      </w:tr>
      <w:tr>
        <w:trPr>
          <w:trHeight w:val="291"/>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15"/>
                <w:szCs w:val="15"/>
                <w:b w:val="1"/>
                <w:bCs w:val="1"/>
                <w:u w:val="single" w:color="auto"/>
                <w:color w:val="231F20"/>
              </w:rPr>
            </w:pPr>
            <w:hyperlink w:anchor="page74">
              <w:r>
                <w:rPr>
                  <w:rFonts w:ascii="Arial" w:cs="Arial" w:eastAsia="Arial" w:hAnsi="Arial"/>
                  <w:sz w:val="15"/>
                  <w:szCs w:val="15"/>
                  <w:b w:val="1"/>
                  <w:bCs w:val="1"/>
                  <w:u w:val="single" w:color="auto"/>
                  <w:color w:val="231F20"/>
                </w:rPr>
                <w:t>Our Compensation Philosophy and Objectives</w:t>
              </w:r>
            </w:hyperlink>
          </w:p>
        </w:tc>
        <w:tc>
          <w:tcPr>
            <w:tcW w:w="880" w:type="dxa"/>
            <w:vAlign w:val="bottom"/>
          </w:tcPr>
          <w:p>
            <w:pPr>
              <w:jc w:val="right"/>
              <w:ind w:right="421"/>
              <w:spacing w:after="0"/>
              <w:rPr>
                <w:sz w:val="20"/>
                <w:szCs w:val="20"/>
                <w:color w:val="auto"/>
              </w:rPr>
            </w:pPr>
            <w:r>
              <w:rPr>
                <w:rFonts w:ascii="Arial" w:cs="Arial" w:eastAsia="Arial" w:hAnsi="Arial"/>
                <w:sz w:val="15"/>
                <w:szCs w:val="15"/>
                <w:b w:val="1"/>
                <w:bCs w:val="1"/>
                <w:color w:val="231F20"/>
              </w:rPr>
              <w:t>62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10"/>
          </w:tcPr>
          <w:p>
            <w:pPr>
              <w:spacing w:after="0"/>
              <w:rPr>
                <w:rFonts w:ascii="Arial" w:cs="Arial" w:eastAsia="Arial" w:hAnsi="Arial"/>
                <w:sz w:val="15"/>
                <w:szCs w:val="15"/>
                <w:color w:val="231F20"/>
              </w:rPr>
            </w:pPr>
            <w:hyperlink w:anchor="page100">
              <w:r>
                <w:rPr>
                  <w:rFonts w:ascii="Arial" w:cs="Arial" w:eastAsia="Arial" w:hAnsi="Arial"/>
                  <w:sz w:val="15"/>
                  <w:szCs w:val="15"/>
                  <w:color w:val="231F20"/>
                </w:rPr>
                <w:t>Outstanding Equity Awards at 2019 Fiscal</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color w:val="231F20"/>
              </w:rPr>
              <w:t>88</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gridSpan w:val="12"/>
            <w:vMerge w:val="restart"/>
          </w:tcPr>
          <w:p>
            <w:pPr>
              <w:spacing w:after="0"/>
              <w:rPr>
                <w:rFonts w:ascii="Arial" w:cs="Arial" w:eastAsia="Arial" w:hAnsi="Arial"/>
                <w:sz w:val="15"/>
                <w:szCs w:val="15"/>
                <w:u w:val="single" w:color="auto"/>
                <w:color w:val="231F20"/>
              </w:rPr>
            </w:pPr>
            <w:hyperlink w:anchor="page74">
              <w:r>
                <w:rPr>
                  <w:rFonts w:ascii="Arial" w:cs="Arial" w:eastAsia="Arial" w:hAnsi="Arial"/>
                  <w:sz w:val="15"/>
                  <w:szCs w:val="15"/>
                  <w:u w:val="single" w:color="auto"/>
                  <w:color w:val="231F20"/>
                </w:rPr>
                <w:t>Driving Innovation and Managing Dilution</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62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tcBorders>
              <w:top w:val="single" w:sz="8" w:color="231F20"/>
            </w:tcBorders>
            <w:gridSpan w:val="6"/>
          </w:tcPr>
          <w:p>
            <w:pPr>
              <w:spacing w:after="0" w:line="142" w:lineRule="exact"/>
              <w:rPr>
                <w:rFonts w:ascii="Arial" w:cs="Arial" w:eastAsia="Arial" w:hAnsi="Arial"/>
                <w:sz w:val="15"/>
                <w:szCs w:val="15"/>
                <w:color w:val="231F20"/>
              </w:rPr>
            </w:pPr>
            <w:hyperlink w:anchor="page100">
              <w:r>
                <w:rPr>
                  <w:rFonts w:ascii="Arial" w:cs="Arial" w:eastAsia="Arial" w:hAnsi="Arial"/>
                  <w:sz w:val="15"/>
                  <w:szCs w:val="15"/>
                  <w:color w:val="231F20"/>
                </w:rPr>
                <w:t>Year-End</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12"/>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1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gridSpan w:val="10"/>
            <w:vMerge w:val="restart"/>
          </w:tcPr>
          <w:p>
            <w:pPr>
              <w:spacing w:after="0"/>
              <w:rPr>
                <w:rFonts w:ascii="Arial" w:cs="Arial" w:eastAsia="Arial" w:hAnsi="Arial"/>
                <w:sz w:val="15"/>
                <w:szCs w:val="15"/>
                <w:u w:val="single" w:color="auto"/>
                <w:color w:val="231F20"/>
              </w:rPr>
            </w:pPr>
            <w:hyperlink w:anchor="page102">
              <w:r>
                <w:rPr>
                  <w:rFonts w:ascii="Arial" w:cs="Arial" w:eastAsia="Arial" w:hAnsi="Arial"/>
                  <w:sz w:val="15"/>
                  <w:szCs w:val="15"/>
                  <w:u w:val="single" w:color="auto"/>
                  <w:color w:val="231F20"/>
                </w:rPr>
                <w:t>2019 Option Exercises and Stock Vested</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color w:val="231F20"/>
              </w:rPr>
              <w:t>90</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12"/>
            <w:vMerge w:val="restart"/>
          </w:tcPr>
          <w:p>
            <w:pPr>
              <w:spacing w:after="0"/>
              <w:rPr>
                <w:rFonts w:ascii="Arial" w:cs="Arial" w:eastAsia="Arial" w:hAnsi="Arial"/>
                <w:sz w:val="15"/>
                <w:szCs w:val="15"/>
                <w:u w:val="single" w:color="auto"/>
                <w:color w:val="231F20"/>
              </w:rPr>
            </w:pPr>
            <w:hyperlink w:anchor="page75">
              <w:r>
                <w:rPr>
                  <w:rFonts w:ascii="Arial" w:cs="Arial" w:eastAsia="Arial" w:hAnsi="Arial"/>
                  <w:sz w:val="15"/>
                  <w:szCs w:val="15"/>
                  <w:u w:val="single" w:color="auto"/>
                  <w:color w:val="231F20"/>
                </w:rPr>
                <w:t>At-Risk, Performance-Based Pay</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63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10"/>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1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10"/>
            <w:vMerge w:val="restart"/>
          </w:tcPr>
          <w:p>
            <w:pPr>
              <w:spacing w:after="0"/>
              <w:rPr>
                <w:rFonts w:ascii="Arial" w:cs="Arial" w:eastAsia="Arial" w:hAnsi="Arial"/>
                <w:sz w:val="15"/>
                <w:szCs w:val="15"/>
                <w:u w:val="single" w:color="auto"/>
                <w:color w:val="231F20"/>
              </w:rPr>
            </w:pPr>
            <w:hyperlink w:anchor="page102">
              <w:r>
                <w:rPr>
                  <w:rFonts w:ascii="Arial" w:cs="Arial" w:eastAsia="Arial" w:hAnsi="Arial"/>
                  <w:sz w:val="15"/>
                  <w:szCs w:val="15"/>
                  <w:u w:val="single" w:color="auto"/>
                  <w:color w:val="231F20"/>
                </w:rPr>
                <w:t>Post-Employment Compensation</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color w:val="231F20"/>
              </w:rPr>
              <w:t>90</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12"/>
            <w:vMerge w:val="restart"/>
          </w:tcPr>
          <w:p>
            <w:pPr>
              <w:spacing w:after="0"/>
              <w:rPr>
                <w:rFonts w:ascii="Arial" w:cs="Arial" w:eastAsia="Arial" w:hAnsi="Arial"/>
                <w:sz w:val="15"/>
                <w:szCs w:val="15"/>
                <w:u w:val="single" w:color="auto"/>
                <w:color w:val="231F20"/>
              </w:rPr>
            </w:pPr>
            <w:hyperlink w:anchor="page76">
              <w:r>
                <w:rPr>
                  <w:rFonts w:ascii="Arial" w:cs="Arial" w:eastAsia="Arial" w:hAnsi="Arial"/>
                  <w:sz w:val="15"/>
                  <w:szCs w:val="15"/>
                  <w:u w:val="single" w:color="auto"/>
                  <w:color w:val="231F20"/>
                </w:rPr>
                <w:t>Compensation Program Simplicity</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64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10"/>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1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380" w:type="dxa"/>
            <w:vAlign w:val="bottom"/>
            <w:gridSpan w:val="12"/>
            <w:vMerge w:val="restart"/>
          </w:tcPr>
          <w:p>
            <w:pPr>
              <w:spacing w:after="0"/>
              <w:rPr>
                <w:rFonts w:ascii="Arial" w:cs="Arial" w:eastAsia="Arial" w:hAnsi="Arial"/>
                <w:sz w:val="15"/>
                <w:szCs w:val="15"/>
                <w:b w:val="1"/>
                <w:bCs w:val="1"/>
                <w:u w:val="single" w:color="auto"/>
                <w:color w:val="231F20"/>
              </w:rPr>
            </w:pPr>
            <w:hyperlink w:anchor="page106">
              <w:r>
                <w:rPr>
                  <w:rFonts w:ascii="Arial" w:cs="Arial" w:eastAsia="Arial" w:hAnsi="Arial"/>
                  <w:sz w:val="15"/>
                  <w:szCs w:val="15"/>
                  <w:b w:val="1"/>
                  <w:bCs w:val="1"/>
                  <w:u w:val="single" w:color="auto"/>
                  <w:color w:val="231F20"/>
                </w:rPr>
                <w:t>Additional Compensation Information</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b w:val="1"/>
                <w:bCs w:val="1"/>
                <w:color w:val="231F20"/>
              </w:rPr>
              <w:t>94</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12"/>
            <w:vMerge w:val="restart"/>
          </w:tcPr>
          <w:p>
            <w:pPr>
              <w:spacing w:after="0"/>
              <w:rPr>
                <w:rFonts w:ascii="Arial" w:cs="Arial" w:eastAsia="Arial" w:hAnsi="Arial"/>
                <w:sz w:val="15"/>
                <w:szCs w:val="15"/>
                <w:color w:val="231F20"/>
              </w:rPr>
            </w:pPr>
            <w:hyperlink w:anchor="page76">
              <w:r>
                <w:rPr>
                  <w:rFonts w:ascii="Arial" w:cs="Arial" w:eastAsia="Arial" w:hAnsi="Arial"/>
                  <w:sz w:val="15"/>
                  <w:szCs w:val="15"/>
                  <w:color w:val="231F20"/>
                </w:rPr>
                <w:t>Balancing Year-over-Year Consistency and</w:t>
              </w:r>
            </w:hyperlink>
          </w:p>
        </w:tc>
        <w:tc>
          <w:tcPr>
            <w:tcW w:w="880" w:type="dxa"/>
            <w:vAlign w:val="bottom"/>
          </w:tcPr>
          <w:p>
            <w:pPr>
              <w:spacing w:after="0"/>
              <w:rPr>
                <w:sz w:val="14"/>
                <w:szCs w:val="14"/>
                <w:color w:val="auto"/>
              </w:rPr>
            </w:pPr>
          </w:p>
        </w:tc>
        <w:tc>
          <w:tcPr>
            <w:tcW w:w="3380" w:type="dxa"/>
            <w:vAlign w:val="bottom"/>
            <w:gridSpan w:val="12"/>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40" w:type="dxa"/>
            <w:vAlign w:val="bottom"/>
            <w:gridSpan w:val="12"/>
            <w:vMerge w:val="continue"/>
          </w:tcPr>
          <w:p>
            <w:pPr>
              <w:spacing w:after="0"/>
              <w:rPr>
                <w:sz w:val="11"/>
                <w:szCs w:val="11"/>
                <w:color w:val="auto"/>
              </w:rPr>
            </w:pPr>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64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gridSpan w:val="10"/>
            <w:vMerge w:val="restart"/>
          </w:tcPr>
          <w:p>
            <w:pPr>
              <w:spacing w:after="0"/>
              <w:rPr>
                <w:rFonts w:ascii="Arial" w:cs="Arial" w:eastAsia="Arial" w:hAnsi="Arial"/>
                <w:sz w:val="15"/>
                <w:szCs w:val="15"/>
                <w:u w:val="single" w:color="auto"/>
                <w:color w:val="231F20"/>
              </w:rPr>
            </w:pPr>
            <w:hyperlink w:anchor="page106">
              <w:r>
                <w:rPr>
                  <w:rFonts w:ascii="Arial" w:cs="Arial" w:eastAsia="Arial" w:hAnsi="Arial"/>
                  <w:sz w:val="15"/>
                  <w:szCs w:val="15"/>
                  <w:u w:val="single" w:color="auto"/>
                  <w:color w:val="231F20"/>
                </w:rPr>
                <w:t>Annual Cash Incentives</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color w:val="231F20"/>
              </w:rPr>
              <w:t>94</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231F20"/>
              <w:bottom w:val="single" w:sz="8" w:color="231F20"/>
            </w:tcBorders>
            <w:gridSpan w:val="2"/>
          </w:tcPr>
          <w:p>
            <w:pPr>
              <w:spacing w:after="0" w:line="142" w:lineRule="exact"/>
              <w:rPr>
                <w:rFonts w:ascii="Arial" w:cs="Arial" w:eastAsia="Arial" w:hAnsi="Arial"/>
                <w:sz w:val="15"/>
                <w:szCs w:val="15"/>
                <w:color w:val="231F20"/>
              </w:rPr>
            </w:pPr>
            <w:hyperlink w:anchor="page76">
              <w:r>
                <w:rPr>
                  <w:rFonts w:ascii="Arial" w:cs="Arial" w:eastAsia="Arial" w:hAnsi="Arial"/>
                  <w:sz w:val="15"/>
                  <w:szCs w:val="15"/>
                  <w:color w:val="231F20"/>
                </w:rPr>
                <w:t>Flexibility</w:t>
              </w:r>
            </w:hyperlink>
          </w:p>
        </w:tc>
        <w:tc>
          <w:tcPr>
            <w:tcW w:w="2260" w:type="dxa"/>
            <w:vAlign w:val="bottom"/>
            <w:tcBorders>
              <w:top w:val="single" w:sz="8" w:color="231F20"/>
            </w:tcBorders>
            <w:gridSpan w:val="7"/>
          </w:tcPr>
          <w:p>
            <w:pPr>
              <w:spacing w:after="0"/>
              <w:rPr>
                <w:sz w:val="12"/>
                <w:szCs w:val="12"/>
                <w:color w:val="auto"/>
              </w:rPr>
            </w:pPr>
          </w:p>
        </w:tc>
        <w:tc>
          <w:tcPr>
            <w:tcW w:w="3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color w:val="231F20"/>
              </w:rPr>
            </w:pPr>
            <w:hyperlink w:anchor="page76">
              <w:r>
                <w:rPr>
                  <w:rFonts w:ascii="Arial" w:cs="Arial" w:eastAsia="Arial" w:hAnsi="Arial"/>
                  <w:sz w:val="15"/>
                  <w:szCs w:val="15"/>
                  <w:color w:val="231F20"/>
                </w:rPr>
                <w:t>Linking Compensation to Long-Term</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64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10"/>
          </w:tcPr>
          <w:p>
            <w:pPr>
              <w:spacing w:after="0"/>
              <w:rPr>
                <w:rFonts w:ascii="Arial" w:cs="Arial" w:eastAsia="Arial" w:hAnsi="Arial"/>
                <w:sz w:val="15"/>
                <w:szCs w:val="15"/>
                <w:u w:val="single" w:color="auto"/>
                <w:color w:val="231F20"/>
              </w:rPr>
            </w:pPr>
            <w:hyperlink w:anchor="page107">
              <w:r>
                <w:rPr>
                  <w:rFonts w:ascii="Arial" w:cs="Arial" w:eastAsia="Arial" w:hAnsi="Arial"/>
                  <w:sz w:val="15"/>
                  <w:szCs w:val="15"/>
                  <w:u w:val="single" w:color="auto"/>
                  <w:color w:val="231F20"/>
                </w:rPr>
                <w:t>Perquisites and Personal Benefits</w:t>
              </w:r>
            </w:hyperlink>
          </w:p>
        </w:tc>
        <w:tc>
          <w:tcPr>
            <w:tcW w:w="1980" w:type="dxa"/>
            <w:vAlign w:val="bottom"/>
          </w:tcPr>
          <w:p>
            <w:pPr>
              <w:jc w:val="right"/>
              <w:ind w:right="1398"/>
              <w:spacing w:after="0"/>
              <w:rPr>
                <w:sz w:val="20"/>
                <w:szCs w:val="20"/>
                <w:color w:val="auto"/>
              </w:rPr>
            </w:pPr>
            <w:r>
              <w:rPr>
                <w:rFonts w:ascii="Arial" w:cs="Arial" w:eastAsia="Arial" w:hAnsi="Arial"/>
                <w:sz w:val="15"/>
                <w:szCs w:val="15"/>
                <w:color w:val="231F20"/>
              </w:rPr>
              <w:t>95</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231F20"/>
              <w:bottom w:val="single" w:sz="8" w:color="231F20"/>
            </w:tcBorders>
            <w:gridSpan w:val="3"/>
          </w:tcPr>
          <w:p>
            <w:pPr>
              <w:spacing w:after="0" w:line="142" w:lineRule="exact"/>
              <w:rPr>
                <w:rFonts w:ascii="Arial" w:cs="Arial" w:eastAsia="Arial" w:hAnsi="Arial"/>
                <w:sz w:val="15"/>
                <w:szCs w:val="15"/>
                <w:color w:val="231F20"/>
              </w:rPr>
            </w:pPr>
            <w:hyperlink w:anchor="page76">
              <w:r>
                <w:rPr>
                  <w:rFonts w:ascii="Arial" w:cs="Arial" w:eastAsia="Arial" w:hAnsi="Arial"/>
                  <w:sz w:val="15"/>
                  <w:szCs w:val="15"/>
                  <w:color w:val="231F20"/>
                </w:rPr>
                <w:t>Performance</w:t>
              </w:r>
            </w:hyperlink>
          </w:p>
        </w:tc>
        <w:tc>
          <w:tcPr>
            <w:tcW w:w="1580" w:type="dxa"/>
            <w:vAlign w:val="bottom"/>
            <w:tcBorders>
              <w:top w:val="single" w:sz="8" w:color="231F20"/>
            </w:tcBorders>
            <w:gridSpan w:val="4"/>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vMerge w:val="restart"/>
          </w:tcPr>
          <w:p>
            <w:pPr>
              <w:spacing w:after="0"/>
              <w:rPr>
                <w:rFonts w:ascii="Arial" w:cs="Arial" w:eastAsia="Arial" w:hAnsi="Arial"/>
                <w:sz w:val="15"/>
                <w:szCs w:val="15"/>
                <w:u w:val="single" w:color="auto"/>
                <w:color w:val="231F20"/>
              </w:rPr>
            </w:pPr>
            <w:hyperlink w:anchor="page108">
              <w:r>
                <w:rPr>
                  <w:rFonts w:ascii="Arial" w:cs="Arial" w:eastAsia="Arial" w:hAnsi="Arial"/>
                  <w:sz w:val="15"/>
                  <w:szCs w:val="15"/>
                  <w:u w:val="single" w:color="auto"/>
                  <w:color w:val="231F20"/>
                </w:rPr>
                <w:t>Potential Severance Payments</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color w:val="231F20"/>
              </w:rPr>
              <w:t>96</w:t>
            </w: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12"/>
            <w:vMerge w:val="restart"/>
          </w:tcPr>
          <w:p>
            <w:pPr>
              <w:spacing w:after="0"/>
              <w:rPr>
                <w:rFonts w:ascii="Arial" w:cs="Arial" w:eastAsia="Arial" w:hAnsi="Arial"/>
                <w:sz w:val="15"/>
                <w:szCs w:val="15"/>
                <w:color w:val="231F20"/>
              </w:rPr>
            </w:pPr>
            <w:hyperlink w:anchor="page77">
              <w:r>
                <w:rPr>
                  <w:rFonts w:ascii="Arial" w:cs="Arial" w:eastAsia="Arial" w:hAnsi="Arial"/>
                  <w:sz w:val="15"/>
                  <w:szCs w:val="15"/>
                  <w:color w:val="231F20"/>
                </w:rPr>
                <w:t>Use of Independent Expertise and Comparative</w:t>
              </w:r>
            </w:hyperlink>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gridSpan w:val="10"/>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40" w:type="dxa"/>
            <w:vAlign w:val="bottom"/>
            <w:gridSpan w:val="12"/>
            <w:vMerge w:val="continue"/>
          </w:tcPr>
          <w:p>
            <w:pPr>
              <w:spacing w:after="0"/>
              <w:rPr>
                <w:sz w:val="11"/>
                <w:szCs w:val="11"/>
                <w:color w:val="auto"/>
              </w:rPr>
            </w:pPr>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65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gridSpan w:val="10"/>
            <w:vMerge w:val="restart"/>
          </w:tcPr>
          <w:p>
            <w:pPr>
              <w:spacing w:after="0"/>
              <w:rPr>
                <w:rFonts w:ascii="Arial" w:cs="Arial" w:eastAsia="Arial" w:hAnsi="Arial"/>
                <w:sz w:val="15"/>
                <w:szCs w:val="15"/>
                <w:u w:val="single" w:color="auto"/>
                <w:color w:val="231F20"/>
              </w:rPr>
            </w:pPr>
            <w:hyperlink w:anchor="page109">
              <w:r>
                <w:rPr>
                  <w:rFonts w:ascii="Arial" w:cs="Arial" w:eastAsia="Arial" w:hAnsi="Arial"/>
                  <w:sz w:val="15"/>
                  <w:szCs w:val="15"/>
                  <w:u w:val="single" w:color="auto"/>
                  <w:color w:val="231F20"/>
                </w:rPr>
                <w:t>Pay Ratio</w:t>
              </w:r>
            </w:hyperlink>
          </w:p>
        </w:tc>
        <w:tc>
          <w:tcPr>
            <w:tcW w:w="1980" w:type="dxa"/>
            <w:vAlign w:val="bottom"/>
            <w:vMerge w:val="restart"/>
          </w:tcPr>
          <w:p>
            <w:pPr>
              <w:jc w:val="right"/>
              <w:ind w:right="1398"/>
              <w:spacing w:after="0"/>
              <w:rPr>
                <w:sz w:val="20"/>
                <w:szCs w:val="20"/>
                <w:color w:val="auto"/>
              </w:rPr>
            </w:pPr>
            <w:r>
              <w:rPr>
                <w:rFonts w:ascii="Arial" w:cs="Arial" w:eastAsia="Arial" w:hAnsi="Arial"/>
                <w:sz w:val="15"/>
                <w:szCs w:val="15"/>
                <w:color w:val="231F20"/>
              </w:rPr>
              <w:t>97</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20" w:type="dxa"/>
            <w:vAlign w:val="bottom"/>
            <w:tcBorders>
              <w:top w:val="single" w:sz="8" w:color="231F20"/>
            </w:tcBorders>
            <w:gridSpan w:val="11"/>
          </w:tcPr>
          <w:p>
            <w:pPr>
              <w:spacing w:after="0" w:line="142" w:lineRule="exact"/>
              <w:rPr>
                <w:rFonts w:ascii="Arial" w:cs="Arial" w:eastAsia="Arial" w:hAnsi="Arial"/>
                <w:sz w:val="15"/>
                <w:szCs w:val="15"/>
                <w:color w:val="231F20"/>
              </w:rPr>
            </w:pPr>
            <w:hyperlink w:anchor="page77">
              <w:r>
                <w:rPr>
                  <w:rFonts w:ascii="Arial" w:cs="Arial" w:eastAsia="Arial" w:hAnsi="Arial"/>
                  <w:sz w:val="15"/>
                  <w:szCs w:val="15"/>
                  <w:color w:val="231F20"/>
                </w:rPr>
                <w:t>Data</w:t>
              </w:r>
            </w:hyperlink>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80" w:type="dxa"/>
            <w:vAlign w:val="bottom"/>
            <w:gridSpan w:val="12"/>
            <w:vMerge w:val="restart"/>
          </w:tcPr>
          <w:p>
            <w:pPr>
              <w:spacing w:after="0"/>
              <w:rPr>
                <w:rFonts w:ascii="Arial" w:cs="Arial" w:eastAsia="Arial" w:hAnsi="Arial"/>
                <w:sz w:val="22"/>
                <w:szCs w:val="22"/>
                <w:b w:val="1"/>
                <w:bCs w:val="1"/>
                <w:color w:val="2952A4"/>
              </w:rPr>
            </w:pPr>
            <w:hyperlink w:anchor="page110">
              <w:r>
                <w:rPr>
                  <w:rFonts w:ascii="Arial" w:cs="Arial" w:eastAsia="Arial" w:hAnsi="Arial"/>
                  <w:sz w:val="22"/>
                  <w:szCs w:val="22"/>
                  <w:b w:val="1"/>
                  <w:bCs w:val="1"/>
                  <w:color w:val="2952A4"/>
                </w:rPr>
                <w:t>PROPOSAL NO. 3: SECOND</w:t>
              </w:r>
            </w:hyperlink>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77">
              <w:r>
                <w:rPr>
                  <w:rFonts w:ascii="Arial" w:cs="Arial" w:eastAsia="Arial" w:hAnsi="Arial"/>
                  <w:sz w:val="15"/>
                  <w:szCs w:val="15"/>
                  <w:u w:val="single" w:color="auto"/>
                  <w:color w:val="231F20"/>
                </w:rPr>
                <w:t>Measurable Results</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65</w:t>
            </w:r>
          </w:p>
        </w:tc>
        <w:tc>
          <w:tcPr>
            <w:tcW w:w="3380" w:type="dxa"/>
            <w:vAlign w:val="bottom"/>
            <w:gridSpan w:val="12"/>
            <w:vMerge w:val="continue"/>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520" w:type="dxa"/>
            <w:vAlign w:val="bottom"/>
            <w:gridSpan w:val="13"/>
          </w:tcPr>
          <w:p>
            <w:pPr>
              <w:spacing w:after="0"/>
              <w:rPr>
                <w:sz w:val="20"/>
                <w:szCs w:val="20"/>
                <w:color w:val="auto"/>
              </w:rPr>
            </w:pPr>
            <w:r>
              <w:rPr>
                <w:rFonts w:ascii="Arial" w:cs="Arial" w:eastAsia="Arial" w:hAnsi="Arial"/>
                <w:sz w:val="15"/>
                <w:szCs w:val="15"/>
                <w:b w:val="1"/>
                <w:bCs w:val="1"/>
                <w:color w:val="231F20"/>
              </w:rPr>
              <w:t>Components of Executive Pay:</w:t>
            </w:r>
          </w:p>
        </w:tc>
        <w:tc>
          <w:tcPr>
            <w:tcW w:w="880" w:type="dxa"/>
            <w:vAlign w:val="bottom"/>
          </w:tcPr>
          <w:p>
            <w:pPr>
              <w:spacing w:after="0"/>
              <w:rPr>
                <w:sz w:val="19"/>
                <w:szCs w:val="19"/>
                <w:color w:val="auto"/>
              </w:rPr>
            </w:pPr>
          </w:p>
        </w:tc>
        <w:tc>
          <w:tcPr>
            <w:tcW w:w="1920" w:type="dxa"/>
            <w:vAlign w:val="bottom"/>
            <w:tcBorders>
              <w:top w:val="single" w:sz="8" w:color="2952A4"/>
              <w:bottom w:val="single" w:sz="8" w:color="2952A4"/>
            </w:tcBorders>
            <w:gridSpan w:val="5"/>
          </w:tcPr>
          <w:p>
            <w:pPr>
              <w:spacing w:after="0" w:line="209" w:lineRule="exact"/>
              <w:rPr>
                <w:rFonts w:ascii="Arial" w:cs="Arial" w:eastAsia="Arial" w:hAnsi="Arial"/>
                <w:sz w:val="22"/>
                <w:szCs w:val="22"/>
                <w:b w:val="1"/>
                <w:bCs w:val="1"/>
                <w:color w:val="2952A4"/>
                <w:w w:val="96"/>
              </w:rPr>
            </w:pPr>
            <w:hyperlink w:anchor="page110">
              <w:r>
                <w:rPr>
                  <w:rFonts w:ascii="Arial" w:cs="Arial" w:eastAsia="Arial" w:hAnsi="Arial"/>
                  <w:sz w:val="22"/>
                  <w:szCs w:val="22"/>
                  <w:b w:val="1"/>
                  <w:bCs w:val="1"/>
                  <w:color w:val="2952A4"/>
                  <w:w w:val="96"/>
                </w:rPr>
                <w:t>AMENDMENT AND</w:t>
              </w:r>
            </w:hyperlink>
          </w:p>
        </w:tc>
        <w:tc>
          <w:tcPr>
            <w:tcW w:w="780" w:type="dxa"/>
            <w:vAlign w:val="bottom"/>
            <w:tcBorders>
              <w:top w:val="single" w:sz="8" w:color="2952A4"/>
              <w:bottom w:val="single" w:sz="8" w:color="2952A4"/>
            </w:tcBorders>
          </w:tcPr>
          <w:p>
            <w:pPr>
              <w:spacing w:after="0"/>
              <w:rPr>
                <w:sz w:val="19"/>
                <w:szCs w:val="19"/>
                <w:color w:val="auto"/>
              </w:rPr>
            </w:pPr>
          </w:p>
        </w:tc>
        <w:tc>
          <w:tcPr>
            <w:tcW w:w="180" w:type="dxa"/>
            <w:vAlign w:val="bottom"/>
            <w:tcBorders>
              <w:top w:val="single" w:sz="8" w:color="2952A4"/>
              <w:bottom w:val="single" w:sz="8" w:color="2952A4"/>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80" w:type="dxa"/>
            <w:vAlign w:val="bottom"/>
            <w:tcBorders>
              <w:bottom w:val="single" w:sz="8" w:color="231F20"/>
            </w:tcBorders>
            <w:gridSpan w:val="5"/>
          </w:tcPr>
          <w:p>
            <w:pPr>
              <w:spacing w:after="0" w:line="20" w:lineRule="exact"/>
              <w:rPr>
                <w:sz w:val="1"/>
                <w:szCs w:val="1"/>
                <w:color w:val="auto"/>
              </w:rPr>
            </w:pPr>
          </w:p>
        </w:tc>
        <w:tc>
          <w:tcPr>
            <w:tcW w:w="760" w:type="dxa"/>
            <w:vAlign w:val="bottom"/>
            <w:tcBorders>
              <w:bottom w:val="single" w:sz="8" w:color="231F20"/>
            </w:tcBorders>
            <w:gridSpan w:val="2"/>
          </w:tcPr>
          <w:p>
            <w:pPr>
              <w:spacing w:after="0" w:line="20" w:lineRule="exact"/>
              <w:rPr>
                <w:sz w:val="1"/>
                <w:szCs w:val="1"/>
                <w:color w:val="auto"/>
              </w:rPr>
            </w:pPr>
          </w:p>
        </w:tc>
        <w:tc>
          <w:tcPr>
            <w:tcW w:w="1280" w:type="dxa"/>
            <w:vAlign w:val="bottom"/>
            <w:gridSpan w:val="6"/>
            <w:vMerge w:val="restart"/>
          </w:tcPr>
          <w:p>
            <w:pPr>
              <w:ind w:left="20"/>
              <w:spacing w:after="0"/>
              <w:rPr>
                <w:rFonts w:ascii="Arial" w:cs="Arial" w:eastAsia="Arial" w:hAnsi="Arial"/>
                <w:sz w:val="15"/>
                <w:szCs w:val="15"/>
                <w:b w:val="1"/>
                <w:bCs w:val="1"/>
                <w:u w:val="single" w:color="auto"/>
                <w:color w:val="231F20"/>
              </w:rPr>
            </w:pPr>
            <w:hyperlink w:anchor="page78">
              <w:r>
                <w:rPr>
                  <w:rFonts w:ascii="Arial" w:cs="Arial" w:eastAsia="Arial" w:hAnsi="Arial"/>
                  <w:sz w:val="15"/>
                  <w:szCs w:val="15"/>
                  <w:b w:val="1"/>
                  <w:bCs w:val="1"/>
                  <w:u w:val="single" w:color="auto"/>
                  <w:color w:val="231F20"/>
                </w:rPr>
                <w:t>It</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b w:val="1"/>
                <w:bCs w:val="1"/>
                <w:color w:val="231F20"/>
              </w:rPr>
              <w:t>66</w:t>
            </w:r>
          </w:p>
        </w:tc>
        <w:tc>
          <w:tcPr>
            <w:tcW w:w="3380" w:type="dxa"/>
            <w:vAlign w:val="bottom"/>
            <w:gridSpan w:val="12"/>
            <w:vMerge w:val="restart"/>
          </w:tcPr>
          <w:p>
            <w:pPr>
              <w:spacing w:after="0" w:line="223" w:lineRule="exact"/>
              <w:rPr>
                <w:rFonts w:ascii="Arial" w:cs="Arial" w:eastAsia="Arial" w:hAnsi="Arial"/>
                <w:sz w:val="22"/>
                <w:szCs w:val="22"/>
                <w:b w:val="1"/>
                <w:bCs w:val="1"/>
                <w:color w:val="2952A4"/>
              </w:rPr>
            </w:pPr>
            <w:hyperlink w:anchor="page110">
              <w:r>
                <w:rPr>
                  <w:rFonts w:ascii="Arial" w:cs="Arial" w:eastAsia="Arial" w:hAnsi="Arial"/>
                  <w:sz w:val="22"/>
                  <w:szCs w:val="22"/>
                  <w:b w:val="1"/>
                  <w:bCs w:val="1"/>
                  <w:color w:val="2952A4"/>
                </w:rPr>
                <w:t>RESTATEMENT OF LONG-</w:t>
              </w:r>
            </w:hyperlink>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2240" w:type="dxa"/>
            <w:vAlign w:val="bottom"/>
            <w:gridSpan w:val="7"/>
          </w:tcPr>
          <w:p>
            <w:pPr>
              <w:spacing w:after="0"/>
              <w:rPr>
                <w:rFonts w:ascii="Arial" w:cs="Arial" w:eastAsia="Arial" w:hAnsi="Arial"/>
                <w:sz w:val="15"/>
                <w:szCs w:val="15"/>
                <w:b w:val="1"/>
                <w:bCs w:val="1"/>
                <w:u w:val="single" w:color="auto"/>
                <w:color w:val="231F20"/>
              </w:rPr>
            </w:pPr>
            <w:hyperlink w:anchor="page78">
              <w:r>
                <w:rPr>
                  <w:rFonts w:ascii="Arial" w:cs="Arial" w:eastAsia="Arial" w:hAnsi="Arial"/>
                  <w:sz w:val="15"/>
                  <w:szCs w:val="15"/>
                  <w:b w:val="1"/>
                  <w:bCs w:val="1"/>
                  <w:u w:val="single" w:color="auto"/>
                  <w:color w:val="231F20"/>
                </w:rPr>
                <w:t>What We Pay and Why We Pay</w:t>
              </w:r>
            </w:hyperlink>
          </w:p>
        </w:tc>
        <w:tc>
          <w:tcPr>
            <w:tcW w:w="1280" w:type="dxa"/>
            <w:vAlign w:val="bottom"/>
            <w:gridSpan w:val="6"/>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380" w:type="dxa"/>
            <w:vAlign w:val="bottom"/>
            <w:gridSpan w:val="12"/>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79">
              <w:r>
                <w:rPr>
                  <w:rFonts w:ascii="Arial" w:cs="Arial" w:eastAsia="Arial" w:hAnsi="Arial"/>
                  <w:sz w:val="15"/>
                  <w:szCs w:val="15"/>
                  <w:u w:val="single" w:color="auto"/>
                  <w:color w:val="231F20"/>
                </w:rPr>
                <w:t>Base Salaries</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67</w:t>
            </w:r>
          </w:p>
        </w:tc>
        <w:tc>
          <w:tcPr>
            <w:tcW w:w="20" w:type="dxa"/>
            <w:vAlign w:val="bottom"/>
          </w:tcPr>
          <w:p>
            <w:pPr>
              <w:spacing w:after="0"/>
              <w:rPr>
                <w:sz w:val="24"/>
                <w:szCs w:val="24"/>
                <w:color w:val="auto"/>
              </w:rPr>
            </w:pPr>
          </w:p>
        </w:tc>
        <w:tc>
          <w:tcPr>
            <w:tcW w:w="2680" w:type="dxa"/>
            <w:vAlign w:val="bottom"/>
            <w:tcBorders>
              <w:top w:val="single" w:sz="8" w:color="2952A4"/>
            </w:tcBorders>
            <w:gridSpan w:val="5"/>
          </w:tcPr>
          <w:p>
            <w:pPr>
              <w:spacing w:after="0"/>
              <w:rPr>
                <w:rFonts w:ascii="Arial" w:cs="Arial" w:eastAsia="Arial" w:hAnsi="Arial"/>
                <w:sz w:val="22"/>
                <w:szCs w:val="22"/>
                <w:b w:val="1"/>
                <w:bCs w:val="1"/>
                <w:u w:val="single" w:color="auto"/>
                <w:color w:val="2952A4"/>
              </w:rPr>
            </w:pPr>
            <w:hyperlink w:anchor="page110">
              <w:r>
                <w:rPr>
                  <w:rFonts w:ascii="Arial" w:cs="Arial" w:eastAsia="Arial" w:hAnsi="Arial"/>
                  <w:sz w:val="22"/>
                  <w:szCs w:val="22"/>
                  <w:b w:val="1"/>
                  <w:bCs w:val="1"/>
                  <w:u w:val="single" w:color="auto"/>
                  <w:color w:val="2952A4"/>
                </w:rPr>
                <w:t>TERM INCENTIVE PLAN</w:t>
              </w:r>
            </w:hyperlink>
          </w:p>
        </w:tc>
        <w:tc>
          <w:tcPr>
            <w:tcW w:w="3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jc w:val="right"/>
              <w:ind w:right="1398"/>
              <w:spacing w:after="0"/>
              <w:rPr>
                <w:sz w:val="20"/>
                <w:szCs w:val="20"/>
                <w:color w:val="auto"/>
              </w:rPr>
            </w:pPr>
            <w:r>
              <w:rPr>
                <w:rFonts w:ascii="Arial" w:cs="Arial" w:eastAsia="Arial" w:hAnsi="Arial"/>
                <w:sz w:val="22"/>
                <w:szCs w:val="22"/>
                <w:b w:val="1"/>
                <w:bCs w:val="1"/>
                <w:color w:val="2952A4"/>
              </w:rPr>
              <w:t>98</w:t>
            </w: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79">
              <w:r>
                <w:rPr>
                  <w:rFonts w:ascii="Arial" w:cs="Arial" w:eastAsia="Arial" w:hAnsi="Arial"/>
                  <w:sz w:val="15"/>
                  <w:szCs w:val="15"/>
                  <w:u w:val="single" w:color="auto"/>
                  <w:color w:val="231F20"/>
                </w:rPr>
                <w:t>Annual Cash Incentives</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67</w:t>
            </w:r>
          </w:p>
        </w:tc>
        <w:tc>
          <w:tcPr>
            <w:tcW w:w="3380" w:type="dxa"/>
            <w:vAlign w:val="bottom"/>
            <w:gridSpan w:val="12"/>
            <w:vMerge w:val="restart"/>
          </w:tcPr>
          <w:p>
            <w:pPr>
              <w:spacing w:after="0"/>
              <w:rPr>
                <w:rFonts w:ascii="Arial" w:cs="Arial" w:eastAsia="Arial" w:hAnsi="Arial"/>
                <w:sz w:val="22"/>
                <w:szCs w:val="22"/>
                <w:b w:val="1"/>
                <w:bCs w:val="1"/>
                <w:color w:val="2952A4"/>
              </w:rPr>
            </w:pPr>
            <w:hyperlink w:anchor="page119">
              <w:r>
                <w:rPr>
                  <w:rFonts w:ascii="Arial" w:cs="Arial" w:eastAsia="Arial" w:hAnsi="Arial"/>
                  <w:sz w:val="22"/>
                  <w:szCs w:val="22"/>
                  <w:b w:val="1"/>
                  <w:bCs w:val="1"/>
                  <w:color w:val="2952A4"/>
                </w:rPr>
                <w:t>PROPOSAL NO. 4: ADVISORY</w:t>
              </w:r>
            </w:hyperlink>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380" w:type="dxa"/>
            <w:vAlign w:val="bottom"/>
            <w:gridSpan w:val="12"/>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85">
              <w:r>
                <w:rPr>
                  <w:rFonts w:ascii="Arial" w:cs="Arial" w:eastAsia="Arial" w:hAnsi="Arial"/>
                  <w:sz w:val="15"/>
                  <w:szCs w:val="15"/>
                  <w:u w:val="single" w:color="auto"/>
                  <w:color w:val="231F20"/>
                </w:rPr>
                <w:t>Annual Equity Awards</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73</w:t>
            </w:r>
          </w:p>
        </w:tc>
        <w:tc>
          <w:tcPr>
            <w:tcW w:w="3080" w:type="dxa"/>
            <w:vAlign w:val="bottom"/>
            <w:tcBorders>
              <w:top w:val="single" w:sz="8" w:color="2952A4"/>
              <w:bottom w:val="single" w:sz="8" w:color="2952A4"/>
            </w:tcBorders>
            <w:gridSpan w:val="9"/>
          </w:tcPr>
          <w:p>
            <w:pPr>
              <w:spacing w:after="0" w:line="223" w:lineRule="exact"/>
              <w:rPr>
                <w:rFonts w:ascii="Arial" w:cs="Arial" w:eastAsia="Arial" w:hAnsi="Arial"/>
                <w:sz w:val="22"/>
                <w:szCs w:val="22"/>
                <w:b w:val="1"/>
                <w:bCs w:val="1"/>
                <w:color w:val="2952A4"/>
                <w:w w:val="95"/>
              </w:rPr>
            </w:pPr>
            <w:hyperlink w:anchor="page119">
              <w:r>
                <w:rPr>
                  <w:rFonts w:ascii="Arial" w:cs="Arial" w:eastAsia="Arial" w:hAnsi="Arial"/>
                  <w:sz w:val="22"/>
                  <w:szCs w:val="22"/>
                  <w:b w:val="1"/>
                  <w:bCs w:val="1"/>
                  <w:color w:val="2952A4"/>
                  <w:w w:val="95"/>
                </w:rPr>
                <w:t>VOTE ON COMPENSATION OF</w:t>
              </w:r>
            </w:hyperlink>
          </w:p>
        </w:tc>
        <w:tc>
          <w:tcPr>
            <w:tcW w:w="60" w:type="dxa"/>
            <w:vAlign w:val="bottom"/>
            <w:tcBorders>
              <w:bottom w:val="single" w:sz="8" w:color="2952A4"/>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88">
              <w:r>
                <w:rPr>
                  <w:rFonts w:ascii="Arial" w:cs="Arial" w:eastAsia="Arial" w:hAnsi="Arial"/>
                  <w:sz w:val="15"/>
                  <w:szCs w:val="15"/>
                  <w:u w:val="single" w:color="auto"/>
                  <w:color w:val="231F20"/>
                </w:rPr>
                <w:t>Perquisites and Personal Benefits</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76</w:t>
            </w:r>
          </w:p>
        </w:tc>
        <w:tc>
          <w:tcPr>
            <w:tcW w:w="3140" w:type="dxa"/>
            <w:vAlign w:val="bottom"/>
            <w:tcBorders>
              <w:bottom w:val="single" w:sz="8" w:color="2952A4"/>
            </w:tcBorders>
            <w:gridSpan w:val="10"/>
          </w:tcPr>
          <w:p>
            <w:pPr>
              <w:spacing w:after="0" w:line="209" w:lineRule="exact"/>
              <w:rPr>
                <w:rFonts w:ascii="Arial" w:cs="Arial" w:eastAsia="Arial" w:hAnsi="Arial"/>
                <w:sz w:val="22"/>
                <w:szCs w:val="22"/>
                <w:b w:val="1"/>
                <w:bCs w:val="1"/>
                <w:color w:val="2952A4"/>
                <w:w w:val="94"/>
              </w:rPr>
            </w:pPr>
            <w:hyperlink w:anchor="page119">
              <w:r>
                <w:rPr>
                  <w:rFonts w:ascii="Arial" w:cs="Arial" w:eastAsia="Arial" w:hAnsi="Arial"/>
                  <w:sz w:val="22"/>
                  <w:szCs w:val="22"/>
                  <w:b w:val="1"/>
                  <w:bCs w:val="1"/>
                  <w:color w:val="2952A4"/>
                  <w:w w:val="94"/>
                </w:rPr>
                <w:t>NAMED EXECUTIVE OFFICERS</w:t>
              </w:r>
            </w:hyperlink>
          </w:p>
        </w:tc>
        <w:tc>
          <w:tcPr>
            <w:tcW w:w="80" w:type="dxa"/>
            <w:vAlign w:val="bottom"/>
            <w:tcBorders>
              <w:bottom w:val="single" w:sz="8" w:color="2952A4"/>
            </w:tcBorders>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vMerge w:val="restart"/>
          </w:tcPr>
          <w:p>
            <w:pPr>
              <w:jc w:val="right"/>
              <w:ind w:right="1398"/>
              <w:spacing w:after="0"/>
              <w:rPr>
                <w:sz w:val="20"/>
                <w:szCs w:val="20"/>
                <w:color w:val="auto"/>
              </w:rPr>
            </w:pPr>
            <w:r>
              <w:rPr>
                <w:rFonts w:ascii="Arial" w:cs="Arial" w:eastAsia="Arial" w:hAnsi="Arial"/>
                <w:sz w:val="22"/>
                <w:szCs w:val="22"/>
                <w:b w:val="1"/>
                <w:bCs w:val="1"/>
                <w:color w:val="2952A4"/>
              </w:rPr>
              <w:t>107</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12"/>
            <w:vMerge w:val="restart"/>
          </w:tcPr>
          <w:p>
            <w:pPr>
              <w:spacing w:after="0"/>
              <w:rPr>
                <w:rFonts w:ascii="Arial" w:cs="Arial" w:eastAsia="Arial" w:hAnsi="Arial"/>
                <w:sz w:val="15"/>
                <w:szCs w:val="15"/>
                <w:u w:val="single" w:color="auto"/>
                <w:color w:val="231F20"/>
              </w:rPr>
            </w:pPr>
            <w:hyperlink w:anchor="page88">
              <w:r>
                <w:rPr>
                  <w:rFonts w:ascii="Arial" w:cs="Arial" w:eastAsia="Arial" w:hAnsi="Arial"/>
                  <w:sz w:val="15"/>
                  <w:szCs w:val="15"/>
                  <w:u w:val="single" w:color="auto"/>
                  <w:color w:val="231F20"/>
                </w:rPr>
                <w:t>Potential Severance Payments</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color w:val="231F20"/>
              </w:rPr>
              <w:t>76</w:t>
            </w:r>
          </w:p>
        </w:tc>
        <w:tc>
          <w:tcPr>
            <w:tcW w:w="3380" w:type="dxa"/>
            <w:vAlign w:val="bottom"/>
            <w:gridSpan w:val="12"/>
          </w:tcPr>
          <w:p>
            <w:pPr>
              <w:spacing w:after="0" w:line="223" w:lineRule="exact"/>
              <w:rPr>
                <w:rFonts w:ascii="Arial" w:cs="Arial" w:eastAsia="Arial" w:hAnsi="Arial"/>
                <w:sz w:val="22"/>
                <w:szCs w:val="22"/>
                <w:b w:val="1"/>
                <w:bCs w:val="1"/>
                <w:color w:val="2952A4"/>
              </w:rPr>
            </w:pPr>
            <w:hyperlink w:anchor="page119">
              <w:r>
                <w:rPr>
                  <w:rFonts w:ascii="Arial" w:cs="Arial" w:eastAsia="Arial" w:hAnsi="Arial"/>
                  <w:sz w:val="22"/>
                  <w:szCs w:val="22"/>
                  <w:b w:val="1"/>
                  <w:bCs w:val="1"/>
                  <w:color w:val="2952A4"/>
                </w:rPr>
                <w:t>(SAY ON PAY)</w:t>
              </w:r>
            </w:hyperlink>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40" w:type="dxa"/>
            <w:vAlign w:val="bottom"/>
            <w:gridSpan w:val="1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2952A4"/>
            </w:tcBorders>
          </w:tcPr>
          <w:p>
            <w:pPr>
              <w:spacing w:after="0"/>
              <w:rPr>
                <w:sz w:val="10"/>
                <w:szCs w:val="10"/>
                <w:color w:val="auto"/>
              </w:rPr>
            </w:pPr>
          </w:p>
        </w:tc>
        <w:tc>
          <w:tcPr>
            <w:tcW w:w="620" w:type="dxa"/>
            <w:vAlign w:val="bottom"/>
            <w:tcBorders>
              <w:top w:val="single" w:sz="8" w:color="2952A4"/>
            </w:tcBorders>
          </w:tcPr>
          <w:p>
            <w:pPr>
              <w:spacing w:after="0"/>
              <w:rPr>
                <w:sz w:val="10"/>
                <w:szCs w:val="10"/>
                <w:color w:val="auto"/>
              </w:rPr>
            </w:pPr>
          </w:p>
        </w:tc>
        <w:tc>
          <w:tcPr>
            <w:tcW w:w="620" w:type="dxa"/>
            <w:vAlign w:val="bottom"/>
            <w:tcBorders>
              <w:top w:val="single" w:sz="8" w:color="2952A4"/>
            </w:tcBorders>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15"/>
                <w:szCs w:val="15"/>
                <w:b w:val="1"/>
                <w:bCs w:val="1"/>
                <w:u w:val="single" w:color="auto"/>
                <w:color w:val="231F20"/>
              </w:rPr>
            </w:pPr>
            <w:hyperlink w:anchor="page89">
              <w:r>
                <w:rPr>
                  <w:rFonts w:ascii="Arial" w:cs="Arial" w:eastAsia="Arial" w:hAnsi="Arial"/>
                  <w:sz w:val="15"/>
                  <w:szCs w:val="15"/>
                  <w:b w:val="1"/>
                  <w:bCs w:val="1"/>
                  <w:u w:val="single" w:color="auto"/>
                  <w:color w:val="231F20"/>
                </w:rPr>
                <w:t>Our Compensation Processes</w:t>
              </w:r>
            </w:hyperlink>
          </w:p>
        </w:tc>
        <w:tc>
          <w:tcPr>
            <w:tcW w:w="880" w:type="dxa"/>
            <w:vAlign w:val="bottom"/>
          </w:tcPr>
          <w:p>
            <w:pPr>
              <w:jc w:val="right"/>
              <w:ind w:right="421"/>
              <w:spacing w:after="0"/>
              <w:rPr>
                <w:sz w:val="20"/>
                <w:szCs w:val="20"/>
                <w:color w:val="auto"/>
              </w:rPr>
            </w:pPr>
            <w:r>
              <w:rPr>
                <w:rFonts w:ascii="Arial" w:cs="Arial" w:eastAsia="Arial" w:hAnsi="Arial"/>
                <w:sz w:val="15"/>
                <w:szCs w:val="15"/>
                <w:b w:val="1"/>
                <w:bCs w:val="1"/>
                <w:color w:val="231F20"/>
              </w:rPr>
              <w:t>77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89">
              <w:r>
                <w:rPr>
                  <w:rFonts w:ascii="Arial" w:cs="Arial" w:eastAsia="Arial" w:hAnsi="Arial"/>
                  <w:sz w:val="15"/>
                  <w:szCs w:val="15"/>
                  <w:u w:val="single" w:color="auto"/>
                  <w:color w:val="231F20"/>
                </w:rPr>
                <w:t>Our Compensation Committee</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77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89">
              <w:r>
                <w:rPr>
                  <w:rFonts w:ascii="Arial" w:cs="Arial" w:eastAsia="Arial" w:hAnsi="Arial"/>
                  <w:sz w:val="15"/>
                  <w:szCs w:val="15"/>
                  <w:u w:val="single" w:color="auto"/>
                  <w:color w:val="231F20"/>
                </w:rPr>
                <w:t>Management</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77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90">
              <w:r>
                <w:rPr>
                  <w:rFonts w:ascii="Arial" w:cs="Arial" w:eastAsia="Arial" w:hAnsi="Arial"/>
                  <w:sz w:val="15"/>
                  <w:szCs w:val="15"/>
                  <w:u w:val="single" w:color="auto"/>
                  <w:color w:val="231F20"/>
                </w:rPr>
                <w:t>Shareholder Input and Outreach</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78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93">
              <w:r>
                <w:rPr>
                  <w:rFonts w:ascii="Arial" w:cs="Arial" w:eastAsia="Arial" w:hAnsi="Arial"/>
                  <w:sz w:val="15"/>
                  <w:szCs w:val="15"/>
                  <w:u w:val="single" w:color="auto"/>
                  <w:color w:val="231F20"/>
                </w:rPr>
                <w:t>Independent Compensation Consultant</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93">
              <w:r>
                <w:rPr>
                  <w:rFonts w:ascii="Arial" w:cs="Arial" w:eastAsia="Arial" w:hAnsi="Arial"/>
                  <w:sz w:val="15"/>
                  <w:szCs w:val="15"/>
                  <w:u w:val="single" w:color="auto"/>
                  <w:color w:val="231F20"/>
                </w:rPr>
                <w:t>Peer Data</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95">
              <w:r>
                <w:rPr>
                  <w:rFonts w:ascii="Arial" w:cs="Arial" w:eastAsia="Arial" w:hAnsi="Arial"/>
                  <w:sz w:val="15"/>
                  <w:szCs w:val="15"/>
                  <w:u w:val="single" w:color="auto"/>
                  <w:color w:val="231F20"/>
                </w:rPr>
                <w:t>Risk Assessment</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83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2"/>
          </w:tcPr>
          <w:p>
            <w:pPr>
              <w:spacing w:after="0"/>
              <w:rPr>
                <w:rFonts w:ascii="Arial" w:cs="Arial" w:eastAsia="Arial" w:hAnsi="Arial"/>
                <w:sz w:val="15"/>
                <w:szCs w:val="15"/>
                <w:u w:val="single" w:color="auto"/>
                <w:color w:val="231F20"/>
              </w:rPr>
            </w:pPr>
            <w:hyperlink w:anchor="page95">
              <w:r>
                <w:rPr>
                  <w:rFonts w:ascii="Arial" w:cs="Arial" w:eastAsia="Arial" w:hAnsi="Arial"/>
                  <w:sz w:val="15"/>
                  <w:szCs w:val="15"/>
                  <w:u w:val="single" w:color="auto"/>
                  <w:color w:val="231F20"/>
                </w:rPr>
                <w:t>Tax Implications</w:t>
              </w:r>
            </w:hyperlink>
          </w:p>
        </w:tc>
        <w:tc>
          <w:tcPr>
            <w:tcW w:w="880" w:type="dxa"/>
            <w:vAlign w:val="bottom"/>
          </w:tcPr>
          <w:p>
            <w:pPr>
              <w:jc w:val="right"/>
              <w:ind w:right="421"/>
              <w:spacing w:after="0"/>
              <w:rPr>
                <w:sz w:val="20"/>
                <w:szCs w:val="20"/>
                <w:color w:val="auto"/>
              </w:rPr>
            </w:pPr>
            <w:r>
              <w:rPr>
                <w:rFonts w:ascii="Arial" w:cs="Arial" w:eastAsia="Arial" w:hAnsi="Arial"/>
                <w:sz w:val="15"/>
                <w:szCs w:val="15"/>
                <w:color w:val="231F20"/>
              </w:rPr>
              <w:t>83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15"/>
                <w:szCs w:val="15"/>
                <w:b w:val="1"/>
                <w:bCs w:val="1"/>
                <w:u w:val="single" w:color="auto"/>
                <w:color w:val="231F20"/>
              </w:rPr>
            </w:pPr>
            <w:hyperlink w:anchor="page97">
              <w:r>
                <w:rPr>
                  <w:rFonts w:ascii="Arial" w:cs="Arial" w:eastAsia="Arial" w:hAnsi="Arial"/>
                  <w:sz w:val="15"/>
                  <w:szCs w:val="15"/>
                  <w:b w:val="1"/>
                  <w:bCs w:val="1"/>
                  <w:u w:val="single" w:color="auto"/>
                  <w:color w:val="231F20"/>
                </w:rPr>
                <w:t>Compensation Committee Report</w:t>
              </w:r>
            </w:hyperlink>
          </w:p>
        </w:tc>
        <w:tc>
          <w:tcPr>
            <w:tcW w:w="880" w:type="dxa"/>
            <w:vAlign w:val="bottom"/>
          </w:tcPr>
          <w:p>
            <w:pPr>
              <w:jc w:val="right"/>
              <w:ind w:right="421"/>
              <w:spacing w:after="0"/>
              <w:rPr>
                <w:sz w:val="20"/>
                <w:szCs w:val="20"/>
                <w:color w:val="auto"/>
              </w:rPr>
            </w:pPr>
            <w:r>
              <w:rPr>
                <w:rFonts w:ascii="Arial" w:cs="Arial" w:eastAsia="Arial" w:hAnsi="Arial"/>
                <w:sz w:val="15"/>
                <w:szCs w:val="15"/>
                <w:b w:val="1"/>
                <w:bCs w:val="1"/>
                <w:color w:val="231F20"/>
              </w:rPr>
              <w:t>85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Pr>
          <w:p>
            <w:pPr>
              <w:spacing w:after="0"/>
              <w:rPr>
                <w:sz w:val="24"/>
                <w:szCs w:val="24"/>
                <w:color w:val="auto"/>
              </w:rPr>
            </w:pPr>
          </w:p>
        </w:tc>
        <w:tc>
          <w:tcPr>
            <w:tcW w:w="3520" w:type="dxa"/>
            <w:vAlign w:val="bottom"/>
            <w:gridSpan w:val="13"/>
          </w:tcPr>
          <w:p>
            <w:pPr>
              <w:spacing w:after="0"/>
              <w:rPr>
                <w:rFonts w:ascii="Arial" w:cs="Arial" w:eastAsia="Arial" w:hAnsi="Arial"/>
                <w:sz w:val="15"/>
                <w:szCs w:val="15"/>
                <w:b w:val="1"/>
                <w:bCs w:val="1"/>
                <w:color w:val="231F20"/>
              </w:rPr>
            </w:pPr>
            <w:hyperlink w:anchor="page97">
              <w:r>
                <w:rPr>
                  <w:rFonts w:ascii="Arial" w:cs="Arial" w:eastAsia="Arial" w:hAnsi="Arial"/>
                  <w:sz w:val="15"/>
                  <w:szCs w:val="15"/>
                  <w:b w:val="1"/>
                  <w:bCs w:val="1"/>
                  <w:color w:val="231F20"/>
                </w:rPr>
                <w:t>Compensation Committee Interlocks and</w:t>
              </w:r>
            </w:hyperlink>
          </w:p>
        </w:tc>
        <w:tc>
          <w:tcPr>
            <w:tcW w:w="880" w:type="dxa"/>
            <w:vAlign w:val="bottom"/>
            <w:vMerge w:val="restart"/>
          </w:tcPr>
          <w:p>
            <w:pPr>
              <w:jc w:val="right"/>
              <w:ind w:right="421"/>
              <w:spacing w:after="0"/>
              <w:rPr>
                <w:sz w:val="20"/>
                <w:szCs w:val="20"/>
                <w:color w:val="auto"/>
              </w:rPr>
            </w:pPr>
            <w:r>
              <w:rPr>
                <w:rFonts w:ascii="Arial" w:cs="Arial" w:eastAsia="Arial" w:hAnsi="Arial"/>
                <w:sz w:val="15"/>
                <w:szCs w:val="15"/>
                <w:b w:val="1"/>
                <w:bCs w:val="1"/>
                <w:color w:val="231F20"/>
              </w:rPr>
              <w:t>85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1480" w:type="dxa"/>
            <w:vAlign w:val="bottom"/>
            <w:tcBorders>
              <w:top w:val="single" w:sz="8" w:color="231F20"/>
              <w:bottom w:val="single" w:sz="8" w:color="231F20"/>
            </w:tcBorders>
            <w:gridSpan w:val="5"/>
          </w:tcPr>
          <w:p>
            <w:pPr>
              <w:spacing w:after="0" w:line="142" w:lineRule="exact"/>
              <w:rPr>
                <w:rFonts w:ascii="Arial" w:cs="Arial" w:eastAsia="Arial" w:hAnsi="Arial"/>
                <w:sz w:val="15"/>
                <w:szCs w:val="15"/>
                <w:b w:val="1"/>
                <w:bCs w:val="1"/>
                <w:color w:val="231F20"/>
              </w:rPr>
            </w:pPr>
            <w:hyperlink w:anchor="page97">
              <w:r>
                <w:rPr>
                  <w:rFonts w:ascii="Arial" w:cs="Arial" w:eastAsia="Arial" w:hAnsi="Arial"/>
                  <w:sz w:val="15"/>
                  <w:szCs w:val="15"/>
                  <w:b w:val="1"/>
                  <w:bCs w:val="1"/>
                  <w:color w:val="231F20"/>
                </w:rPr>
                <w:t>Insider Participation</w:t>
              </w:r>
            </w:hyperlink>
          </w:p>
        </w:tc>
        <w:tc>
          <w:tcPr>
            <w:tcW w:w="1500" w:type="dxa"/>
            <w:vAlign w:val="bottom"/>
            <w:tcBorders>
              <w:top w:val="single" w:sz="8" w:color="231F20"/>
            </w:tcBorders>
            <w:gridSpan w:val="4"/>
          </w:tcPr>
          <w:p>
            <w:pPr>
              <w:spacing w:after="0"/>
              <w:rPr>
                <w:sz w:val="12"/>
                <w:szCs w:val="12"/>
                <w:color w:val="auto"/>
              </w:rPr>
            </w:pPr>
          </w:p>
        </w:tc>
        <w:tc>
          <w:tcPr>
            <w:tcW w:w="540" w:type="dxa"/>
            <w:vAlign w:val="bottom"/>
            <w:gridSpan w:val="4"/>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4"/>
                <w:szCs w:val="24"/>
                <w:color w:val="auto"/>
              </w:rPr>
            </w:pPr>
          </w:p>
        </w:tc>
        <w:tc>
          <w:tcPr>
            <w:tcW w:w="7780" w:type="dxa"/>
            <w:vAlign w:val="bottom"/>
            <w:gridSpan w:val="26"/>
          </w:tcPr>
          <w:p>
            <w:pPr>
              <w:ind w:left="12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1980" w:type="dxa"/>
            <w:vAlign w:val="bottom"/>
          </w:tcPr>
          <w:p>
            <w:pPr>
              <w:jc w:val="right"/>
              <w:ind w:right="111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51</w:t>
            </w:r>
          </w:p>
        </w:tc>
        <w:tc>
          <w:tcPr>
            <w:tcW w:w="0" w:type="dxa"/>
            <w:vAlign w:val="bottom"/>
          </w:tcPr>
          <w:p>
            <w:pPr>
              <w:spacing w:after="0"/>
              <w:rPr>
                <w:sz w:val="1"/>
                <w:szCs w:val="1"/>
                <w:color w:val="auto"/>
              </w:rPr>
            </w:pPr>
          </w:p>
        </w:tc>
      </w:tr>
      <w:tr>
        <w:trPr>
          <w:trHeight w:val="262"/>
        </w:trPr>
        <w:tc>
          <w:tcPr>
            <w:tcW w:w="1480" w:type="dxa"/>
            <w:vAlign w:val="bottom"/>
            <w:tcBorders>
              <w:bottom w:val="single" w:sz="8" w:color="C0C0C0"/>
            </w:tcBorders>
          </w:tcPr>
          <w:p>
            <w:pPr>
              <w:spacing w:after="0"/>
              <w:rPr>
                <w:sz w:val="22"/>
                <w:szCs w:val="22"/>
                <w:color w:val="auto"/>
              </w:rPr>
            </w:pPr>
          </w:p>
        </w:tc>
        <w:tc>
          <w:tcPr>
            <w:tcW w:w="180" w:type="dxa"/>
            <w:vAlign w:val="bottom"/>
            <w:tcBorders>
              <w:bottom w:val="single" w:sz="8" w:color="C0C0C0"/>
            </w:tcBorders>
          </w:tcPr>
          <w:p>
            <w:pPr>
              <w:spacing w:after="0"/>
              <w:rPr>
                <w:sz w:val="22"/>
                <w:szCs w:val="22"/>
                <w:color w:val="auto"/>
              </w:rPr>
            </w:pPr>
          </w:p>
        </w:tc>
        <w:tc>
          <w:tcPr>
            <w:tcW w:w="320" w:type="dxa"/>
            <w:vAlign w:val="bottom"/>
            <w:tcBorders>
              <w:bottom w:val="single" w:sz="8" w:color="C0C0C0"/>
            </w:tcBorders>
          </w:tcPr>
          <w:p>
            <w:pPr>
              <w:spacing w:after="0"/>
              <w:rPr>
                <w:sz w:val="22"/>
                <w:szCs w:val="22"/>
                <w:color w:val="auto"/>
              </w:rPr>
            </w:pPr>
          </w:p>
        </w:tc>
        <w:tc>
          <w:tcPr>
            <w:tcW w:w="320" w:type="dxa"/>
            <w:vAlign w:val="bottom"/>
            <w:tcBorders>
              <w:bottom w:val="single" w:sz="8" w:color="C0C0C0"/>
            </w:tcBorders>
          </w:tcPr>
          <w:p>
            <w:pPr>
              <w:spacing w:after="0"/>
              <w:rPr>
                <w:sz w:val="22"/>
                <w:szCs w:val="22"/>
                <w:color w:val="auto"/>
              </w:rPr>
            </w:pPr>
          </w:p>
        </w:tc>
        <w:tc>
          <w:tcPr>
            <w:tcW w:w="240" w:type="dxa"/>
            <w:vAlign w:val="bottom"/>
            <w:tcBorders>
              <w:bottom w:val="single" w:sz="8" w:color="C0C0C0"/>
            </w:tcBorders>
          </w:tcPr>
          <w:p>
            <w:pPr>
              <w:spacing w:after="0"/>
              <w:rPr>
                <w:sz w:val="22"/>
                <w:szCs w:val="22"/>
                <w:color w:val="auto"/>
              </w:rPr>
            </w:pPr>
          </w:p>
        </w:tc>
        <w:tc>
          <w:tcPr>
            <w:tcW w:w="420" w:type="dxa"/>
            <w:vAlign w:val="bottom"/>
            <w:tcBorders>
              <w:bottom w:val="single" w:sz="8" w:color="C0C0C0"/>
            </w:tcBorders>
          </w:tcPr>
          <w:p>
            <w:pPr>
              <w:spacing w:after="0"/>
              <w:rPr>
                <w:sz w:val="22"/>
                <w:szCs w:val="22"/>
                <w:color w:val="auto"/>
              </w:rPr>
            </w:pPr>
          </w:p>
        </w:tc>
        <w:tc>
          <w:tcPr>
            <w:tcW w:w="120" w:type="dxa"/>
            <w:vAlign w:val="bottom"/>
            <w:tcBorders>
              <w:bottom w:val="single" w:sz="8" w:color="C0C0C0"/>
            </w:tcBorders>
          </w:tcPr>
          <w:p>
            <w:pPr>
              <w:spacing w:after="0"/>
              <w:rPr>
                <w:sz w:val="22"/>
                <w:szCs w:val="22"/>
                <w:color w:val="auto"/>
              </w:rPr>
            </w:pPr>
          </w:p>
        </w:tc>
        <w:tc>
          <w:tcPr>
            <w:tcW w:w="640" w:type="dxa"/>
            <w:vAlign w:val="bottom"/>
            <w:tcBorders>
              <w:bottom w:val="single" w:sz="8" w:color="C0C0C0"/>
            </w:tcBorders>
          </w:tcPr>
          <w:p>
            <w:pPr>
              <w:spacing w:after="0"/>
              <w:rPr>
                <w:sz w:val="22"/>
                <w:szCs w:val="22"/>
                <w:color w:val="auto"/>
              </w:rPr>
            </w:pPr>
          </w:p>
        </w:tc>
        <w:tc>
          <w:tcPr>
            <w:tcW w:w="40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100" w:type="dxa"/>
            <w:vAlign w:val="bottom"/>
            <w:tcBorders>
              <w:bottom w:val="single" w:sz="8" w:color="C0C0C0"/>
            </w:tcBorders>
          </w:tcPr>
          <w:p>
            <w:pPr>
              <w:spacing w:after="0"/>
              <w:rPr>
                <w:sz w:val="22"/>
                <w:szCs w:val="22"/>
                <w:color w:val="auto"/>
              </w:rPr>
            </w:pPr>
          </w:p>
        </w:tc>
        <w:tc>
          <w:tcPr>
            <w:tcW w:w="80" w:type="dxa"/>
            <w:vAlign w:val="bottom"/>
            <w:tcBorders>
              <w:bottom w:val="single" w:sz="8" w:color="C0C0C0"/>
            </w:tcBorders>
          </w:tcPr>
          <w:p>
            <w:pPr>
              <w:spacing w:after="0"/>
              <w:rPr>
                <w:sz w:val="22"/>
                <w:szCs w:val="22"/>
                <w:color w:val="auto"/>
              </w:rPr>
            </w:pPr>
          </w:p>
        </w:tc>
        <w:tc>
          <w:tcPr>
            <w:tcW w:w="240" w:type="dxa"/>
            <w:vAlign w:val="bottom"/>
            <w:tcBorders>
              <w:bottom w:val="single" w:sz="8" w:color="C0C0C0"/>
            </w:tcBorders>
          </w:tcPr>
          <w:p>
            <w:pPr>
              <w:spacing w:after="0"/>
              <w:rPr>
                <w:sz w:val="22"/>
                <w:szCs w:val="22"/>
                <w:color w:val="auto"/>
              </w:rPr>
            </w:pPr>
          </w:p>
        </w:tc>
        <w:tc>
          <w:tcPr>
            <w:tcW w:w="120" w:type="dxa"/>
            <w:vAlign w:val="bottom"/>
            <w:tcBorders>
              <w:bottom w:val="single" w:sz="8" w:color="C0C0C0"/>
            </w:tcBorders>
          </w:tcPr>
          <w:p>
            <w:pPr>
              <w:spacing w:after="0"/>
              <w:rPr>
                <w:sz w:val="22"/>
                <w:szCs w:val="22"/>
                <w:color w:val="auto"/>
              </w:rPr>
            </w:pPr>
          </w:p>
        </w:tc>
        <w:tc>
          <w:tcPr>
            <w:tcW w:w="88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160" w:type="dxa"/>
            <w:vAlign w:val="bottom"/>
            <w:tcBorders>
              <w:bottom w:val="single" w:sz="8" w:color="C0C0C0"/>
            </w:tcBorders>
          </w:tcPr>
          <w:p>
            <w:pPr>
              <w:spacing w:after="0"/>
              <w:rPr>
                <w:sz w:val="22"/>
                <w:szCs w:val="22"/>
                <w:color w:val="auto"/>
              </w:rPr>
            </w:pPr>
          </w:p>
        </w:tc>
        <w:tc>
          <w:tcPr>
            <w:tcW w:w="620" w:type="dxa"/>
            <w:vAlign w:val="bottom"/>
            <w:tcBorders>
              <w:bottom w:val="single" w:sz="8" w:color="C0C0C0"/>
            </w:tcBorders>
          </w:tcPr>
          <w:p>
            <w:pPr>
              <w:spacing w:after="0"/>
              <w:rPr>
                <w:sz w:val="22"/>
                <w:szCs w:val="22"/>
                <w:color w:val="auto"/>
              </w:rPr>
            </w:pPr>
          </w:p>
        </w:tc>
        <w:tc>
          <w:tcPr>
            <w:tcW w:w="62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tcBorders>
          </w:tcPr>
          <w:p>
            <w:pPr>
              <w:spacing w:after="0"/>
              <w:rPr>
                <w:sz w:val="22"/>
                <w:szCs w:val="22"/>
                <w:color w:val="auto"/>
              </w:rPr>
            </w:pPr>
          </w:p>
        </w:tc>
        <w:tc>
          <w:tcPr>
            <w:tcW w:w="780" w:type="dxa"/>
            <w:vAlign w:val="bottom"/>
            <w:tcBorders>
              <w:bottom w:val="single" w:sz="8" w:color="C0C0C0"/>
            </w:tcBorders>
          </w:tcPr>
          <w:p>
            <w:pPr>
              <w:spacing w:after="0"/>
              <w:rPr>
                <w:sz w:val="22"/>
                <w:szCs w:val="22"/>
                <w:color w:val="auto"/>
              </w:rPr>
            </w:pPr>
          </w:p>
        </w:tc>
        <w:tc>
          <w:tcPr>
            <w:tcW w:w="180" w:type="dxa"/>
            <w:vAlign w:val="bottom"/>
            <w:tcBorders>
              <w:bottom w:val="single" w:sz="8" w:color="C0C0C0"/>
            </w:tcBorders>
          </w:tcPr>
          <w:p>
            <w:pPr>
              <w:spacing w:after="0"/>
              <w:rPr>
                <w:sz w:val="22"/>
                <w:szCs w:val="22"/>
                <w:color w:val="auto"/>
              </w:rPr>
            </w:pPr>
          </w:p>
        </w:tc>
        <w:tc>
          <w:tcPr>
            <w:tcW w:w="140" w:type="dxa"/>
            <w:vAlign w:val="bottom"/>
            <w:tcBorders>
              <w:bottom w:val="single" w:sz="8" w:color="C0C0C0"/>
            </w:tcBorders>
          </w:tcPr>
          <w:p>
            <w:pPr>
              <w:spacing w:after="0"/>
              <w:rPr>
                <w:sz w:val="22"/>
                <w:szCs w:val="22"/>
                <w:color w:val="auto"/>
              </w:rPr>
            </w:pPr>
          </w:p>
        </w:tc>
        <w:tc>
          <w:tcPr>
            <w:tcW w:w="60" w:type="dxa"/>
            <w:vAlign w:val="bottom"/>
            <w:tcBorders>
              <w:bottom w:val="single" w:sz="8" w:color="C0C0C0"/>
            </w:tcBorders>
          </w:tcPr>
          <w:p>
            <w:pPr>
              <w:spacing w:after="0"/>
              <w:rPr>
                <w:sz w:val="22"/>
                <w:szCs w:val="22"/>
                <w:color w:val="auto"/>
              </w:rPr>
            </w:pPr>
          </w:p>
        </w:tc>
        <w:tc>
          <w:tcPr>
            <w:tcW w:w="60" w:type="dxa"/>
            <w:vAlign w:val="bottom"/>
            <w:tcBorders>
              <w:bottom w:val="single" w:sz="8" w:color="C0C0C0"/>
            </w:tcBorders>
          </w:tcPr>
          <w:p>
            <w:pPr>
              <w:spacing w:after="0"/>
              <w:rPr>
                <w:sz w:val="22"/>
                <w:szCs w:val="22"/>
                <w:color w:val="auto"/>
              </w:rPr>
            </w:pPr>
          </w:p>
        </w:tc>
        <w:tc>
          <w:tcPr>
            <w:tcW w:w="80" w:type="dxa"/>
            <w:vAlign w:val="bottom"/>
            <w:tcBorders>
              <w:bottom w:val="single" w:sz="8" w:color="C0C0C0"/>
            </w:tcBorders>
          </w:tcPr>
          <w:p>
            <w:pPr>
              <w:spacing w:after="0"/>
              <w:rPr>
                <w:sz w:val="22"/>
                <w:szCs w:val="22"/>
                <w:color w:val="auto"/>
              </w:rPr>
            </w:pPr>
          </w:p>
        </w:tc>
        <w:tc>
          <w:tcPr>
            <w:tcW w:w="160" w:type="dxa"/>
            <w:vAlign w:val="bottom"/>
            <w:tcBorders>
              <w:bottom w:val="single" w:sz="8" w:color="C0C0C0"/>
            </w:tcBorders>
          </w:tcPr>
          <w:p>
            <w:pPr>
              <w:spacing w:after="0"/>
              <w:rPr>
                <w:sz w:val="22"/>
                <w:szCs w:val="22"/>
                <w:color w:val="auto"/>
              </w:rPr>
            </w:pPr>
          </w:p>
        </w:tc>
        <w:tc>
          <w:tcPr>
            <w:tcW w:w="198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63" w:name="page64"/>
    <w:bookmarkEnd w:id="63"/>
    <w:p>
      <w:pPr>
        <w:ind w:left="460"/>
        <w:spacing w:after="0"/>
        <w:rPr>
          <w:sz w:val="20"/>
          <w:szCs w:val="20"/>
          <w:color w:val="auto"/>
        </w:rPr>
      </w:pPr>
      <w:r>
        <w:rPr>
          <w:rFonts w:ascii="Arial" w:cs="Arial" w:eastAsia="Arial" w:hAnsi="Arial"/>
          <w:sz w:val="65"/>
          <w:szCs w:val="65"/>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255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25550"/>
                    </a:xfrm>
                    <a:prstGeom prst="rect">
                      <a:avLst/>
                    </a:prstGeom>
                    <a:noFill/>
                  </pic:spPr>
                </pic:pic>
              </a:graphicData>
            </a:graphic>
          </wp:anchor>
        </w:drawing>
        <w:t>INTRODUCTION</w:t>
      </w: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2020 COMPENSATION-RELATED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This year, we ask you to cast your vote on two compensation-related proposals:</w:t>
      </w:r>
    </w:p>
    <w:p>
      <w:pPr>
        <w:spacing w:after="0" w:line="134" w:lineRule="exact"/>
        <w:rPr>
          <w:sz w:val="20"/>
          <w:szCs w:val="20"/>
          <w:color w:val="auto"/>
        </w:rPr>
      </w:pPr>
    </w:p>
    <w:p>
      <w:pPr>
        <w:ind w:left="780" w:right="959" w:hanging="326"/>
        <w:spacing w:after="0" w:line="274" w:lineRule="auto"/>
        <w:tabs>
          <w:tab w:leader="none" w:pos="780" w:val="left"/>
        </w:tabs>
        <w:numPr>
          <w:ilvl w:val="0"/>
          <w:numId w:val="72"/>
        </w:numPr>
        <w:rPr>
          <w:rFonts w:ascii="Arial" w:cs="Arial" w:eastAsia="Arial" w:hAnsi="Arial"/>
          <w:sz w:val="15"/>
          <w:szCs w:val="15"/>
          <w:b w:val="1"/>
          <w:bCs w:val="1"/>
          <w:color w:val="2952A4"/>
        </w:rPr>
      </w:pPr>
      <w:r>
        <w:rPr>
          <w:rFonts w:ascii="Arial" w:cs="Arial" w:eastAsia="Arial" w:hAnsi="Arial"/>
          <w:sz w:val="15"/>
          <w:szCs w:val="15"/>
          <w:b w:val="1"/>
          <w:bCs w:val="1"/>
          <w:color w:val="231F20"/>
        </w:rPr>
        <w:t xml:space="preserve">We seek your authorization </w:t>
      </w:r>
      <w:r>
        <w:rPr>
          <w:rFonts w:ascii="Arial" w:cs="Arial" w:eastAsia="Arial" w:hAnsi="Arial"/>
          <w:sz w:val="15"/>
          <w:szCs w:val="15"/>
          <w:color w:val="231F20"/>
        </w:rPr>
        <w:t>for a sufficient number of shares to fund our compensation program (Proposal</w:t>
      </w:r>
      <w:r>
        <w:rPr>
          <w:rFonts w:ascii="Arial" w:cs="Arial" w:eastAsia="Arial" w:hAnsi="Arial"/>
          <w:sz w:val="15"/>
          <w:szCs w:val="15"/>
          <w:b w:val="1"/>
          <w:bCs w:val="1"/>
          <w:color w:val="231F20"/>
        </w:rPr>
        <w:t xml:space="preserve"> </w:t>
      </w:r>
      <w:r>
        <w:rPr>
          <w:rFonts w:ascii="Arial" w:cs="Arial" w:eastAsia="Arial" w:hAnsi="Arial"/>
          <w:sz w:val="15"/>
          <w:szCs w:val="15"/>
          <w:color w:val="231F20"/>
        </w:rPr>
        <w:t>No. 3).</w:t>
      </w:r>
      <w:r>
        <w:rPr>
          <w:rFonts w:ascii="Arial" w:cs="Arial" w:eastAsia="Arial" w:hAnsi="Arial"/>
          <w:sz w:val="25"/>
          <w:szCs w:val="25"/>
          <w:color w:val="231F20"/>
          <w:vertAlign w:val="superscript"/>
        </w:rPr>
        <w:t>1</w:t>
      </w:r>
    </w:p>
    <w:p>
      <w:pPr>
        <w:spacing w:after="0" w:line="29" w:lineRule="exact"/>
        <w:rPr>
          <w:sz w:val="20"/>
          <w:szCs w:val="20"/>
          <w:color w:val="auto"/>
        </w:rPr>
      </w:pPr>
    </w:p>
    <w:p>
      <w:pPr>
        <w:ind w:left="780" w:right="639" w:hanging="326"/>
        <w:spacing w:after="0" w:line="187" w:lineRule="auto"/>
        <w:tabs>
          <w:tab w:leader="none" w:pos="780" w:val="left"/>
        </w:tabs>
        <w:numPr>
          <w:ilvl w:val="0"/>
          <w:numId w:val="73"/>
        </w:numPr>
        <w:rPr>
          <w:rFonts w:ascii="Arial" w:cs="Arial" w:eastAsia="Arial" w:hAnsi="Arial"/>
          <w:sz w:val="28"/>
          <w:szCs w:val="28"/>
          <w:b w:val="1"/>
          <w:bCs w:val="1"/>
          <w:color w:val="2952A4"/>
          <w:vertAlign w:val="superscript"/>
        </w:rPr>
      </w:pPr>
      <w:r>
        <w:rPr>
          <w:rFonts w:ascii="Arial" w:cs="Arial" w:eastAsia="Arial" w:hAnsi="Arial"/>
          <w:sz w:val="14"/>
          <w:szCs w:val="14"/>
          <w:b w:val="1"/>
          <w:bCs w:val="1"/>
          <w:color w:val="231F20"/>
        </w:rPr>
        <w:t xml:space="preserve">We seek your input </w:t>
      </w:r>
      <w:r>
        <w:rPr>
          <w:rFonts w:ascii="Arial" w:cs="Arial" w:eastAsia="Arial" w:hAnsi="Arial"/>
          <w:sz w:val="14"/>
          <w:szCs w:val="14"/>
          <w:color w:val="231F20"/>
        </w:rPr>
        <w:t>on our approach to compensation for our “Named Executive Officers”</w:t>
      </w:r>
      <w:r>
        <w:rPr>
          <w:rFonts w:ascii="Arial" w:cs="Arial" w:eastAsia="Arial" w:hAnsi="Arial"/>
          <w:sz w:val="23"/>
          <w:szCs w:val="23"/>
          <w:color w:val="231F20"/>
          <w:vertAlign w:val="superscript"/>
        </w:rPr>
        <w:t>2</w:t>
      </w:r>
      <w:r>
        <w:rPr>
          <w:rFonts w:ascii="Arial" w:cs="Arial" w:eastAsia="Arial" w:hAnsi="Arial"/>
          <w:sz w:val="14"/>
          <w:szCs w:val="14"/>
          <w:b w:val="1"/>
          <w:bCs w:val="1"/>
          <w:color w:val="231F20"/>
        </w:rPr>
        <w:t xml:space="preserve"> </w:t>
      </w:r>
      <w:r>
        <w:rPr>
          <w:rFonts w:ascii="Arial" w:cs="Arial" w:eastAsia="Arial" w:hAnsi="Arial"/>
          <w:sz w:val="14"/>
          <w:szCs w:val="14"/>
          <w:color w:val="231F20"/>
        </w:rPr>
        <w:t>through the advisory</w:t>
      </w:r>
      <w:r>
        <w:rPr>
          <w:rFonts w:ascii="Arial" w:cs="Arial" w:eastAsia="Arial" w:hAnsi="Arial"/>
          <w:sz w:val="14"/>
          <w:szCs w:val="14"/>
          <w:b w:val="1"/>
          <w:bCs w:val="1"/>
          <w:color w:val="231F20"/>
        </w:rPr>
        <w:t xml:space="preserve"> </w:t>
      </w:r>
      <w:r>
        <w:rPr>
          <w:rFonts w:ascii="Arial" w:cs="Arial" w:eastAsia="Arial" w:hAnsi="Arial"/>
          <w:sz w:val="14"/>
          <w:szCs w:val="14"/>
          <w:color w:val="231F20"/>
        </w:rPr>
        <w:t>vote commonly referred to as “say on pay” (Proposal No. 4).</w:t>
      </w:r>
    </w:p>
    <w:p>
      <w:pPr>
        <w:spacing w:after="0" w:line="141" w:lineRule="exact"/>
        <w:rPr>
          <w:sz w:val="20"/>
          <w:szCs w:val="20"/>
          <w:color w:val="auto"/>
        </w:rPr>
      </w:pPr>
    </w:p>
    <w:p>
      <w:pPr>
        <w:ind w:left="460" w:right="579"/>
        <w:spacing w:after="0" w:line="233" w:lineRule="auto"/>
        <w:rPr>
          <w:sz w:val="20"/>
          <w:szCs w:val="20"/>
          <w:color w:val="auto"/>
        </w:rPr>
      </w:pPr>
      <w:r>
        <w:rPr>
          <w:rFonts w:ascii="Arial" w:cs="Arial" w:eastAsia="Arial" w:hAnsi="Arial"/>
          <w:sz w:val="15"/>
          <w:szCs w:val="15"/>
          <w:color w:val="231F20"/>
        </w:rPr>
        <w:t>To best understand these proposals, it is important to consider our overall approach to compensation and certain key factors that play a significant role in shaping the program’s structure and design. These factors include how closely we tie our pay practices to our mission, strategy, and business model; our ongoing, company-wide pay philosophy; and our process for seeking and carefully considering valuable shareholder feedback each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As you decide how to vote on these proposals, please keep in mind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139065</wp:posOffset>
            </wp:positionV>
            <wp:extent cx="5053330" cy="22072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53330" cy="2207260"/>
                    </a:xfrm>
                    <a:prstGeom prst="rect">
                      <a:avLst/>
                    </a:prstGeom>
                    <a:noFill/>
                  </pic:spPr>
                </pic:pic>
              </a:graphicData>
            </a:graphic>
          </wp:anchor>
        </w:drawing>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2952A4"/>
        </w:rPr>
        <w:t>Key Takeaways</w:t>
      </w:r>
    </w:p>
    <w:p>
      <w:pPr>
        <w:spacing w:after="0" w:line="178" w:lineRule="exact"/>
        <w:rPr>
          <w:sz w:val="20"/>
          <w:szCs w:val="20"/>
          <w:color w:val="auto"/>
        </w:rPr>
      </w:pPr>
    </w:p>
    <w:p>
      <w:pPr>
        <w:ind w:left="980" w:right="1039" w:hanging="315"/>
        <w:spacing w:after="0" w:line="242" w:lineRule="auto"/>
        <w:tabs>
          <w:tab w:leader="none" w:pos="980" w:val="left"/>
        </w:tabs>
        <w:numPr>
          <w:ilvl w:val="0"/>
          <w:numId w:val="74"/>
        </w:numPr>
        <w:rPr>
          <w:rFonts w:ascii="Arial" w:cs="Arial" w:eastAsia="Arial" w:hAnsi="Arial"/>
          <w:sz w:val="15"/>
          <w:szCs w:val="15"/>
          <w:b w:val="1"/>
          <w:bCs w:val="1"/>
          <w:color w:val="2952A4"/>
        </w:rPr>
      </w:pPr>
      <w:r>
        <w:rPr>
          <w:rFonts w:ascii="Arial" w:cs="Arial" w:eastAsia="Arial" w:hAnsi="Arial"/>
          <w:sz w:val="15"/>
          <w:szCs w:val="15"/>
          <w:color w:val="231F20"/>
        </w:rPr>
        <w:t xml:space="preserve">Our equity compensation program supports </w:t>
      </w:r>
      <w:r>
        <w:rPr>
          <w:rFonts w:ascii="Arial" w:cs="Arial" w:eastAsia="Arial" w:hAnsi="Arial"/>
          <w:sz w:val="15"/>
          <w:szCs w:val="15"/>
          <w:u w:val="single" w:color="auto"/>
          <w:color w:val="231F20"/>
        </w:rPr>
        <w:t>all</w:t>
      </w:r>
      <w:r>
        <w:rPr>
          <w:rFonts w:ascii="Arial" w:cs="Arial" w:eastAsia="Arial" w:hAnsi="Arial"/>
          <w:sz w:val="15"/>
          <w:szCs w:val="15"/>
          <w:color w:val="231F20"/>
        </w:rPr>
        <w:t xml:space="preserve"> of our employees, not just our NEOs, with approximately 90% of recent annual equity grants awarded to employees other than our NEOs.</w:t>
      </w:r>
    </w:p>
    <w:p>
      <w:pPr>
        <w:spacing w:after="0" w:line="138" w:lineRule="exact"/>
        <w:rPr>
          <w:sz w:val="20"/>
          <w:szCs w:val="20"/>
          <w:color w:val="auto"/>
        </w:rPr>
      </w:pPr>
    </w:p>
    <w:p>
      <w:pPr>
        <w:ind w:left="980" w:right="819" w:hanging="315"/>
        <w:spacing w:after="0" w:line="235" w:lineRule="auto"/>
        <w:tabs>
          <w:tab w:leader="none" w:pos="980" w:val="left"/>
        </w:tabs>
        <w:numPr>
          <w:ilvl w:val="0"/>
          <w:numId w:val="75"/>
        </w:numPr>
        <w:rPr>
          <w:rFonts w:ascii="Arial" w:cs="Arial" w:eastAsia="Arial" w:hAnsi="Arial"/>
          <w:sz w:val="15"/>
          <w:szCs w:val="15"/>
          <w:b w:val="1"/>
          <w:bCs w:val="1"/>
          <w:color w:val="2952A4"/>
        </w:rPr>
      </w:pPr>
      <w:r>
        <w:rPr>
          <w:rFonts w:ascii="Arial" w:cs="Arial" w:eastAsia="Arial" w:hAnsi="Arial"/>
          <w:sz w:val="15"/>
          <w:szCs w:val="15"/>
          <w:color w:val="231F20"/>
        </w:rPr>
        <w:t>We granted performance-based restricted stock units (“PSUs”) to our CEO and CSO as a component of their 2019 annual equity awards. This and other carefully calibrated changes to our compensation program were based on investor feedback.</w:t>
      </w:r>
    </w:p>
    <w:p>
      <w:pPr>
        <w:spacing w:after="0" w:line="141" w:lineRule="exact"/>
        <w:rPr>
          <w:sz w:val="20"/>
          <w:szCs w:val="20"/>
          <w:color w:val="auto"/>
        </w:rPr>
      </w:pPr>
    </w:p>
    <w:p>
      <w:pPr>
        <w:ind w:left="980" w:right="839" w:hanging="315"/>
        <w:spacing w:after="0" w:line="242" w:lineRule="auto"/>
        <w:tabs>
          <w:tab w:leader="none" w:pos="980" w:val="left"/>
        </w:tabs>
        <w:numPr>
          <w:ilvl w:val="0"/>
          <w:numId w:val="76"/>
        </w:numPr>
        <w:rPr>
          <w:rFonts w:ascii="Arial" w:cs="Arial" w:eastAsia="Arial" w:hAnsi="Arial"/>
          <w:sz w:val="15"/>
          <w:szCs w:val="15"/>
          <w:b w:val="1"/>
          <w:bCs w:val="1"/>
          <w:color w:val="2952A4"/>
        </w:rPr>
      </w:pPr>
      <w:r>
        <w:rPr>
          <w:rFonts w:ascii="Arial" w:cs="Arial" w:eastAsia="Arial" w:hAnsi="Arial"/>
          <w:sz w:val="15"/>
          <w:szCs w:val="15"/>
          <w:color w:val="231F20"/>
        </w:rPr>
        <w:t>Our 2019 burn rate was at the lowest level in the last seven years due to specific steps we took to manage dilution from equity compensation.</w:t>
      </w:r>
    </w:p>
    <w:p>
      <w:pPr>
        <w:spacing w:after="0" w:line="138" w:lineRule="exact"/>
        <w:rPr>
          <w:sz w:val="20"/>
          <w:szCs w:val="20"/>
          <w:color w:val="auto"/>
        </w:rPr>
      </w:pPr>
    </w:p>
    <w:p>
      <w:pPr>
        <w:ind w:left="980" w:right="799" w:hanging="315"/>
        <w:spacing w:after="0" w:line="235" w:lineRule="auto"/>
        <w:tabs>
          <w:tab w:leader="none" w:pos="980" w:val="left"/>
        </w:tabs>
        <w:numPr>
          <w:ilvl w:val="0"/>
          <w:numId w:val="77"/>
        </w:numPr>
        <w:rPr>
          <w:rFonts w:ascii="Arial" w:cs="Arial" w:eastAsia="Arial" w:hAnsi="Arial"/>
          <w:sz w:val="15"/>
          <w:szCs w:val="15"/>
          <w:b w:val="1"/>
          <w:bCs w:val="1"/>
          <w:color w:val="2952A4"/>
        </w:rPr>
      </w:pPr>
      <w:r>
        <w:rPr>
          <w:rFonts w:ascii="Arial" w:cs="Arial" w:eastAsia="Arial" w:hAnsi="Arial"/>
          <w:sz w:val="15"/>
          <w:szCs w:val="15"/>
          <w:color w:val="231F20"/>
        </w:rPr>
        <w:t>We are asking our shareholders to approve the same number of shares for equity grants that we requested previously and are committed to ensuring that shares available under our long-term incentive plan will be sufficient for at least three years.</w:t>
      </w:r>
    </w:p>
    <w:p>
      <w:pPr>
        <w:spacing w:after="0" w:line="141" w:lineRule="exact"/>
        <w:rPr>
          <w:sz w:val="20"/>
          <w:szCs w:val="20"/>
          <w:color w:val="auto"/>
        </w:rPr>
      </w:pPr>
    </w:p>
    <w:p>
      <w:pPr>
        <w:ind w:left="980" w:right="779" w:hanging="315"/>
        <w:spacing w:after="0" w:line="235" w:lineRule="auto"/>
        <w:tabs>
          <w:tab w:leader="none" w:pos="980" w:val="left"/>
        </w:tabs>
        <w:numPr>
          <w:ilvl w:val="0"/>
          <w:numId w:val="78"/>
        </w:numPr>
        <w:rPr>
          <w:rFonts w:ascii="Arial" w:cs="Arial" w:eastAsia="Arial" w:hAnsi="Arial"/>
          <w:sz w:val="15"/>
          <w:szCs w:val="15"/>
          <w:b w:val="1"/>
          <w:bCs w:val="1"/>
          <w:color w:val="2952A4"/>
        </w:rPr>
      </w:pPr>
      <w:r>
        <w:rPr>
          <w:rFonts w:ascii="Arial" w:cs="Arial" w:eastAsia="Arial" w:hAnsi="Arial"/>
          <w:sz w:val="15"/>
          <w:szCs w:val="15"/>
          <w:color w:val="231F20"/>
        </w:rPr>
        <w:t>Our compensation model underpins our strategy of creating and advancing a high-quality, internally developed product pipeline, which delivered six important medicines and eight additional key indications for these products in the past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083175" cy="17576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08317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20" w:right="779" w:hanging="166"/>
        <w:spacing w:after="0" w:line="258" w:lineRule="auto"/>
        <w:tabs>
          <w:tab w:leader="none" w:pos="620" w:val="left"/>
        </w:tabs>
        <w:numPr>
          <w:ilvl w:val="0"/>
          <w:numId w:val="79"/>
        </w:numPr>
        <w:rPr>
          <w:rFonts w:ascii="Arial" w:cs="Arial" w:eastAsia="Arial" w:hAnsi="Arial"/>
          <w:sz w:val="14"/>
          <w:szCs w:val="14"/>
          <w:b w:val="1"/>
          <w:bCs w:val="1"/>
          <w:color w:val="2952A4"/>
        </w:rPr>
      </w:pPr>
      <w:r>
        <w:rPr>
          <w:rFonts w:ascii="Arial" w:cs="Arial" w:eastAsia="Arial" w:hAnsi="Arial"/>
          <w:sz w:val="14"/>
          <w:szCs w:val="14"/>
          <w:color w:val="231F20"/>
        </w:rPr>
        <w:t>In this section, “we,” “us,” and “our” refer to the Company and, where applicable, to the Compensation Committee of the Company’s board of directors.</w:t>
      </w:r>
    </w:p>
    <w:p>
      <w:pPr>
        <w:spacing w:after="0" w:line="32" w:lineRule="exact"/>
        <w:rPr>
          <w:sz w:val="20"/>
          <w:szCs w:val="20"/>
          <w:color w:val="auto"/>
        </w:rPr>
      </w:pPr>
    </w:p>
    <w:p>
      <w:pPr>
        <w:ind w:left="620" w:hanging="166"/>
        <w:spacing w:after="0"/>
        <w:tabs>
          <w:tab w:leader="none" w:pos="620" w:val="left"/>
        </w:tabs>
        <w:numPr>
          <w:ilvl w:val="0"/>
          <w:numId w:val="80"/>
        </w:numPr>
        <w:rPr>
          <w:rFonts w:ascii="Arial" w:cs="Arial" w:eastAsia="Arial" w:hAnsi="Arial"/>
          <w:sz w:val="14"/>
          <w:szCs w:val="14"/>
          <w:b w:val="1"/>
          <w:bCs w:val="1"/>
          <w:color w:val="2952A4"/>
        </w:rPr>
      </w:pPr>
      <w:r>
        <w:rPr>
          <w:rFonts w:ascii="Arial" w:cs="Arial" w:eastAsia="Arial" w:hAnsi="Arial"/>
          <w:sz w:val="14"/>
          <w:szCs w:val="14"/>
          <w:color w:val="231F20"/>
        </w:rPr>
        <w:t>Our “Named Executive Officers” or “NEOs” are identified below under “Compensation Discussion and Analysis.”</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52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26" w:right="1440" w:bottom="1440" w:gutter="0" w:footer="0" w:header="0"/>
        </w:sectPr>
      </w:pPr>
    </w:p>
    <w:bookmarkStart w:id="64" w:name="page65"/>
    <w:bookmarkEnd w:id="64"/>
    <w:p>
      <w:pPr>
        <w:ind w:left="518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Our Corporate Culture</w:t>
      </w:r>
    </w:p>
    <w:p>
      <w:pPr>
        <w:spacing w:after="0" w:line="177" w:lineRule="exact"/>
        <w:rPr>
          <w:sz w:val="20"/>
          <w:szCs w:val="20"/>
          <w:color w:val="auto"/>
        </w:rPr>
      </w:pPr>
    </w:p>
    <w:p>
      <w:pPr>
        <w:ind w:left="1580" w:right="1720"/>
        <w:spacing w:after="0" w:line="227" w:lineRule="auto"/>
        <w:rPr>
          <w:sz w:val="20"/>
          <w:szCs w:val="20"/>
          <w:color w:val="auto"/>
        </w:rPr>
      </w:pPr>
      <w:r>
        <w:rPr>
          <w:rFonts w:ascii="Arial" w:cs="Arial" w:eastAsia="Arial" w:hAnsi="Arial"/>
          <w:sz w:val="15"/>
          <w:szCs w:val="15"/>
          <w:color w:val="231F20"/>
        </w:rPr>
        <w:t>Stability, consistency, and an unrelenting focus on science and innovation have been important to our Company’s success and long-term approach. Regeneron’s culture is defined by loyal and motivated employees with an entrepreneurial spirit who are dedicated to the Company’s mission to use the power of science to invent medicines for people with serious diseases. This dedication allowed us to bring six important, internally developed medicines to patients and obtain eight additional key indications for these products in the past decade. We have also consistently outperformed the industry in employee retention in recent years, as demonstrated by our employee attrition rate of</w:t>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less than half the industry average in each of the last five years.</w:t>
      </w:r>
      <w:r>
        <w:rPr>
          <w:rFonts w:ascii="Arial" w:cs="Arial" w:eastAsia="Arial" w:hAnsi="Arial"/>
          <w:sz w:val="25"/>
          <w:szCs w:val="25"/>
          <w:color w:val="231F20"/>
          <w:vertAlign w:val="superscript"/>
        </w:rPr>
        <w:t>3</w:t>
      </w:r>
    </w:p>
    <w:p>
      <w:pPr>
        <w:spacing w:after="0" w:line="67" w:lineRule="exact"/>
        <w:rPr>
          <w:sz w:val="20"/>
          <w:szCs w:val="20"/>
          <w:color w:val="auto"/>
        </w:rPr>
      </w:pPr>
    </w:p>
    <w:p>
      <w:pPr>
        <w:ind w:left="1580" w:right="1700"/>
        <w:spacing w:after="0" w:line="231" w:lineRule="auto"/>
        <w:rPr>
          <w:sz w:val="20"/>
          <w:szCs w:val="20"/>
          <w:color w:val="auto"/>
        </w:rPr>
      </w:pPr>
      <w:r>
        <w:rPr>
          <w:rFonts w:ascii="Arial" w:cs="Arial" w:eastAsia="Arial" w:hAnsi="Arial"/>
          <w:sz w:val="15"/>
          <w:szCs w:val="15"/>
          <w:color w:val="231F20"/>
        </w:rPr>
        <w:t>We continue to be led by Leonard S. Schleifer, M.D., Ph.D., one of the longest-serving founder CEOs in the S&amp;P 500, and George D. Yancopoulos, M.D., Ph.D., our co-founder and Chief Scientific Officer. Drs. Schleifer and Yancopoulos, along with our management and scientific teams, have been the stewards of our long-term approach and are part of the formula for our success. The Company’s dedication to science is also reflected in a board of directors and senior management team that are both heavily populated with top scientific talent.</w:t>
      </w:r>
    </w:p>
    <w:p>
      <w:pPr>
        <w:spacing w:after="0" w:line="142" w:lineRule="exact"/>
        <w:rPr>
          <w:sz w:val="20"/>
          <w:szCs w:val="20"/>
          <w:color w:val="auto"/>
        </w:rPr>
      </w:pPr>
    </w:p>
    <w:p>
      <w:pPr>
        <w:ind w:left="1580" w:right="1820"/>
        <w:spacing w:after="0" w:line="230" w:lineRule="auto"/>
        <w:rPr>
          <w:sz w:val="20"/>
          <w:szCs w:val="20"/>
          <w:color w:val="auto"/>
        </w:rPr>
      </w:pPr>
      <w:r>
        <w:rPr>
          <w:rFonts w:ascii="Arial" w:cs="Arial" w:eastAsia="Arial" w:hAnsi="Arial"/>
          <w:sz w:val="15"/>
          <w:szCs w:val="15"/>
          <w:color w:val="231F20"/>
        </w:rPr>
        <w:t>We firmly believe that our compensation model that emphasizes long-term performance has helped us establish a culture where employees focus on our mission and drug discovery and development. Managing our business for the long term is a core Company belief, as demonstrated by our history of growing through innovation and through a pipeline of internally developed medicines. It also reflects our philosophy of “doing well by doing good,” which encompasses our approach to operating responsibly; making drug-pricing decisions with fairness, affordability, and access at the forefront; and our commitment to patients.</w:t>
      </w:r>
    </w:p>
    <w:p>
      <w:pPr>
        <w:spacing w:after="0" w:line="16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Our Pay Philosophy</w:t>
      </w:r>
    </w:p>
    <w:p>
      <w:pPr>
        <w:spacing w:after="0" w:line="177" w:lineRule="exact"/>
        <w:rPr>
          <w:sz w:val="20"/>
          <w:szCs w:val="20"/>
          <w:color w:val="auto"/>
        </w:rPr>
      </w:pPr>
    </w:p>
    <w:p>
      <w:pPr>
        <w:ind w:left="1580" w:right="1800"/>
        <w:spacing w:after="0" w:line="235" w:lineRule="auto"/>
        <w:rPr>
          <w:sz w:val="20"/>
          <w:szCs w:val="20"/>
          <w:color w:val="auto"/>
        </w:rPr>
      </w:pPr>
      <w:r>
        <w:rPr>
          <w:rFonts w:ascii="Arial" w:cs="Arial" w:eastAsia="Arial" w:hAnsi="Arial"/>
          <w:sz w:val="15"/>
          <w:szCs w:val="15"/>
          <w:color w:val="231F20"/>
        </w:rPr>
        <w:t>Our compensation program supports our core strategy of creating and advancing a high-quality, internally developed product pipeline. The pipeline is directly created by our talented employees, and their engagement, commitment, and achievements are key drivers of pipeline success and therefore our long-term performance.</w:t>
      </w:r>
    </w:p>
    <w:p>
      <w:pPr>
        <w:sectPr>
          <w:pgSz w:w="11900" w:h="16838" w:orient="portrait"/>
          <w:cols w:equalWidth="0" w:num="1">
            <w:col w:w="11240"/>
          </w:cols>
          <w:pgMar w:left="320" w:top="405" w:right="339" w:bottom="1440" w:gutter="0" w:footer="0" w:header="0"/>
          <w:type w:val="continuous"/>
        </w:sectPr>
      </w:pPr>
    </w:p>
    <w:p>
      <w:pPr>
        <w:spacing w:after="0" w:line="141" w:lineRule="exact"/>
        <w:rPr>
          <w:sz w:val="20"/>
          <w:szCs w:val="20"/>
          <w:color w:val="auto"/>
        </w:rPr>
      </w:pPr>
    </w:p>
    <w:p>
      <w:pPr>
        <w:ind w:left="1580"/>
        <w:spacing w:after="0" w:line="227" w:lineRule="auto"/>
        <w:rPr>
          <w:sz w:val="20"/>
          <w:szCs w:val="20"/>
          <w:color w:val="auto"/>
        </w:rPr>
      </w:pPr>
      <w:r>
        <w:rPr>
          <w:rFonts w:ascii="Arial" w:cs="Arial" w:eastAsia="Arial" w:hAnsi="Arial"/>
          <w:sz w:val="15"/>
          <w:szCs w:val="15"/>
          <w:color w:val="231F20"/>
        </w:rPr>
        <w:t xml:space="preserve">The primary underpinning of our pay philosophy is to award equity-based pay to </w:t>
      </w:r>
      <w:r>
        <w:rPr>
          <w:rFonts w:ascii="Arial" w:cs="Arial" w:eastAsia="Arial" w:hAnsi="Arial"/>
          <w:sz w:val="15"/>
          <w:szCs w:val="15"/>
          <w:u w:val="single" w:color="auto"/>
          <w:color w:val="231F20"/>
        </w:rPr>
        <w:t>all</w:t>
      </w:r>
      <w:r>
        <w:rPr>
          <w:rFonts w:ascii="Arial" w:cs="Arial" w:eastAsia="Arial" w:hAnsi="Arial"/>
          <w:sz w:val="15"/>
          <w:szCs w:val="15"/>
          <w:color w:val="231F20"/>
        </w:rPr>
        <w:t xml:space="preserve"> eligible employees to ensure that when we deliver for patients and for shareholders, everyone shares in the upside growth. We award initial equity grants to all new hires, primarily in the form of stock options, in addition to a comprehensive annual equity program. In each of the last five years, approximately 90% of the employee equity grants were awarded to our</w:t>
      </w:r>
    </w:p>
    <w:p>
      <w:pPr>
        <w:spacing w:after="0" w:line="3" w:lineRule="exact"/>
        <w:rPr>
          <w:sz w:val="20"/>
          <w:szCs w:val="20"/>
          <w:color w:val="auto"/>
        </w:rPr>
      </w:pPr>
    </w:p>
    <w:p>
      <w:pPr>
        <w:ind w:left="1580" w:right="120"/>
        <w:spacing w:after="0" w:line="209" w:lineRule="auto"/>
        <w:rPr>
          <w:sz w:val="20"/>
          <w:szCs w:val="20"/>
          <w:color w:val="auto"/>
        </w:rPr>
      </w:pPr>
      <w:r>
        <w:rPr>
          <w:rFonts w:ascii="Arial" w:cs="Arial" w:eastAsia="Arial" w:hAnsi="Arial"/>
          <w:sz w:val="15"/>
          <w:szCs w:val="15"/>
          <w:color w:val="231F20"/>
        </w:rPr>
        <w:t>employees other than our NEOs.</w:t>
      </w:r>
      <w:r>
        <w:rPr>
          <w:rFonts w:ascii="Arial" w:cs="Arial" w:eastAsia="Arial" w:hAnsi="Arial"/>
          <w:sz w:val="25"/>
          <w:szCs w:val="25"/>
          <w:color w:val="231F20"/>
          <w:vertAlign w:val="superscript"/>
        </w:rPr>
        <w:t>4</w:t>
      </w:r>
      <w:r>
        <w:rPr>
          <w:rFonts w:ascii="Arial" w:cs="Arial" w:eastAsia="Arial" w:hAnsi="Arial"/>
          <w:sz w:val="15"/>
          <w:szCs w:val="15"/>
          <w:color w:val="231F20"/>
        </w:rPr>
        <w:t xml:space="preserve"> We believe that our broad-based equity program, which emphasizes long-term performance and ensures that all employees can share in our future potential, represents one of our competitive business advantages.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780"/>
        <w:spacing w:after="0" w:line="242" w:lineRule="auto"/>
        <w:rPr>
          <w:sz w:val="20"/>
          <w:szCs w:val="20"/>
          <w:color w:val="auto"/>
        </w:rPr>
      </w:pPr>
      <w:r>
        <w:rPr>
          <w:rFonts w:ascii="Arial" w:cs="Arial" w:eastAsia="Arial" w:hAnsi="Arial"/>
          <w:sz w:val="18"/>
          <w:szCs w:val="18"/>
          <w:b w:val="1"/>
          <w:bCs w:val="1"/>
          <w:color w:val="2952A4"/>
        </w:rPr>
        <w:t xml:space="preserve">In each of the last five years, approximately </w:t>
      </w:r>
      <w:r>
        <w:rPr>
          <w:rFonts w:ascii="Arial" w:cs="Arial" w:eastAsia="Arial" w:hAnsi="Arial"/>
          <w:sz w:val="18"/>
          <w:szCs w:val="18"/>
          <w:b w:val="1"/>
          <w:bCs w:val="1"/>
          <w:color w:val="D41B5D"/>
        </w:rPr>
        <w:t>90%</w:t>
      </w:r>
      <w:r>
        <w:rPr>
          <w:rFonts w:ascii="Arial" w:cs="Arial" w:eastAsia="Arial" w:hAnsi="Arial"/>
          <w:sz w:val="18"/>
          <w:szCs w:val="18"/>
          <w:b w:val="1"/>
          <w:bCs w:val="1"/>
          <w:color w:val="2952A4"/>
        </w:rPr>
        <w:t xml:space="preserve"> of employee equity grants were awarded to employees other than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-840105</wp:posOffset>
            </wp:positionV>
            <wp:extent cx="1551305" cy="1019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51305" cy="1019810"/>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6980" w:space="240"/>
            <w:col w:w="4020"/>
          </w:cols>
          <w:pgMar w:left="320" w:top="405" w:right="339" w:bottom="1440" w:gutter="0" w:footer="0" w:header="0"/>
          <w:type w:val="continuous"/>
        </w:sectPr>
      </w:pPr>
    </w:p>
    <w:p>
      <w:pPr>
        <w:ind w:left="1580" w:right="1660"/>
        <w:spacing w:after="0" w:line="231" w:lineRule="auto"/>
        <w:rPr>
          <w:sz w:val="20"/>
          <w:szCs w:val="20"/>
          <w:color w:val="auto"/>
        </w:rPr>
      </w:pPr>
      <w:r>
        <w:rPr>
          <w:rFonts w:ascii="Arial" w:cs="Arial" w:eastAsia="Arial" w:hAnsi="Arial"/>
          <w:sz w:val="15"/>
          <w:szCs w:val="15"/>
          <w:color w:val="231F20"/>
        </w:rPr>
        <w:t>We have primarily used stock options for our employee equity awards because we think stock options are easy to understand, are long-term focused (consistent with the drug discovery and development cycle), and are difficult to manipulate by “managing to metrics.” Importantly, stock options are completely aligned with shareholders’ interests. We also believe that the performance-based nature of stock options is enhanced for companies like Regeneron whose stock price is directly impacted by pipeline developments.</w:t>
      </w:r>
    </w:p>
    <w:p>
      <w:pPr>
        <w:spacing w:after="0" w:line="142" w:lineRule="exact"/>
        <w:rPr>
          <w:sz w:val="20"/>
          <w:szCs w:val="20"/>
          <w:color w:val="auto"/>
        </w:rPr>
      </w:pPr>
    </w:p>
    <w:p>
      <w:pPr>
        <w:ind w:left="1580" w:right="1660"/>
        <w:spacing w:after="0" w:line="235" w:lineRule="auto"/>
        <w:rPr>
          <w:sz w:val="20"/>
          <w:szCs w:val="20"/>
          <w:color w:val="auto"/>
        </w:rPr>
      </w:pPr>
      <w:r>
        <w:rPr>
          <w:rFonts w:ascii="Arial" w:cs="Arial" w:eastAsia="Arial" w:hAnsi="Arial"/>
          <w:sz w:val="15"/>
          <w:szCs w:val="15"/>
          <w:color w:val="231F20"/>
        </w:rPr>
        <w:t>We periodically assess our approach to compensation in light of our business objectives, feedback from our shareholders, and market practices in order to adjust our compensation program based on evolving business needs. As discussed further below, in 2019 we introduced PSUs as a component of the annual equity awards for Regeneron’s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83185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4" w:lineRule="exact"/>
        <w:rPr>
          <w:sz w:val="20"/>
          <w:szCs w:val="20"/>
          <w:color w:val="auto"/>
        </w:rPr>
      </w:pPr>
    </w:p>
    <w:p>
      <w:pPr>
        <w:ind w:left="1740" w:right="1740" w:hanging="166"/>
        <w:spacing w:after="0" w:line="249" w:lineRule="auto"/>
        <w:tabs>
          <w:tab w:leader="none" w:pos="1740" w:val="left"/>
        </w:tabs>
        <w:numPr>
          <w:ilvl w:val="0"/>
          <w:numId w:val="81"/>
        </w:numPr>
        <w:rPr>
          <w:rFonts w:ascii="Arial" w:cs="Arial" w:eastAsia="Arial" w:hAnsi="Arial"/>
          <w:sz w:val="14"/>
          <w:szCs w:val="14"/>
          <w:b w:val="1"/>
          <w:bCs w:val="1"/>
          <w:color w:val="2952A4"/>
        </w:rPr>
      </w:pPr>
      <w:r>
        <w:rPr>
          <w:rFonts w:ascii="Arial" w:cs="Arial" w:eastAsia="Arial" w:hAnsi="Arial"/>
          <w:sz w:val="14"/>
          <w:szCs w:val="14"/>
          <w:color w:val="231F20"/>
        </w:rPr>
        <w:t>For example, our 2019 turnover rate was 7.8% compared to an industry average of 18.7%, with turnover in our research &amp; development organization ranking lowest of all employee groups. Industry average is based on the Radford U.S. Life Sciences Trends Report for 2019.</w:t>
      </w:r>
    </w:p>
    <w:p>
      <w:pPr>
        <w:spacing w:after="0" w:line="39" w:lineRule="exact"/>
        <w:rPr>
          <w:sz w:val="20"/>
          <w:szCs w:val="20"/>
          <w:color w:val="auto"/>
        </w:rPr>
      </w:pPr>
    </w:p>
    <w:p>
      <w:pPr>
        <w:ind w:left="1740" w:right="1660" w:hanging="166"/>
        <w:spacing w:after="0" w:line="258" w:lineRule="auto"/>
        <w:tabs>
          <w:tab w:leader="none" w:pos="1740" w:val="left"/>
        </w:tabs>
        <w:numPr>
          <w:ilvl w:val="0"/>
          <w:numId w:val="82"/>
        </w:numPr>
        <w:rPr>
          <w:rFonts w:ascii="Arial" w:cs="Arial" w:eastAsia="Arial" w:hAnsi="Arial"/>
          <w:sz w:val="14"/>
          <w:szCs w:val="14"/>
          <w:b w:val="1"/>
          <w:bCs w:val="1"/>
          <w:color w:val="2952A4"/>
        </w:rPr>
      </w:pPr>
      <w:r>
        <w:rPr>
          <w:rFonts w:ascii="Arial" w:cs="Arial" w:eastAsia="Arial" w:hAnsi="Arial"/>
          <w:sz w:val="14"/>
          <w:szCs w:val="14"/>
          <w:color w:val="231F20"/>
        </w:rPr>
        <w:t>Based on both the grant date fair value and the number of underlying shares (on an options-equivalent basis). Unless otherwise noted, award percentages below are based on the number of underlying shares (on an options-equivalent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53</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65" w:name="page66"/>
    <w:bookmarkEnd w:id="65"/>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03" w:lineRule="exact"/>
        <w:rPr>
          <w:sz w:val="20"/>
          <w:szCs w:val="20"/>
          <w:color w:val="auto"/>
        </w:rPr>
      </w:pPr>
    </w:p>
    <w:p>
      <w:pPr>
        <w:ind w:left="460" w:right="819"/>
        <w:spacing w:after="0" w:line="233" w:lineRule="auto"/>
        <w:rPr>
          <w:sz w:val="20"/>
          <w:szCs w:val="20"/>
          <w:color w:val="auto"/>
        </w:rPr>
      </w:pPr>
      <w:r>
        <w:rPr>
          <w:rFonts w:ascii="Arial" w:cs="Arial" w:eastAsia="Arial" w:hAnsi="Arial"/>
          <w:sz w:val="15"/>
          <w:szCs w:val="15"/>
          <w:color w:val="231F20"/>
        </w:rPr>
        <w:t>CEO and CSO (as well as the Chairman of the Board). In addition, we introduced restricted stock (“RSAs”) or restricted stock units (“RSUs”) for all other eligible employees as a component of their annual equity awards. While stock options continue to represent a key component of our equity program, we also believe that utilizing a mix of stock options and RSAs/RSUs will provide flexibility for managing dilution and promoting employee retention.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Shareholder Engagement and Feedback</w:t>
      </w:r>
    </w:p>
    <w:p>
      <w:pPr>
        <w:spacing w:after="0" w:line="177" w:lineRule="exact"/>
        <w:rPr>
          <w:sz w:val="20"/>
          <w:szCs w:val="20"/>
          <w:color w:val="auto"/>
        </w:rPr>
      </w:pPr>
    </w:p>
    <w:p>
      <w:pPr>
        <w:ind w:left="460" w:right="679"/>
        <w:spacing w:after="0" w:line="233" w:lineRule="auto"/>
        <w:rPr>
          <w:sz w:val="20"/>
          <w:szCs w:val="20"/>
          <w:color w:val="auto"/>
        </w:rPr>
      </w:pPr>
      <w:r>
        <w:rPr>
          <w:rFonts w:ascii="Arial" w:cs="Arial" w:eastAsia="Arial" w:hAnsi="Arial"/>
          <w:sz w:val="15"/>
          <w:szCs w:val="15"/>
          <w:color w:val="231F20"/>
        </w:rPr>
        <w:t>We believe our compensation model is appropriate for our Company and is supported by our long-term performance, but also think it is very important to reach out to our shareholders for ideas, input, and direct feedback. We do this formally through our triennial say-on-pay vote, as well as through direct discussions with our shareholders and informal exchanges in other settings.</w:t>
      </w:r>
    </w:p>
    <w:p>
      <w:pPr>
        <w:spacing w:after="0" w:line="140" w:lineRule="exact"/>
        <w:rPr>
          <w:sz w:val="20"/>
          <w:szCs w:val="20"/>
          <w:color w:val="auto"/>
        </w:rPr>
      </w:pPr>
    </w:p>
    <w:p>
      <w:pPr>
        <w:ind w:left="460" w:right="559"/>
        <w:spacing w:after="0" w:line="229" w:lineRule="auto"/>
        <w:rPr>
          <w:sz w:val="20"/>
          <w:szCs w:val="20"/>
          <w:color w:val="auto"/>
        </w:rPr>
      </w:pPr>
      <w:r>
        <w:rPr>
          <w:rFonts w:ascii="Arial" w:cs="Arial" w:eastAsia="Arial" w:hAnsi="Arial"/>
          <w:sz w:val="15"/>
          <w:szCs w:val="15"/>
          <w:color w:val="231F20"/>
        </w:rPr>
        <w:t>Our annual shareholder outreach program is quite extensive – last year we approached shareholders collectively representing nearly 60% of the shares of common stock outstanding as of December 31, 2019 (excluding shares held by our directors and executive officers and Sanofi), which we refer to as “public shareholders”. As part of our outreach, we engaged in direct one-on-one discussions with shareholders representing over 50% of our public shareholders as well as both leading proxy advisory firms. Our Compensation Committee Chair led many of these discussions. The feedback from shareholders has resulted in specific changes to our compensation and corporate governance practices and policies, including the changes discussed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Changes that took into account feedback from recent shareholder engagement include the following:</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2340" w:type="dxa"/>
            <w:vAlign w:val="bottom"/>
          </w:tcPr>
          <w:p>
            <w:pPr>
              <w:ind w:left="40"/>
              <w:spacing w:after="0"/>
              <w:rPr>
                <w:sz w:val="20"/>
                <w:szCs w:val="20"/>
                <w:color w:val="auto"/>
              </w:rPr>
            </w:pPr>
            <w:r>
              <w:rPr>
                <w:rFonts w:ascii="Arial" w:cs="Arial" w:eastAsia="Arial" w:hAnsi="Arial"/>
                <w:sz w:val="12"/>
                <w:szCs w:val="12"/>
                <w:b w:val="1"/>
                <w:bCs w:val="1"/>
                <w:color w:val="2952A4"/>
              </w:rPr>
              <w:t>What We Heard</w:t>
            </w:r>
          </w:p>
        </w:tc>
        <w:tc>
          <w:tcPr>
            <w:tcW w:w="5760" w:type="dxa"/>
            <w:vAlign w:val="bottom"/>
            <w:gridSpan w:val="2"/>
            <w:shd w:val="clear" w:color="auto" w:fill="2952A4"/>
          </w:tcPr>
          <w:p>
            <w:pPr>
              <w:ind w:left="80"/>
              <w:spacing w:after="0"/>
              <w:rPr>
                <w:sz w:val="20"/>
                <w:szCs w:val="20"/>
                <w:color w:val="auto"/>
              </w:rPr>
            </w:pPr>
            <w:r>
              <w:rPr>
                <w:rFonts w:ascii="Arial" w:cs="Arial" w:eastAsia="Arial" w:hAnsi="Arial"/>
                <w:sz w:val="12"/>
                <w:szCs w:val="12"/>
                <w:b w:val="1"/>
                <w:bCs w:val="1"/>
                <w:color w:val="FFFFFF"/>
              </w:rPr>
              <w:t>What We Have Done</w:t>
            </w:r>
          </w:p>
        </w:tc>
      </w:tr>
      <w:tr>
        <w:trPr>
          <w:trHeight w:val="81"/>
        </w:trPr>
        <w:tc>
          <w:tcPr>
            <w:tcW w:w="2340" w:type="dxa"/>
            <w:vAlign w:val="bottom"/>
            <w:tcBorders>
              <w:bottom w:val="single" w:sz="8" w:color="2952A4"/>
            </w:tcBorders>
          </w:tcPr>
          <w:p>
            <w:pPr>
              <w:spacing w:after="0"/>
              <w:rPr>
                <w:sz w:val="7"/>
                <w:szCs w:val="7"/>
                <w:color w:val="auto"/>
              </w:rPr>
            </w:pPr>
          </w:p>
        </w:tc>
        <w:tc>
          <w:tcPr>
            <w:tcW w:w="5760" w:type="dxa"/>
            <w:vAlign w:val="bottom"/>
            <w:tcBorders>
              <w:bottom w:val="single" w:sz="8" w:color="2952A4"/>
            </w:tcBorders>
            <w:gridSpan w:val="2"/>
            <w:shd w:val="clear" w:color="auto" w:fill="2952A4"/>
          </w:tcPr>
          <w:p>
            <w:pPr>
              <w:spacing w:after="0"/>
              <w:rPr>
                <w:sz w:val="7"/>
                <w:szCs w:val="7"/>
                <w:color w:val="auto"/>
              </w:rPr>
            </w:pPr>
          </w:p>
        </w:tc>
      </w:tr>
      <w:tr>
        <w:trPr>
          <w:trHeight w:val="217"/>
        </w:trPr>
        <w:tc>
          <w:tcPr>
            <w:tcW w:w="2340" w:type="dxa"/>
            <w:vAlign w:val="bottom"/>
          </w:tcPr>
          <w:p>
            <w:pPr>
              <w:ind w:left="40"/>
              <w:spacing w:after="0"/>
              <w:rPr>
                <w:sz w:val="20"/>
                <w:szCs w:val="20"/>
                <w:color w:val="auto"/>
              </w:rPr>
            </w:pPr>
            <w:r>
              <w:rPr>
                <w:rFonts w:ascii="Arial" w:cs="Arial" w:eastAsia="Arial" w:hAnsi="Arial"/>
                <w:sz w:val="13"/>
                <w:szCs w:val="13"/>
                <w:b w:val="1"/>
                <w:bCs w:val="1"/>
                <w:color w:val="231F20"/>
              </w:rPr>
              <w:t>Preference for further pay-for-</w:t>
            </w:r>
          </w:p>
        </w:tc>
        <w:tc>
          <w:tcPr>
            <w:tcW w:w="5760" w:type="dxa"/>
            <w:vAlign w:val="bottom"/>
            <w:gridSpan w:val="2"/>
            <w:shd w:val="clear" w:color="auto" w:fill="E3E5F3"/>
          </w:tcPr>
          <w:p>
            <w:pPr>
              <w:ind w:left="80"/>
              <w:spacing w:after="0"/>
              <w:rPr>
                <w:sz w:val="20"/>
                <w:szCs w:val="20"/>
                <w:color w:val="auto"/>
              </w:rPr>
            </w:pPr>
            <w:r>
              <w:rPr>
                <w:rFonts w:ascii="Arial" w:cs="Arial" w:eastAsia="Arial" w:hAnsi="Arial"/>
                <w:sz w:val="13"/>
                <w:szCs w:val="13"/>
                <w:color w:val="231F20"/>
              </w:rPr>
              <w:t>Granted PSUs to CEO and CSO in 2019 with rigorous performance goals tied to the Company’s</w:t>
            </w:r>
          </w:p>
        </w:tc>
      </w:tr>
      <w:tr>
        <w:trPr>
          <w:trHeight w:val="172"/>
        </w:trPr>
        <w:tc>
          <w:tcPr>
            <w:tcW w:w="2340" w:type="dxa"/>
            <w:vAlign w:val="bottom"/>
          </w:tcPr>
          <w:p>
            <w:pPr>
              <w:ind w:left="40"/>
              <w:spacing w:after="0"/>
              <w:rPr>
                <w:sz w:val="20"/>
                <w:szCs w:val="20"/>
                <w:color w:val="auto"/>
              </w:rPr>
            </w:pPr>
            <w:r>
              <w:rPr>
                <w:rFonts w:ascii="Arial" w:cs="Arial" w:eastAsia="Arial" w:hAnsi="Arial"/>
                <w:sz w:val="13"/>
                <w:szCs w:val="13"/>
                <w:b w:val="1"/>
                <w:bCs w:val="1"/>
                <w:color w:val="231F20"/>
              </w:rPr>
              <w:t>performance alignment</w:t>
            </w:r>
          </w:p>
        </w:tc>
        <w:tc>
          <w:tcPr>
            <w:tcW w:w="5760" w:type="dxa"/>
            <w:vAlign w:val="bottom"/>
            <w:gridSpan w:val="2"/>
            <w:shd w:val="clear" w:color="auto" w:fill="E3E5F3"/>
          </w:tcPr>
          <w:p>
            <w:pPr>
              <w:ind w:left="80"/>
              <w:spacing w:after="0"/>
              <w:rPr>
                <w:sz w:val="20"/>
                <w:szCs w:val="20"/>
                <w:color w:val="auto"/>
              </w:rPr>
            </w:pPr>
            <w:r>
              <w:rPr>
                <w:rFonts w:ascii="Arial" w:cs="Arial" w:eastAsia="Arial" w:hAnsi="Arial"/>
                <w:sz w:val="13"/>
                <w:szCs w:val="13"/>
                <w:color w:val="231F20"/>
              </w:rPr>
              <w:t>absolute total shareholder return (“TSR”) (target = 61% TSR over five years).</w:t>
            </w:r>
          </w:p>
        </w:tc>
      </w:tr>
      <w:tr>
        <w:trPr>
          <w:trHeight w:val="70"/>
        </w:trPr>
        <w:tc>
          <w:tcPr>
            <w:tcW w:w="2340" w:type="dxa"/>
            <w:vAlign w:val="bottom"/>
            <w:tcBorders>
              <w:bottom w:val="single" w:sz="8" w:color="58585A"/>
            </w:tcBorders>
          </w:tcPr>
          <w:p>
            <w:pPr>
              <w:spacing w:after="0"/>
              <w:rPr>
                <w:sz w:val="6"/>
                <w:szCs w:val="6"/>
                <w:color w:val="auto"/>
              </w:rPr>
            </w:pPr>
          </w:p>
        </w:tc>
        <w:tc>
          <w:tcPr>
            <w:tcW w:w="5760" w:type="dxa"/>
            <w:vAlign w:val="bottom"/>
            <w:tcBorders>
              <w:bottom w:val="single" w:sz="8" w:color="58585A"/>
            </w:tcBorders>
            <w:gridSpan w:val="2"/>
            <w:shd w:val="clear" w:color="auto" w:fill="E3E5F3"/>
          </w:tcPr>
          <w:p>
            <w:pPr>
              <w:spacing w:after="0"/>
              <w:rPr>
                <w:sz w:val="6"/>
                <w:szCs w:val="6"/>
                <w:color w:val="auto"/>
              </w:rPr>
            </w:pPr>
          </w:p>
        </w:tc>
      </w:tr>
      <w:tr>
        <w:trPr>
          <w:trHeight w:val="210"/>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Desire for more clarity regarding</w:t>
            </w: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31F20"/>
              </w:rPr>
              <w:t>Enhanced the existing process for determining 2019 annual cash incentives and provided more</w:t>
            </w:r>
          </w:p>
        </w:tc>
      </w:tr>
      <w:tr>
        <w:trPr>
          <w:trHeight w:val="148"/>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the process for determining annual</w:t>
            </w: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31F20"/>
              </w:rPr>
              <w:t>detailed disclosure about the Compensation Committee’s determination of the Company</w:t>
            </w:r>
          </w:p>
        </w:tc>
      </w:tr>
      <w:tr>
        <w:trPr>
          <w:trHeight w:val="172"/>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cash incentives</w:t>
            </w: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31F20"/>
              </w:rPr>
              <w:t>performance multiplier in the CD&amp;A section of this proxy statement.*</w:t>
            </w:r>
          </w:p>
        </w:tc>
      </w:tr>
      <w:tr>
        <w:trPr>
          <w:trHeight w:val="70"/>
        </w:trPr>
        <w:tc>
          <w:tcPr>
            <w:tcW w:w="2340" w:type="dxa"/>
            <w:vAlign w:val="bottom"/>
            <w:tcBorders>
              <w:bottom w:val="single" w:sz="8" w:color="58585A"/>
            </w:tcBorders>
            <w:shd w:val="clear" w:color="auto" w:fill="EBECEC"/>
          </w:tcPr>
          <w:p>
            <w:pPr>
              <w:spacing w:after="0"/>
              <w:rPr>
                <w:sz w:val="6"/>
                <w:szCs w:val="6"/>
                <w:color w:val="auto"/>
              </w:rPr>
            </w:pPr>
          </w:p>
        </w:tc>
        <w:tc>
          <w:tcPr>
            <w:tcW w:w="5760" w:type="dxa"/>
            <w:vAlign w:val="bottom"/>
            <w:tcBorders>
              <w:bottom w:val="single" w:sz="8" w:color="58585A"/>
            </w:tcBorders>
            <w:gridSpan w:val="2"/>
            <w:shd w:val="clear" w:color="auto" w:fill="CBD0E8"/>
          </w:tcPr>
          <w:p>
            <w:pPr>
              <w:spacing w:after="0"/>
              <w:rPr>
                <w:sz w:val="6"/>
                <w:szCs w:val="6"/>
                <w:color w:val="auto"/>
              </w:rPr>
            </w:pPr>
          </w:p>
        </w:tc>
      </w:tr>
      <w:tr>
        <w:trPr>
          <w:trHeight w:val="210"/>
        </w:trPr>
        <w:tc>
          <w:tcPr>
            <w:tcW w:w="2340" w:type="dxa"/>
            <w:vAlign w:val="bottom"/>
          </w:tcPr>
          <w:p>
            <w:pPr>
              <w:ind w:left="40"/>
              <w:spacing w:after="0"/>
              <w:rPr>
                <w:sz w:val="20"/>
                <w:szCs w:val="20"/>
                <w:color w:val="auto"/>
              </w:rPr>
            </w:pPr>
            <w:r>
              <w:rPr>
                <w:rFonts w:ascii="Arial" w:cs="Arial" w:eastAsia="Arial" w:hAnsi="Arial"/>
                <w:sz w:val="13"/>
                <w:szCs w:val="13"/>
                <w:b w:val="1"/>
                <w:bCs w:val="1"/>
                <w:color w:val="231F20"/>
              </w:rPr>
              <w:t>Support for all-employee equity</w:t>
            </w:r>
          </w:p>
        </w:tc>
        <w:tc>
          <w:tcPr>
            <w:tcW w:w="5760" w:type="dxa"/>
            <w:vAlign w:val="bottom"/>
            <w:gridSpan w:val="2"/>
            <w:shd w:val="clear" w:color="auto" w:fill="E3E5F3"/>
          </w:tcPr>
          <w:p>
            <w:pPr>
              <w:ind w:left="80"/>
              <w:spacing w:after="0"/>
              <w:rPr>
                <w:sz w:val="20"/>
                <w:szCs w:val="20"/>
                <w:color w:val="auto"/>
              </w:rPr>
            </w:pPr>
            <w:r>
              <w:rPr>
                <w:rFonts w:ascii="Arial" w:cs="Arial" w:eastAsia="Arial" w:hAnsi="Arial"/>
                <w:sz w:val="13"/>
                <w:szCs w:val="13"/>
                <w:color w:val="231F20"/>
              </w:rPr>
              <w:t>Maintained our all-employee equity compensation strategy while addressing concerns about the</w:t>
            </w:r>
          </w:p>
        </w:tc>
      </w:tr>
      <w:tr>
        <w:trPr>
          <w:trHeight w:val="148"/>
        </w:trPr>
        <w:tc>
          <w:tcPr>
            <w:tcW w:w="2340" w:type="dxa"/>
            <w:vAlign w:val="bottom"/>
          </w:tcPr>
          <w:p>
            <w:pPr>
              <w:ind w:left="40"/>
              <w:spacing w:after="0"/>
              <w:rPr>
                <w:sz w:val="20"/>
                <w:szCs w:val="20"/>
                <w:color w:val="auto"/>
              </w:rPr>
            </w:pPr>
            <w:r>
              <w:rPr>
                <w:rFonts w:ascii="Arial" w:cs="Arial" w:eastAsia="Arial" w:hAnsi="Arial"/>
                <w:sz w:val="13"/>
                <w:szCs w:val="13"/>
                <w:b w:val="1"/>
                <w:bCs w:val="1"/>
                <w:color w:val="231F20"/>
              </w:rPr>
              <w:t>compensation strategy, but concern</w:t>
            </w:r>
          </w:p>
        </w:tc>
        <w:tc>
          <w:tcPr>
            <w:tcW w:w="5760" w:type="dxa"/>
            <w:vAlign w:val="bottom"/>
            <w:gridSpan w:val="2"/>
            <w:shd w:val="clear" w:color="auto" w:fill="E3E5F3"/>
          </w:tcPr>
          <w:p>
            <w:pPr>
              <w:ind w:left="80"/>
              <w:spacing w:after="0"/>
              <w:rPr>
                <w:sz w:val="20"/>
                <w:szCs w:val="20"/>
                <w:color w:val="auto"/>
              </w:rPr>
            </w:pPr>
            <w:r>
              <w:rPr>
                <w:rFonts w:ascii="Arial" w:cs="Arial" w:eastAsia="Arial" w:hAnsi="Arial"/>
                <w:sz w:val="13"/>
                <w:szCs w:val="13"/>
                <w:color w:val="231F20"/>
              </w:rPr>
              <w:t>resulting burn rate using a two-part approach:</w:t>
            </w:r>
          </w:p>
        </w:tc>
      </w:tr>
      <w:tr>
        <w:trPr>
          <w:trHeight w:val="165"/>
        </w:trPr>
        <w:tc>
          <w:tcPr>
            <w:tcW w:w="2340" w:type="dxa"/>
            <w:vAlign w:val="bottom"/>
          </w:tcPr>
          <w:p>
            <w:pPr>
              <w:ind w:left="40"/>
              <w:spacing w:after="0"/>
              <w:rPr>
                <w:sz w:val="20"/>
                <w:szCs w:val="20"/>
                <w:color w:val="auto"/>
              </w:rPr>
            </w:pPr>
            <w:r>
              <w:rPr>
                <w:rFonts w:ascii="Arial" w:cs="Arial" w:eastAsia="Arial" w:hAnsi="Arial"/>
                <w:sz w:val="13"/>
                <w:szCs w:val="13"/>
                <w:b w:val="1"/>
                <w:bCs w:val="1"/>
                <w:color w:val="231F20"/>
              </w:rPr>
              <w:t>about resulting burn rate</w:t>
            </w:r>
          </w:p>
        </w:tc>
        <w:tc>
          <w:tcPr>
            <w:tcW w:w="180" w:type="dxa"/>
            <w:vAlign w:val="bottom"/>
            <w:shd w:val="clear" w:color="auto" w:fill="E3E5F3"/>
          </w:tcPr>
          <w:p>
            <w:pPr>
              <w:ind w:left="80"/>
              <w:spacing w:after="0"/>
              <w:rPr>
                <w:sz w:val="20"/>
                <w:szCs w:val="20"/>
                <w:color w:val="auto"/>
              </w:rPr>
            </w:pPr>
            <w:r>
              <w:rPr>
                <w:rFonts w:ascii="Arial" w:cs="Arial" w:eastAsia="Arial" w:hAnsi="Arial"/>
                <w:sz w:val="13"/>
                <w:szCs w:val="13"/>
                <w:color w:val="2952A4"/>
              </w:rPr>
              <w:t>•</w:t>
            </w:r>
          </w:p>
        </w:tc>
        <w:tc>
          <w:tcPr>
            <w:tcW w:w="5580" w:type="dxa"/>
            <w:vAlign w:val="bottom"/>
            <w:shd w:val="clear" w:color="auto" w:fill="E3E5F3"/>
          </w:tcPr>
          <w:p>
            <w:pPr>
              <w:ind w:left="60"/>
              <w:spacing w:after="0"/>
              <w:rPr>
                <w:sz w:val="20"/>
                <w:szCs w:val="20"/>
                <w:color w:val="auto"/>
              </w:rPr>
            </w:pPr>
            <w:r>
              <w:rPr>
                <w:rFonts w:ascii="Arial" w:cs="Arial" w:eastAsia="Arial" w:hAnsi="Arial"/>
                <w:sz w:val="13"/>
                <w:szCs w:val="13"/>
                <w:color w:val="231F20"/>
              </w:rPr>
              <w:t>Reduce equity award grant guidelines: size of CEO equity awards reduced by almost  60%</w:t>
            </w:r>
          </w:p>
        </w:tc>
      </w:tr>
      <w:tr>
        <w:trPr>
          <w:trHeight w:val="148"/>
        </w:trPr>
        <w:tc>
          <w:tcPr>
            <w:tcW w:w="2340" w:type="dxa"/>
            <w:vAlign w:val="bottom"/>
          </w:tcPr>
          <w:p>
            <w:pPr>
              <w:spacing w:after="0"/>
              <w:rPr>
                <w:sz w:val="12"/>
                <w:szCs w:val="12"/>
                <w:color w:val="auto"/>
              </w:rPr>
            </w:pPr>
          </w:p>
        </w:tc>
        <w:tc>
          <w:tcPr>
            <w:tcW w:w="180" w:type="dxa"/>
            <w:vAlign w:val="bottom"/>
            <w:shd w:val="clear" w:color="auto" w:fill="E3E5F3"/>
          </w:tcPr>
          <w:p>
            <w:pPr>
              <w:spacing w:after="0"/>
              <w:rPr>
                <w:sz w:val="12"/>
                <w:szCs w:val="12"/>
                <w:color w:val="auto"/>
              </w:rPr>
            </w:pPr>
          </w:p>
        </w:tc>
        <w:tc>
          <w:tcPr>
            <w:tcW w:w="5580" w:type="dxa"/>
            <w:vAlign w:val="bottom"/>
            <w:shd w:val="clear" w:color="auto" w:fill="E3E5F3"/>
          </w:tcPr>
          <w:p>
            <w:pPr>
              <w:ind w:left="60"/>
              <w:spacing w:after="0"/>
              <w:rPr>
                <w:sz w:val="20"/>
                <w:szCs w:val="20"/>
                <w:color w:val="auto"/>
              </w:rPr>
            </w:pPr>
            <w:r>
              <w:rPr>
                <w:rFonts w:ascii="Arial" w:cs="Arial" w:eastAsia="Arial" w:hAnsi="Arial"/>
                <w:sz w:val="13"/>
                <w:szCs w:val="13"/>
                <w:color w:val="231F20"/>
              </w:rPr>
              <w:t>over the last seven years; and</w:t>
            </w:r>
          </w:p>
        </w:tc>
      </w:tr>
      <w:tr>
        <w:trPr>
          <w:trHeight w:val="156"/>
        </w:trPr>
        <w:tc>
          <w:tcPr>
            <w:tcW w:w="2340" w:type="dxa"/>
            <w:vAlign w:val="bottom"/>
          </w:tcPr>
          <w:p>
            <w:pPr>
              <w:spacing w:after="0"/>
              <w:rPr>
                <w:sz w:val="13"/>
                <w:szCs w:val="13"/>
                <w:color w:val="auto"/>
              </w:rPr>
            </w:pPr>
          </w:p>
        </w:tc>
        <w:tc>
          <w:tcPr>
            <w:tcW w:w="180" w:type="dxa"/>
            <w:vAlign w:val="bottom"/>
            <w:shd w:val="clear" w:color="auto" w:fill="E3E5F3"/>
          </w:tcPr>
          <w:p>
            <w:pPr>
              <w:ind w:left="80"/>
              <w:spacing w:after="0"/>
              <w:rPr>
                <w:sz w:val="20"/>
                <w:szCs w:val="20"/>
                <w:color w:val="auto"/>
              </w:rPr>
            </w:pPr>
            <w:r>
              <w:rPr>
                <w:rFonts w:ascii="Arial" w:cs="Arial" w:eastAsia="Arial" w:hAnsi="Arial"/>
                <w:sz w:val="13"/>
                <w:szCs w:val="13"/>
                <w:color w:val="2952A4"/>
              </w:rPr>
              <w:t>•</w:t>
            </w:r>
          </w:p>
        </w:tc>
        <w:tc>
          <w:tcPr>
            <w:tcW w:w="5580" w:type="dxa"/>
            <w:vAlign w:val="bottom"/>
            <w:shd w:val="clear" w:color="auto" w:fill="E3E5F3"/>
          </w:tcPr>
          <w:p>
            <w:pPr>
              <w:ind w:left="60"/>
              <w:spacing w:after="0"/>
              <w:rPr>
                <w:sz w:val="20"/>
                <w:szCs w:val="20"/>
                <w:color w:val="auto"/>
              </w:rPr>
            </w:pPr>
            <w:r>
              <w:rPr>
                <w:rFonts w:ascii="Arial" w:cs="Arial" w:eastAsia="Arial" w:hAnsi="Arial"/>
                <w:sz w:val="13"/>
                <w:szCs w:val="13"/>
                <w:color w:val="231F20"/>
              </w:rPr>
              <w:t>Introduce full-value awards for a portion of the annual equity awards to eligible  employees.</w:t>
            </w:r>
          </w:p>
        </w:tc>
      </w:tr>
      <w:tr>
        <w:trPr>
          <w:trHeight w:val="70"/>
        </w:trPr>
        <w:tc>
          <w:tcPr>
            <w:tcW w:w="2340" w:type="dxa"/>
            <w:vAlign w:val="bottom"/>
            <w:tcBorders>
              <w:bottom w:val="single" w:sz="8" w:color="58585A"/>
            </w:tcBorders>
          </w:tcPr>
          <w:p>
            <w:pPr>
              <w:spacing w:after="0"/>
              <w:rPr>
                <w:sz w:val="6"/>
                <w:szCs w:val="6"/>
                <w:color w:val="auto"/>
              </w:rPr>
            </w:pPr>
          </w:p>
        </w:tc>
        <w:tc>
          <w:tcPr>
            <w:tcW w:w="5760" w:type="dxa"/>
            <w:vAlign w:val="bottom"/>
            <w:tcBorders>
              <w:bottom w:val="single" w:sz="8" w:color="58585A"/>
            </w:tcBorders>
            <w:gridSpan w:val="2"/>
            <w:shd w:val="clear" w:color="auto" w:fill="E3E5F3"/>
          </w:tcPr>
          <w:p>
            <w:pPr>
              <w:spacing w:after="0"/>
              <w:rPr>
                <w:sz w:val="6"/>
                <w:szCs w:val="6"/>
                <w:color w:val="auto"/>
              </w:rPr>
            </w:pPr>
          </w:p>
        </w:tc>
      </w:tr>
      <w:tr>
        <w:trPr>
          <w:trHeight w:val="210"/>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Concern about compensation</w:t>
            </w: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31F20"/>
              </w:rPr>
              <w:t>Introduced a new compensation program for our non-employee directors and the Chairman of the</w:t>
            </w:r>
          </w:p>
        </w:tc>
      </w:tr>
      <w:tr>
        <w:trPr>
          <w:trHeight w:val="149"/>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program for non-employee</w:t>
            </w: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31F20"/>
              </w:rPr>
              <w:t>Board in November 2018. As a result:</w:t>
            </w:r>
          </w:p>
        </w:tc>
      </w:tr>
      <w:tr>
        <w:trPr>
          <w:trHeight w:val="148"/>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directors and the Chairman of the</w:t>
            </w: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Reduced by nearly 50% the grant date fair value of equity awards to both the non-employee</w:t>
            </w:r>
          </w:p>
        </w:tc>
      </w:tr>
      <w:tr>
        <w:trPr>
          <w:trHeight w:val="165"/>
        </w:trPr>
        <w:tc>
          <w:tcPr>
            <w:tcW w:w="2340" w:type="dxa"/>
            <w:vAlign w:val="bottom"/>
            <w:shd w:val="clear" w:color="auto" w:fill="EBECEC"/>
          </w:tcPr>
          <w:p>
            <w:pPr>
              <w:ind w:left="40"/>
              <w:spacing w:after="0"/>
              <w:rPr>
                <w:sz w:val="20"/>
                <w:szCs w:val="20"/>
                <w:color w:val="auto"/>
              </w:rPr>
            </w:pPr>
            <w:r>
              <w:rPr>
                <w:rFonts w:ascii="Arial" w:cs="Arial" w:eastAsia="Arial" w:hAnsi="Arial"/>
                <w:sz w:val="13"/>
                <w:szCs w:val="13"/>
                <w:b w:val="1"/>
                <w:bCs w:val="1"/>
                <w:color w:val="231F20"/>
              </w:rPr>
              <w:t>Board</w:t>
            </w:r>
          </w:p>
        </w:tc>
        <w:tc>
          <w:tcPr>
            <w:tcW w:w="180" w:type="dxa"/>
            <w:vAlign w:val="bottom"/>
            <w:shd w:val="clear" w:color="auto" w:fill="CBD0E8"/>
          </w:tcPr>
          <w:p>
            <w:pPr>
              <w:spacing w:after="0"/>
              <w:rPr>
                <w:sz w:val="14"/>
                <w:szCs w:val="14"/>
                <w:color w:val="auto"/>
              </w:rPr>
            </w:pPr>
          </w:p>
        </w:tc>
        <w:tc>
          <w:tcPr>
            <w:tcW w:w="5580" w:type="dxa"/>
            <w:vAlign w:val="bottom"/>
            <w:shd w:val="clear" w:color="auto" w:fill="CBD0E8"/>
          </w:tcPr>
          <w:p>
            <w:pPr>
              <w:ind w:left="60"/>
              <w:spacing w:after="0"/>
              <w:rPr>
                <w:sz w:val="20"/>
                <w:szCs w:val="20"/>
                <w:color w:val="auto"/>
              </w:rPr>
            </w:pPr>
            <w:r>
              <w:rPr>
                <w:rFonts w:ascii="Arial" w:cs="Arial" w:eastAsia="Arial" w:hAnsi="Arial"/>
                <w:sz w:val="13"/>
                <w:szCs w:val="13"/>
                <w:color w:val="231F20"/>
              </w:rPr>
              <w:t>directors and the Chairman of the Board (granted in January 2019 and  December 2018,</w:t>
            </w:r>
          </w:p>
        </w:tc>
      </w:tr>
      <w:tr>
        <w:trPr>
          <w:trHeight w:val="148"/>
        </w:trPr>
        <w:tc>
          <w:tcPr>
            <w:tcW w:w="2340" w:type="dxa"/>
            <w:vAlign w:val="bottom"/>
            <w:shd w:val="clear" w:color="auto" w:fill="EBECEC"/>
          </w:tcPr>
          <w:p>
            <w:pPr>
              <w:spacing w:after="0"/>
              <w:rPr>
                <w:sz w:val="12"/>
                <w:szCs w:val="12"/>
                <w:color w:val="auto"/>
              </w:rPr>
            </w:pPr>
          </w:p>
        </w:tc>
        <w:tc>
          <w:tcPr>
            <w:tcW w:w="180" w:type="dxa"/>
            <w:vAlign w:val="bottom"/>
            <w:shd w:val="clear" w:color="auto" w:fill="CBD0E8"/>
          </w:tcPr>
          <w:p>
            <w:pPr>
              <w:spacing w:after="0"/>
              <w:rPr>
                <w:sz w:val="12"/>
                <w:szCs w:val="12"/>
                <w:color w:val="auto"/>
              </w:rPr>
            </w:pPr>
          </w:p>
        </w:tc>
        <w:tc>
          <w:tcPr>
            <w:tcW w:w="5580" w:type="dxa"/>
            <w:vAlign w:val="bottom"/>
            <w:shd w:val="clear" w:color="auto" w:fill="CBD0E8"/>
          </w:tcPr>
          <w:p>
            <w:pPr>
              <w:ind w:left="60"/>
              <w:spacing w:after="0"/>
              <w:rPr>
                <w:sz w:val="20"/>
                <w:szCs w:val="20"/>
                <w:color w:val="auto"/>
              </w:rPr>
            </w:pPr>
            <w:r>
              <w:rPr>
                <w:rFonts w:ascii="Arial" w:cs="Arial" w:eastAsia="Arial" w:hAnsi="Arial"/>
                <w:sz w:val="13"/>
                <w:szCs w:val="13"/>
                <w:color w:val="231F20"/>
              </w:rPr>
              <w:t>respectively); and</w:t>
            </w:r>
          </w:p>
        </w:tc>
      </w:tr>
      <w:tr>
        <w:trPr>
          <w:trHeight w:val="156"/>
        </w:trPr>
        <w:tc>
          <w:tcPr>
            <w:tcW w:w="2340" w:type="dxa"/>
            <w:vAlign w:val="bottom"/>
            <w:shd w:val="clear" w:color="auto" w:fill="EBECEC"/>
          </w:tcPr>
          <w:p>
            <w:pPr>
              <w:spacing w:after="0"/>
              <w:rPr>
                <w:sz w:val="13"/>
                <w:szCs w:val="13"/>
                <w:color w:val="auto"/>
              </w:rPr>
            </w:pPr>
          </w:p>
        </w:tc>
        <w:tc>
          <w:tcPr>
            <w:tcW w:w="5760" w:type="dxa"/>
            <w:vAlign w:val="bottom"/>
            <w:gridSpan w:val="2"/>
            <w:shd w:val="clear" w:color="auto" w:fill="CBD0E8"/>
          </w:tcPr>
          <w:p>
            <w:pPr>
              <w:ind w:left="8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Introduced full-value awards (RSUs) as part of the non-employee director equity awards.</w:t>
            </w:r>
          </w:p>
        </w:tc>
      </w:tr>
      <w:tr>
        <w:trPr>
          <w:trHeight w:val="70"/>
        </w:trPr>
        <w:tc>
          <w:tcPr>
            <w:tcW w:w="2340" w:type="dxa"/>
            <w:vAlign w:val="bottom"/>
            <w:tcBorders>
              <w:bottom w:val="single" w:sz="8" w:color="2952A4"/>
            </w:tcBorders>
            <w:shd w:val="clear" w:color="auto" w:fill="EBECEC"/>
          </w:tcPr>
          <w:p>
            <w:pPr>
              <w:spacing w:after="0"/>
              <w:rPr>
                <w:sz w:val="6"/>
                <w:szCs w:val="6"/>
                <w:color w:val="auto"/>
              </w:rPr>
            </w:pPr>
          </w:p>
        </w:tc>
        <w:tc>
          <w:tcPr>
            <w:tcW w:w="180" w:type="dxa"/>
            <w:vAlign w:val="bottom"/>
            <w:tcBorders>
              <w:bottom w:val="single" w:sz="8" w:color="2952A4"/>
            </w:tcBorders>
            <w:shd w:val="clear" w:color="auto" w:fill="CBD0E8"/>
          </w:tcPr>
          <w:p>
            <w:pPr>
              <w:spacing w:after="0"/>
              <w:rPr>
                <w:sz w:val="6"/>
                <w:szCs w:val="6"/>
                <w:color w:val="auto"/>
              </w:rPr>
            </w:pPr>
          </w:p>
        </w:tc>
        <w:tc>
          <w:tcPr>
            <w:tcW w:w="5580" w:type="dxa"/>
            <w:vAlign w:val="bottom"/>
            <w:tcBorders>
              <w:bottom w:val="single" w:sz="8" w:color="2952A4"/>
            </w:tcBorders>
            <w:shd w:val="clear" w:color="auto" w:fill="CBD0E8"/>
          </w:tcPr>
          <w:p>
            <w:pPr>
              <w:spacing w:after="0"/>
              <w:rPr>
                <w:sz w:val="6"/>
                <w:szCs w:val="6"/>
                <w:color w:val="auto"/>
              </w:rPr>
            </w:pPr>
          </w:p>
        </w:tc>
      </w:tr>
    </w:tbl>
    <w:p>
      <w:pPr>
        <w:spacing w:after="0" w:line="99" w:lineRule="exact"/>
        <w:rPr>
          <w:sz w:val="20"/>
          <w:szCs w:val="20"/>
          <w:color w:val="auto"/>
        </w:rPr>
      </w:pPr>
    </w:p>
    <w:p>
      <w:pPr>
        <w:ind w:left="620" w:right="599" w:hanging="166"/>
        <w:spacing w:after="0" w:line="258" w:lineRule="auto"/>
        <w:tabs>
          <w:tab w:leader="none" w:pos="620" w:val="left"/>
        </w:tabs>
        <w:numPr>
          <w:ilvl w:val="0"/>
          <w:numId w:val="83"/>
        </w:numPr>
        <w:rPr>
          <w:rFonts w:ascii="Arial" w:cs="Arial" w:eastAsia="Arial" w:hAnsi="Arial"/>
          <w:sz w:val="14"/>
          <w:szCs w:val="14"/>
          <w:b w:val="1"/>
          <w:bCs w:val="1"/>
          <w:color w:val="231F20"/>
        </w:rPr>
      </w:pPr>
      <w:r>
        <w:rPr>
          <w:rFonts w:ascii="Arial" w:cs="Arial" w:eastAsia="Arial" w:hAnsi="Arial"/>
          <w:sz w:val="14"/>
          <w:szCs w:val="14"/>
          <w:color w:val="231F20"/>
        </w:rPr>
        <w:t>See “Compensation Discussion and Analysis – Components of Executive Pay: What We Pay and Why We Pay It – Annual Cash Incentives” for more information.</w:t>
      </w:r>
    </w:p>
    <w:p>
      <w:pPr>
        <w:spacing w:after="0" w:line="132" w:lineRule="exact"/>
        <w:rPr>
          <w:sz w:val="20"/>
          <w:szCs w:val="20"/>
          <w:color w:val="auto"/>
        </w:rPr>
      </w:pPr>
    </w:p>
    <w:p>
      <w:pPr>
        <w:jc w:val="both"/>
        <w:ind w:left="460" w:right="999"/>
        <w:spacing w:after="0" w:line="235" w:lineRule="auto"/>
        <w:rPr>
          <w:sz w:val="20"/>
          <w:szCs w:val="20"/>
          <w:color w:val="auto"/>
        </w:rPr>
      </w:pPr>
      <w:r>
        <w:rPr>
          <w:rFonts w:ascii="Arial" w:cs="Arial" w:eastAsia="Arial" w:hAnsi="Arial"/>
          <w:sz w:val="15"/>
          <w:szCs w:val="15"/>
          <w:color w:val="231F20"/>
        </w:rPr>
        <w:t>These are just the latest examples of how our compensation program is continually refined. See the subsection “Compensation Discussion and Analysis – Our Compensation Processes – Shareholder Input and Outreach” for additional information on changes recently adopted based on shareholder feedback.</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54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66" w:name="page67"/>
    <w:bookmarkEnd w:id="66"/>
    <w:p>
      <w:pPr>
        <w:ind w:left="518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Our Compensation Program Today: Aligning Pay and Performance</w:t>
      </w:r>
    </w:p>
    <w:p>
      <w:pPr>
        <w:spacing w:after="0" w:line="177" w:lineRule="exact"/>
        <w:rPr>
          <w:sz w:val="20"/>
          <w:szCs w:val="20"/>
          <w:color w:val="auto"/>
        </w:rPr>
      </w:pPr>
    </w:p>
    <w:p>
      <w:pPr>
        <w:ind w:left="1580" w:right="2320"/>
        <w:spacing w:after="0" w:line="242" w:lineRule="auto"/>
        <w:rPr>
          <w:sz w:val="20"/>
          <w:szCs w:val="20"/>
          <w:color w:val="auto"/>
        </w:rPr>
      </w:pPr>
      <w:r>
        <w:rPr>
          <w:rFonts w:ascii="Arial" w:cs="Arial" w:eastAsia="Arial" w:hAnsi="Arial"/>
          <w:sz w:val="15"/>
          <w:szCs w:val="15"/>
          <w:color w:val="231F20"/>
        </w:rPr>
        <w:t>We believe that our compensation program today is effective and aligns with our culture, pay philosophy, and shareholder input and interests.</w:t>
      </w:r>
    </w:p>
    <w:p>
      <w:pPr>
        <w:spacing w:after="0" w:line="120" w:lineRule="exact"/>
        <w:rPr>
          <w:sz w:val="20"/>
          <w:szCs w:val="20"/>
          <w:color w:val="auto"/>
        </w:rPr>
      </w:pPr>
    </w:p>
    <w:p>
      <w:pPr>
        <w:ind w:left="1580" w:right="1780"/>
        <w:spacing w:after="0" w:line="244" w:lineRule="auto"/>
        <w:rPr>
          <w:sz w:val="20"/>
          <w:szCs w:val="20"/>
          <w:color w:val="auto"/>
        </w:rPr>
      </w:pPr>
      <w:r>
        <w:rPr>
          <w:rFonts w:ascii="Arial" w:cs="Arial" w:eastAsia="Arial" w:hAnsi="Arial"/>
          <w:sz w:val="15"/>
          <w:szCs w:val="15"/>
          <w:b w:val="1"/>
          <w:bCs w:val="1"/>
          <w:i w:val="1"/>
          <w:iCs w:val="1"/>
          <w:color w:val="231F20"/>
        </w:rPr>
        <w:t xml:space="preserve">Significant Performance-Based (“At-risk”) Pay: </w:t>
      </w:r>
      <w:r>
        <w:rPr>
          <w:rFonts w:ascii="Arial" w:cs="Arial" w:eastAsia="Arial" w:hAnsi="Arial"/>
          <w:sz w:val="15"/>
          <w:szCs w:val="15"/>
          <w:color w:val="231F20"/>
        </w:rPr>
        <w:t>At-risk pay accounts for a high proportion of compensation for our</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NEOs and other senior executives, which has been a consistent and defining feature of our program. For our CEO,</w:t>
      </w:r>
    </w:p>
    <w:p>
      <w:pPr>
        <w:spacing w:after="0" w:line="1" w:lineRule="exact"/>
        <w:rPr>
          <w:sz w:val="20"/>
          <w:szCs w:val="20"/>
          <w:color w:val="auto"/>
        </w:rPr>
      </w:pPr>
    </w:p>
    <w:p>
      <w:pPr>
        <w:ind w:left="1580" w:right="1960"/>
        <w:spacing w:after="0" w:line="220" w:lineRule="auto"/>
        <w:rPr>
          <w:sz w:val="20"/>
          <w:szCs w:val="20"/>
          <w:color w:val="auto"/>
        </w:rPr>
      </w:pPr>
      <w:r>
        <w:rPr>
          <w:rFonts w:ascii="Arial" w:cs="Arial" w:eastAsia="Arial" w:hAnsi="Arial"/>
          <w:sz w:val="15"/>
          <w:szCs w:val="15"/>
          <w:color w:val="231F20"/>
        </w:rPr>
        <w:t>over 93% of his direct pay</w:t>
      </w:r>
      <w:r>
        <w:rPr>
          <w:rFonts w:ascii="Arial" w:cs="Arial" w:eastAsia="Arial" w:hAnsi="Arial"/>
          <w:sz w:val="25"/>
          <w:szCs w:val="25"/>
          <w:color w:val="231F20"/>
          <w:vertAlign w:val="superscript"/>
        </w:rPr>
        <w:t>5</w:t>
      </w:r>
      <w:r>
        <w:rPr>
          <w:rFonts w:ascii="Arial" w:cs="Arial" w:eastAsia="Arial" w:hAnsi="Arial"/>
          <w:sz w:val="15"/>
          <w:szCs w:val="15"/>
          <w:color w:val="231F20"/>
        </w:rPr>
        <w:t xml:space="preserve"> is at-risk and directly correlated to performance; in contrast, the average percentage of CEO at-risk compensation in our Peer Group is significantly lower, at 86%.</w:t>
      </w:r>
      <w:r>
        <w:rPr>
          <w:rFonts w:ascii="Arial" w:cs="Arial" w:eastAsia="Arial" w:hAnsi="Arial"/>
          <w:sz w:val="25"/>
          <w:szCs w:val="25"/>
          <w:color w:val="231F20"/>
          <w:vertAlign w:val="superscript"/>
        </w:rPr>
        <w:t>6</w:t>
      </w:r>
    </w:p>
    <w:p>
      <w:pPr>
        <w:spacing w:after="0" w:line="12" w:lineRule="exact"/>
        <w:rPr>
          <w:sz w:val="20"/>
          <w:szCs w:val="20"/>
          <w:color w:val="auto"/>
        </w:rPr>
      </w:pPr>
    </w:p>
    <w:p>
      <w:pPr>
        <w:ind w:left="1580" w:right="1800"/>
        <w:spacing w:after="0" w:line="246" w:lineRule="auto"/>
        <w:rPr>
          <w:sz w:val="20"/>
          <w:szCs w:val="20"/>
          <w:color w:val="auto"/>
        </w:rPr>
      </w:pPr>
      <w:r>
        <w:rPr>
          <w:rFonts w:ascii="Arial" w:cs="Arial" w:eastAsia="Arial" w:hAnsi="Arial"/>
          <w:sz w:val="15"/>
          <w:szCs w:val="15"/>
          <w:b w:val="1"/>
          <w:bCs w:val="1"/>
          <w:i w:val="1"/>
          <w:iCs w:val="1"/>
          <w:color w:val="231F20"/>
        </w:rPr>
        <w:t xml:space="preserve">Use of PSUs for CEO and CSO: </w:t>
      </w:r>
      <w:r>
        <w:rPr>
          <w:rFonts w:ascii="Arial" w:cs="Arial" w:eastAsia="Arial" w:hAnsi="Arial"/>
          <w:sz w:val="15"/>
          <w:szCs w:val="15"/>
          <w:color w:val="231F20"/>
        </w:rPr>
        <w:t>As discussed above, in 2019 we introduced long-term PSUs to account for 30% of</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the annual equity awards of our CEO and CSO, which we believe will further incentivize our top executives to drive long-term, sustainable, and exceptional shareholder value creation.</w:t>
      </w:r>
    </w:p>
    <w:p>
      <w:pPr>
        <w:spacing w:after="0" w:line="118" w:lineRule="exact"/>
        <w:rPr>
          <w:sz w:val="20"/>
          <w:szCs w:val="20"/>
          <w:color w:val="auto"/>
        </w:rPr>
      </w:pPr>
    </w:p>
    <w:p>
      <w:pPr>
        <w:ind w:left="1580" w:right="1680"/>
        <w:spacing w:after="0" w:line="233" w:lineRule="auto"/>
        <w:rPr>
          <w:sz w:val="20"/>
          <w:szCs w:val="20"/>
          <w:color w:val="auto"/>
        </w:rPr>
      </w:pPr>
      <w:r>
        <w:rPr>
          <w:rFonts w:ascii="Arial" w:cs="Arial" w:eastAsia="Arial" w:hAnsi="Arial"/>
          <w:sz w:val="15"/>
          <w:szCs w:val="15"/>
          <w:b w:val="1"/>
          <w:bCs w:val="1"/>
          <w:i w:val="1"/>
          <w:iCs w:val="1"/>
          <w:color w:val="231F20"/>
        </w:rPr>
        <w:t xml:space="preserve">Continual Management of Dilution: </w:t>
      </w:r>
      <w:r>
        <w:rPr>
          <w:rFonts w:ascii="Arial" w:cs="Arial" w:eastAsia="Arial" w:hAnsi="Arial"/>
          <w:sz w:val="15"/>
          <w:szCs w:val="15"/>
          <w:color w:val="231F20"/>
        </w:rPr>
        <w:t>Over the last seven years, we have managed dilution from equity compensation</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by (i) reducing by nearly 60% the number of shares underlying the annual equity awards of our eligible employees, including our CEO; and (ii) adding time-based RSAs/RSUs to the annual long-term incentive mix for our employees (other than those receiving PSUs). Thanks to these measures, 2019 burn rate was at the lowest level in the last seven years. We did this while still maintaining our all-employee equity award strategy and concurrently creating over 6,000</w:t>
      </w:r>
    </w:p>
    <w:p>
      <w:pPr>
        <w:ind w:left="1580"/>
        <w:spacing w:after="0"/>
        <w:rPr>
          <w:sz w:val="20"/>
          <w:szCs w:val="20"/>
          <w:color w:val="auto"/>
        </w:rPr>
      </w:pPr>
      <w:r>
        <w:rPr>
          <w:rFonts w:ascii="Arial" w:cs="Arial" w:eastAsia="Arial" w:hAnsi="Arial"/>
          <w:sz w:val="15"/>
          <w:szCs w:val="15"/>
          <w:color w:val="231F20"/>
        </w:rPr>
        <w:t>new full-time jobs.</w:t>
      </w:r>
      <w:r>
        <w:rPr>
          <w:rFonts w:ascii="Arial" w:cs="Arial" w:eastAsia="Arial" w:hAnsi="Arial"/>
          <w:sz w:val="25"/>
          <w:szCs w:val="25"/>
          <w:color w:val="231F20"/>
          <w:vertAlign w:val="superscript"/>
        </w:rPr>
        <w:t>7</w:t>
      </w:r>
    </w:p>
    <w:p>
      <w:pPr>
        <w:spacing w:after="0" w:line="67" w:lineRule="exact"/>
        <w:rPr>
          <w:sz w:val="20"/>
          <w:szCs w:val="20"/>
          <w:color w:val="auto"/>
        </w:rPr>
      </w:pPr>
    </w:p>
    <w:p>
      <w:pPr>
        <w:ind w:left="1580" w:right="1760"/>
        <w:spacing w:after="0" w:line="225" w:lineRule="auto"/>
        <w:rPr>
          <w:sz w:val="20"/>
          <w:szCs w:val="20"/>
          <w:color w:val="auto"/>
        </w:rPr>
      </w:pPr>
      <w:r>
        <w:rPr>
          <w:rFonts w:ascii="Arial" w:cs="Arial" w:eastAsia="Arial" w:hAnsi="Arial"/>
          <w:sz w:val="15"/>
          <w:szCs w:val="15"/>
          <w:color w:val="231F20"/>
        </w:rPr>
        <w:t>In the last decade, we sought shareholder approval of additional shares for our long-term incentive plans three times. Each time, we requested the same number of shares – 12 million – and lived up to our commitment not to seek additional shares earlier than three years following approval. Once again, we are asking shareholders to approve</w:t>
      </w:r>
    </w:p>
    <w:p>
      <w:pPr>
        <w:spacing w:after="0" w:line="1" w:lineRule="exact"/>
        <w:rPr>
          <w:sz w:val="20"/>
          <w:szCs w:val="20"/>
          <w:color w:val="auto"/>
        </w:rPr>
      </w:pPr>
    </w:p>
    <w:p>
      <w:pPr>
        <w:ind w:left="1580" w:right="1740"/>
        <w:spacing w:after="0" w:line="242" w:lineRule="auto"/>
        <w:rPr>
          <w:sz w:val="20"/>
          <w:szCs w:val="20"/>
          <w:color w:val="auto"/>
        </w:rPr>
      </w:pPr>
      <w:r>
        <w:rPr>
          <w:rFonts w:ascii="Arial" w:cs="Arial" w:eastAsia="Arial" w:hAnsi="Arial"/>
          <w:sz w:val="15"/>
          <w:szCs w:val="15"/>
          <w:color w:val="231F20"/>
        </w:rPr>
        <w:t>12 million additional shares for equity grants and are committed to ensuring that shares available under our long-term incentive plan will be sufficient for at least three years.</w:t>
      </w:r>
    </w:p>
    <w:p>
      <w:pPr>
        <w:spacing w:after="0" w:line="120"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C04C57"/>
        </w:rPr>
        <w:t>Regeneron Stock Utilization vs.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64770</wp:posOffset>
            </wp:positionV>
            <wp:extent cx="5083175" cy="14573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83175" cy="1457325"/>
                    </a:xfrm>
                    <a:prstGeom prst="rect">
                      <a:avLst/>
                    </a:prstGeom>
                    <a:noFill/>
                  </pic:spPr>
                </pic:pic>
              </a:graphicData>
            </a:graphic>
          </wp:anchor>
        </w:drawing>
      </w:r>
    </w:p>
    <w:p>
      <w:pPr>
        <w:spacing w:after="0" w:line="153" w:lineRule="exact"/>
        <w:rPr>
          <w:sz w:val="20"/>
          <w:szCs w:val="20"/>
          <w:color w:val="auto"/>
        </w:rPr>
      </w:pPr>
    </w:p>
    <w:p>
      <w:pPr>
        <w:ind w:left="7220"/>
        <w:spacing w:after="0"/>
        <w:rPr>
          <w:sz w:val="20"/>
          <w:szCs w:val="20"/>
          <w:color w:val="auto"/>
        </w:rPr>
      </w:pPr>
      <w:r>
        <w:rPr>
          <w:rFonts w:ascii="Arial" w:cs="Arial" w:eastAsia="Arial" w:hAnsi="Arial"/>
          <w:sz w:val="19"/>
          <w:szCs w:val="19"/>
          <w:b w:val="1"/>
          <w:bCs w:val="1"/>
          <w:color w:val="2952A4"/>
        </w:rPr>
        <w:t>Regeneron’s 2019 burn</w:t>
      </w:r>
    </w:p>
    <w:p>
      <w:pPr>
        <w:spacing w:after="0" w:line="19" w:lineRule="exact"/>
        <w:rPr>
          <w:sz w:val="20"/>
          <w:szCs w:val="20"/>
          <w:color w:val="auto"/>
        </w:rPr>
      </w:pPr>
    </w:p>
    <w:p>
      <w:pPr>
        <w:ind w:left="7220"/>
        <w:spacing w:after="0"/>
        <w:rPr>
          <w:sz w:val="20"/>
          <w:szCs w:val="20"/>
          <w:color w:val="auto"/>
        </w:rPr>
      </w:pPr>
      <w:r>
        <w:rPr>
          <w:rFonts w:ascii="Arial" w:cs="Arial" w:eastAsia="Arial" w:hAnsi="Arial"/>
          <w:sz w:val="19"/>
          <w:szCs w:val="19"/>
          <w:b w:val="1"/>
          <w:bCs w:val="1"/>
          <w:color w:val="2952A4"/>
        </w:rPr>
        <w:t>rate was at the lowest</w:t>
      </w:r>
    </w:p>
    <w:p>
      <w:pPr>
        <w:ind w:left="7220"/>
        <w:spacing w:after="0" w:line="237" w:lineRule="auto"/>
        <w:rPr>
          <w:sz w:val="20"/>
          <w:szCs w:val="20"/>
          <w:color w:val="auto"/>
        </w:rPr>
      </w:pPr>
      <w:r>
        <w:rPr>
          <w:rFonts w:ascii="Arial" w:cs="Arial" w:eastAsia="Arial" w:hAnsi="Arial"/>
          <w:sz w:val="19"/>
          <w:szCs w:val="19"/>
          <w:b w:val="1"/>
          <w:bCs w:val="1"/>
          <w:color w:val="2952A4"/>
        </w:rPr>
        <w:t>level in the last seven</w:t>
      </w:r>
    </w:p>
    <w:p>
      <w:pPr>
        <w:ind w:left="7220"/>
        <w:spacing w:after="0"/>
        <w:rPr>
          <w:sz w:val="20"/>
          <w:szCs w:val="20"/>
          <w:color w:val="auto"/>
        </w:rPr>
      </w:pPr>
      <w:r>
        <w:rPr>
          <w:rFonts w:ascii="Arial" w:cs="Arial" w:eastAsia="Arial" w:hAnsi="Arial"/>
          <w:sz w:val="19"/>
          <w:szCs w:val="19"/>
          <w:b w:val="1"/>
          <w:bCs w:val="1"/>
          <w:color w:val="2952A4"/>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1052830</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740" w:right="1580" w:hanging="166"/>
        <w:spacing w:after="0" w:line="246" w:lineRule="auto"/>
        <w:tabs>
          <w:tab w:leader="none" w:pos="1740" w:val="left"/>
        </w:tabs>
        <w:numPr>
          <w:ilvl w:val="0"/>
          <w:numId w:val="84"/>
        </w:numPr>
        <w:rPr>
          <w:rFonts w:ascii="Arial" w:cs="Arial" w:eastAsia="Arial" w:hAnsi="Arial"/>
          <w:sz w:val="14"/>
          <w:szCs w:val="14"/>
          <w:color w:val="231F20"/>
        </w:rPr>
      </w:pPr>
      <w:r>
        <w:rPr>
          <w:rFonts w:ascii="Arial" w:cs="Arial" w:eastAsia="Arial" w:hAnsi="Arial"/>
          <w:sz w:val="14"/>
          <w:szCs w:val="14"/>
          <w:color w:val="231F20"/>
        </w:rPr>
        <w:t>Burn rate calculated by dividing the number of shares subject to equity awards (stock options, RSAs, and RSUs) granted during the year by the basic weighted-average number of shares of common stock and Class A stock outstanding during the year. PSUs are to be reflected in the burn rate calculation for the year in which they are earned and, therefore, do not impact the burn rate shown in the chart. Headcount numbers based on the number of employees as of December 31 of the applicable year.</w:t>
      </w:r>
    </w:p>
    <w:p>
      <w:pPr>
        <w:spacing w:after="0" w:line="286" w:lineRule="exact"/>
        <w:rPr>
          <w:sz w:val="20"/>
          <w:szCs w:val="20"/>
          <w:color w:val="auto"/>
        </w:rPr>
      </w:pPr>
    </w:p>
    <w:p>
      <w:pPr>
        <w:ind w:left="1580" w:right="1820"/>
        <w:spacing w:after="0" w:line="239" w:lineRule="auto"/>
        <w:rPr>
          <w:sz w:val="20"/>
          <w:szCs w:val="20"/>
          <w:color w:val="auto"/>
        </w:rPr>
      </w:pPr>
      <w:r>
        <w:rPr>
          <w:rFonts w:ascii="Arial" w:cs="Arial" w:eastAsia="Arial" w:hAnsi="Arial"/>
          <w:sz w:val="15"/>
          <w:szCs w:val="15"/>
          <w:b w:val="1"/>
          <w:bCs w:val="1"/>
          <w:i w:val="1"/>
          <w:iCs w:val="1"/>
          <w:color w:val="231F20"/>
        </w:rPr>
        <w:t xml:space="preserve">Alignment of Pay with Performance: </w:t>
      </w:r>
      <w:r>
        <w:rPr>
          <w:rFonts w:ascii="Arial" w:cs="Arial" w:eastAsia="Arial" w:hAnsi="Arial"/>
          <w:sz w:val="15"/>
          <w:szCs w:val="15"/>
          <w:color w:val="231F20"/>
        </w:rPr>
        <w:t>As stock options comprise most of our CEO’s reported compensation and do</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not provide value unless there is positive shareholder return, such compensation is closely aligned with the Company’s performance. The charts below illustrate this alignment based on both (i) the as-reported grant date fair value and (ii) a realizable pay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24" w:lineRule="exact"/>
        <w:rPr>
          <w:sz w:val="20"/>
          <w:szCs w:val="20"/>
          <w:color w:val="auto"/>
        </w:rPr>
      </w:pPr>
    </w:p>
    <w:p>
      <w:pPr>
        <w:ind w:left="1740" w:right="1740" w:hanging="166"/>
        <w:spacing w:after="0" w:line="249" w:lineRule="auto"/>
        <w:tabs>
          <w:tab w:leader="none" w:pos="1740" w:val="left"/>
        </w:tabs>
        <w:numPr>
          <w:ilvl w:val="0"/>
          <w:numId w:val="85"/>
        </w:numPr>
        <w:rPr>
          <w:rFonts w:ascii="Arial" w:cs="Arial" w:eastAsia="Arial" w:hAnsi="Arial"/>
          <w:sz w:val="14"/>
          <w:szCs w:val="14"/>
          <w:b w:val="1"/>
          <w:bCs w:val="1"/>
          <w:color w:val="2952A4"/>
        </w:rPr>
      </w:pPr>
      <w:r>
        <w:rPr>
          <w:rFonts w:ascii="Arial" w:cs="Arial" w:eastAsia="Arial" w:hAnsi="Arial"/>
          <w:sz w:val="14"/>
          <w:szCs w:val="14"/>
          <w:color w:val="231F20"/>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w:t>
      </w:r>
    </w:p>
    <w:p>
      <w:pPr>
        <w:spacing w:after="0" w:line="39" w:lineRule="exact"/>
        <w:rPr>
          <w:sz w:val="20"/>
          <w:szCs w:val="20"/>
          <w:color w:val="auto"/>
        </w:rPr>
      </w:pPr>
    </w:p>
    <w:p>
      <w:pPr>
        <w:jc w:val="both"/>
        <w:ind w:left="1740" w:right="1840" w:hanging="166"/>
        <w:spacing w:after="0" w:line="249" w:lineRule="auto"/>
        <w:tabs>
          <w:tab w:leader="none" w:pos="1740" w:val="left"/>
        </w:tabs>
        <w:numPr>
          <w:ilvl w:val="0"/>
          <w:numId w:val="86"/>
        </w:numPr>
        <w:rPr>
          <w:rFonts w:ascii="Arial" w:cs="Arial" w:eastAsia="Arial" w:hAnsi="Arial"/>
          <w:sz w:val="14"/>
          <w:szCs w:val="14"/>
          <w:b w:val="1"/>
          <w:bCs w:val="1"/>
          <w:color w:val="2952A4"/>
        </w:rPr>
      </w:pPr>
      <w:r>
        <w:rPr>
          <w:rFonts w:ascii="Arial" w:cs="Arial" w:eastAsia="Arial" w:hAnsi="Arial"/>
          <w:sz w:val="14"/>
          <w:szCs w:val="14"/>
          <w:color w:val="231F20"/>
        </w:rPr>
        <w:t>Based on the Peer Group median for each compensation component (using data reported for 2018). See the subsection “Compensation Discussion and Analysis – Our Compensation Processes — Peer Data” below for a list of the companies included in our Peer Group.</w:t>
      </w:r>
    </w:p>
    <w:p>
      <w:pPr>
        <w:spacing w:after="0" w:line="39" w:lineRule="exact"/>
        <w:rPr>
          <w:sz w:val="20"/>
          <w:szCs w:val="20"/>
          <w:color w:val="auto"/>
        </w:rPr>
      </w:pPr>
    </w:p>
    <w:p>
      <w:pPr>
        <w:ind w:left="1740" w:hanging="166"/>
        <w:spacing w:after="0"/>
        <w:tabs>
          <w:tab w:leader="none" w:pos="1740" w:val="left"/>
        </w:tabs>
        <w:numPr>
          <w:ilvl w:val="0"/>
          <w:numId w:val="87"/>
        </w:numPr>
        <w:rPr>
          <w:rFonts w:ascii="Arial" w:cs="Arial" w:eastAsia="Arial" w:hAnsi="Arial"/>
          <w:sz w:val="14"/>
          <w:szCs w:val="14"/>
          <w:b w:val="1"/>
          <w:bCs w:val="1"/>
          <w:color w:val="2952A4"/>
        </w:rPr>
      </w:pPr>
      <w:r>
        <w:rPr>
          <w:rFonts w:ascii="Arial" w:cs="Arial" w:eastAsia="Arial" w:hAnsi="Arial"/>
          <w:sz w:val="14"/>
          <w:szCs w:val="14"/>
          <w:color w:val="231F20"/>
        </w:rPr>
        <w:t>In 2019, we added 730 new jobs and yet reduced the burn rate for that year by 1.1%, from 4.7% to 3.6%.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55</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67" w:name="page68"/>
    <w:bookmarkEnd w:id="67"/>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93" w:lineRule="exact"/>
        <w:rPr>
          <w:sz w:val="20"/>
          <w:szCs w:val="20"/>
          <w:color w:val="auto"/>
        </w:rPr>
      </w:pPr>
    </w:p>
    <w:p>
      <w:pPr>
        <w:ind w:left="720" w:right="719" w:hanging="266"/>
        <w:spacing w:after="0" w:line="285" w:lineRule="auto"/>
        <w:tabs>
          <w:tab w:leader="none" w:pos="720" w:val="left"/>
        </w:tabs>
        <w:numPr>
          <w:ilvl w:val="0"/>
          <w:numId w:val="88"/>
        </w:numPr>
        <w:rPr>
          <w:rFonts w:ascii="Arial" w:cs="Arial" w:eastAsia="Arial" w:hAnsi="Arial"/>
          <w:sz w:val="14"/>
          <w:szCs w:val="14"/>
          <w:b w:val="1"/>
          <w:bCs w:val="1"/>
          <w:color w:val="2952A4"/>
        </w:rPr>
      </w:pPr>
      <w:r>
        <w:rPr>
          <w:rFonts w:ascii="Arial" w:cs="Arial" w:eastAsia="Arial" w:hAnsi="Arial"/>
          <w:sz w:val="14"/>
          <w:szCs w:val="14"/>
          <w:b w:val="1"/>
          <w:bCs w:val="1"/>
          <w:color w:val="2952A4"/>
        </w:rPr>
        <w:t xml:space="preserve">Alignment Based on Grant Date Fair Value. </w:t>
      </w:r>
      <w:r>
        <w:rPr>
          <w:rFonts w:ascii="Arial" w:cs="Arial" w:eastAsia="Arial" w:hAnsi="Arial"/>
          <w:sz w:val="14"/>
          <w:szCs w:val="14"/>
          <w:color w:val="231F20"/>
        </w:rPr>
        <w:t>Over the last five years, our CEO’s total direct compensation tracked our</w:t>
      </w:r>
      <w:r>
        <w:rPr>
          <w:rFonts w:ascii="Arial" w:cs="Arial" w:eastAsia="Arial" w:hAnsi="Arial"/>
          <w:sz w:val="14"/>
          <w:szCs w:val="14"/>
          <w:b w:val="1"/>
          <w:bCs w:val="1"/>
          <w:color w:val="2952A4"/>
        </w:rPr>
        <w:t xml:space="preserve"> </w:t>
      </w:r>
      <w:r>
        <w:rPr>
          <w:rFonts w:ascii="Arial" w:cs="Arial" w:eastAsia="Arial" w:hAnsi="Arial"/>
          <w:sz w:val="14"/>
          <w:szCs w:val="14"/>
          <w:color w:val="231F20"/>
        </w:rPr>
        <w:t>TSR, as shown below.</w:t>
      </w:r>
    </w:p>
    <w:p>
      <w:pPr>
        <w:spacing w:after="0" w:line="94" w:lineRule="exact"/>
        <w:rPr>
          <w:rFonts w:ascii="Arial" w:cs="Arial" w:eastAsia="Arial" w:hAnsi="Arial"/>
          <w:sz w:val="14"/>
          <w:szCs w:val="14"/>
          <w:b w:val="1"/>
          <w:bCs w:val="1"/>
          <w:color w:val="2952A4"/>
        </w:rPr>
      </w:pPr>
    </w:p>
    <w:p>
      <w:pPr>
        <w:ind w:left="720" w:right="5339"/>
        <w:spacing w:after="0" w:line="246" w:lineRule="auto"/>
        <w:rPr>
          <w:rFonts w:ascii="Arial" w:cs="Arial" w:eastAsia="Arial" w:hAnsi="Arial"/>
          <w:sz w:val="14"/>
          <w:szCs w:val="14"/>
          <w:b w:val="1"/>
          <w:bCs w:val="1"/>
          <w:color w:val="2952A4"/>
        </w:rPr>
      </w:pPr>
      <w:r>
        <w:rPr>
          <w:rFonts w:ascii="Arial" w:cs="Arial" w:eastAsia="Arial" w:hAnsi="Arial"/>
          <w:sz w:val="13"/>
          <w:szCs w:val="13"/>
          <w:b w:val="1"/>
          <w:bCs w:val="1"/>
          <w:color w:val="C04C57"/>
        </w:rPr>
        <w:t>CEO Total Direct Compensation vs. Indexed TSR*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1680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right="779" w:hanging="166"/>
        <w:spacing w:after="0" w:line="249" w:lineRule="auto"/>
        <w:tabs>
          <w:tab w:leader="none" w:pos="620" w:val="left"/>
        </w:tabs>
        <w:numPr>
          <w:ilvl w:val="0"/>
          <w:numId w:val="89"/>
        </w:numPr>
        <w:rPr>
          <w:rFonts w:ascii="Arial" w:cs="Arial" w:eastAsia="Arial" w:hAnsi="Arial"/>
          <w:sz w:val="14"/>
          <w:szCs w:val="14"/>
          <w:color w:val="231F20"/>
        </w:rPr>
      </w:pPr>
      <w:r>
        <w:rPr>
          <w:rFonts w:ascii="Arial" w:cs="Arial" w:eastAsia="Arial" w:hAnsi="Arial"/>
          <w:sz w:val="14"/>
          <w:szCs w:val="14"/>
          <w:color w:val="231F20"/>
        </w:rPr>
        <w:t>“Total direct compensation” or “TDC” means total compensation as reported in the Summary Compensation Table in the applicable proxy statement (other than amounts reported as “All other compensation”). “Indexed TSR” in the period presented in this chart is expressed as a percentage of the closing price of our common stock on 12/31/2015.</w:t>
      </w:r>
    </w:p>
    <w:p>
      <w:pPr>
        <w:spacing w:after="0" w:line="121" w:lineRule="exact"/>
        <w:rPr>
          <w:sz w:val="20"/>
          <w:szCs w:val="20"/>
          <w:color w:val="auto"/>
        </w:rPr>
      </w:pPr>
    </w:p>
    <w:p>
      <w:pPr>
        <w:ind w:left="720" w:right="479" w:hanging="266"/>
        <w:spacing w:after="0" w:line="232" w:lineRule="auto"/>
        <w:tabs>
          <w:tab w:leader="none" w:pos="720" w:val="left"/>
        </w:tabs>
        <w:numPr>
          <w:ilvl w:val="0"/>
          <w:numId w:val="90"/>
        </w:numPr>
        <w:rPr>
          <w:rFonts w:ascii="Arial" w:cs="Arial" w:eastAsia="Arial" w:hAnsi="Arial"/>
          <w:sz w:val="15"/>
          <w:szCs w:val="15"/>
          <w:b w:val="1"/>
          <w:bCs w:val="1"/>
          <w:color w:val="2952A4"/>
        </w:rPr>
      </w:pPr>
      <w:r>
        <w:rPr>
          <w:rFonts w:ascii="Arial" w:cs="Arial" w:eastAsia="Arial" w:hAnsi="Arial"/>
          <w:sz w:val="15"/>
          <w:szCs w:val="15"/>
          <w:b w:val="1"/>
          <w:bCs w:val="1"/>
          <w:color w:val="2952A4"/>
        </w:rPr>
        <w:t xml:space="preserve">Alignment Based on Realizable Pay. </w:t>
      </w:r>
      <w:r>
        <w:rPr>
          <w:rFonts w:ascii="Arial" w:cs="Arial" w:eastAsia="Arial" w:hAnsi="Arial"/>
          <w:sz w:val="15"/>
          <w:szCs w:val="15"/>
          <w:color w:val="231F20"/>
        </w:rPr>
        <w:t>Our CEO’s realized/realizable pay from compensation awarded over the last</w:t>
      </w:r>
      <w:r>
        <w:rPr>
          <w:rFonts w:ascii="Arial" w:cs="Arial" w:eastAsia="Arial" w:hAnsi="Arial"/>
          <w:sz w:val="15"/>
          <w:szCs w:val="15"/>
          <w:b w:val="1"/>
          <w:bCs w:val="1"/>
          <w:color w:val="2952A4"/>
        </w:rPr>
        <w:t xml:space="preserve"> </w:t>
      </w:r>
      <w:r>
        <w:rPr>
          <w:rFonts w:ascii="Arial" w:cs="Arial" w:eastAsia="Arial" w:hAnsi="Arial"/>
          <w:sz w:val="15"/>
          <w:szCs w:val="15"/>
          <w:color w:val="231F20"/>
        </w:rPr>
        <w:t>five years was significantly lower than the values reported for that compensation ($20.3 million of realized/realizable pay versus $148.0 million of reported value). Nearly all of the realized/realizable value was from salary and bonus because there was almost no value provided from equity awards granted during this five-year period. The chart below compares the aggregate, as-reported value of our CEO’s total direct compensation over the last five years with his realized/realizable pay during the same period. We believe this demonstrates that our CEO compensation design rewards performance and, conversely, limits payouts in respect of periods with flat or negative TSR (as was the case in the period depicted below).</w:t>
      </w:r>
    </w:p>
    <w:p>
      <w:pPr>
        <w:spacing w:after="0" w:line="124" w:lineRule="exact"/>
        <w:rPr>
          <w:sz w:val="20"/>
          <w:szCs w:val="20"/>
          <w:color w:val="auto"/>
        </w:rPr>
      </w:pPr>
    </w:p>
    <w:p>
      <w:pPr>
        <w:ind w:left="720" w:right="3659"/>
        <w:spacing w:after="0" w:line="246" w:lineRule="auto"/>
        <w:rPr>
          <w:sz w:val="20"/>
          <w:szCs w:val="20"/>
          <w:color w:val="auto"/>
        </w:rPr>
      </w:pPr>
      <w:r>
        <w:rPr>
          <w:rFonts w:ascii="Arial" w:cs="Arial" w:eastAsia="Arial" w:hAnsi="Arial"/>
          <w:sz w:val="13"/>
          <w:szCs w:val="13"/>
          <w:b w:val="1"/>
          <w:bCs w:val="1"/>
          <w:color w:val="C04C57"/>
        </w:rPr>
        <w:t>Five-Year CEO Total Direct Compensation – Reported vs. Realized/Realizable*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17316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0" w:right="519" w:hanging="166"/>
        <w:spacing w:after="0" w:line="245" w:lineRule="auto"/>
        <w:tabs>
          <w:tab w:leader="none" w:pos="620" w:val="left"/>
        </w:tabs>
        <w:numPr>
          <w:ilvl w:val="0"/>
          <w:numId w:val="91"/>
        </w:numPr>
        <w:rPr>
          <w:rFonts w:ascii="Arial" w:cs="Arial" w:eastAsia="Arial" w:hAnsi="Arial"/>
          <w:sz w:val="14"/>
          <w:szCs w:val="14"/>
          <w:color w:val="231F20"/>
        </w:rPr>
      </w:pPr>
      <w:r>
        <w:rPr>
          <w:rFonts w:ascii="Arial" w:cs="Arial" w:eastAsia="Arial" w:hAnsi="Arial"/>
          <w:sz w:val="14"/>
          <w:szCs w:val="14"/>
          <w:color w:val="231F20"/>
        </w:rPr>
        <w:t>“Realized/realizable pay” means, for any measurement period, the sum of the (i) as-reported base salaries and annual cash incentives paid during such period, (ii) amounts realized as a result of the exercise of stock options awarded during such period, and (iii) amounts that could have been realized as a result of the exercise of outstanding and “in-the-money” stock options or the sale of shares delivered upon vesting of other equity awards, in each case awarded during such period (using the closing price of our common stock on the last trading day of the period).</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56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68" w:name="page69"/>
    <w:bookmarkEnd w:id="68"/>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515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5158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36"/>
          <w:szCs w:val="36"/>
          <w:b w:val="1"/>
          <w:bCs w:val="1"/>
          <w:color w:val="FFFFFF"/>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1740"/>
        <w:spacing w:after="0" w:line="229" w:lineRule="auto"/>
        <w:rPr>
          <w:sz w:val="20"/>
          <w:szCs w:val="20"/>
          <w:color w:val="auto"/>
        </w:rPr>
      </w:pPr>
      <w:r>
        <w:rPr>
          <w:rFonts w:ascii="Arial" w:cs="Arial" w:eastAsia="Arial" w:hAnsi="Arial"/>
          <w:sz w:val="15"/>
          <w:szCs w:val="15"/>
          <w:color w:val="231F20"/>
        </w:rPr>
        <w:t>The following Compensation Discussion and Analysis (“CD&amp;A”) describes the philosophy, objectives, and structure of our fiscal year 2019 executive compensation program. This CD&amp;A is intended to be read in conjunction with the subsequent tables presented under “Compensation Dashboard – 2019 Executive Compensation Tables,” which</w:t>
      </w:r>
    </w:p>
    <w:p>
      <w:pPr>
        <w:spacing w:after="0" w:line="2"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provide further historical compensation information for our “Named Executive Officers” or “NEOs”.</w:t>
      </w:r>
      <w:r>
        <w:rPr>
          <w:rFonts w:ascii="Arial" w:cs="Arial" w:eastAsia="Arial" w:hAnsi="Arial"/>
          <w:sz w:val="25"/>
          <w:szCs w:val="25"/>
          <w:color w:val="231F20"/>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36195</wp:posOffset>
            </wp:positionV>
            <wp:extent cx="5143500" cy="2717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80"/>
        <w:spacing w:after="0"/>
        <w:rPr>
          <w:sz w:val="20"/>
          <w:szCs w:val="20"/>
          <w:color w:val="auto"/>
        </w:rPr>
      </w:pPr>
      <w:r>
        <w:rPr>
          <w:rFonts w:ascii="Arial" w:cs="Arial" w:eastAsia="Arial" w:hAnsi="Arial"/>
          <w:sz w:val="59"/>
          <w:szCs w:val="59"/>
          <w:b w:val="1"/>
          <w:bCs w:val="1"/>
          <w:color w:val="235BA7"/>
        </w:rPr>
        <w:t>EXECUTIVE SUMMARY</w:t>
      </w:r>
    </w:p>
    <w:p>
      <w:pPr>
        <w:spacing w:after="0" w:line="229" w:lineRule="exact"/>
        <w:rPr>
          <w:sz w:val="20"/>
          <w:szCs w:val="20"/>
          <w:color w:val="auto"/>
        </w:rPr>
      </w:pPr>
    </w:p>
    <w:p>
      <w:pPr>
        <w:ind w:left="1580" w:right="1660"/>
        <w:spacing w:after="0" w:line="228" w:lineRule="auto"/>
        <w:rPr>
          <w:sz w:val="20"/>
          <w:szCs w:val="20"/>
          <w:color w:val="auto"/>
        </w:rPr>
      </w:pPr>
      <w:r>
        <w:rPr>
          <w:rFonts w:ascii="Arial" w:cs="Arial" w:eastAsia="Arial" w:hAnsi="Arial"/>
          <w:sz w:val="15"/>
          <w:szCs w:val="15"/>
          <w:color w:val="231F20"/>
        </w:rPr>
        <w:t>Our compensation program underpins our strategy of delivering sustainable, long-term growth through continued innovation. We believe the success of our compensation program and our performance (both financial and operational, in particular with respect to our pipeline progress) are best judged from a long-term perspective. The past decade was a transformational period for Regeneron – the Company evolved from a small biotech with a mostly pre-commercial portfolio to a large-cap company with seven commercialized products, including two with global annual net product sales of over $2 billion; a pipeline with multiple promising product candidates (including a comprehensive immuno-oncology program); a deep bench of scientific and industry talent; proprietary platform technologies that help accelerate and improve the traditional drug development process; one of the largest genetics sequencing efforts in the world; and a strong balance sheet with capital to advance and expand our wholly-owned R&amp;D pipeline. We are proud that in that period we brought six important, internally developed medicines to patients and obtained eight additional key indications for these products. In the most recent period, we made further progress and celebrated significant scientific, operational, and financial accomplishments, as discussed further under “2019 Business Highlights”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90805</wp:posOffset>
            </wp:positionV>
            <wp:extent cx="50831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303" w:lineRule="exact"/>
        <w:rPr>
          <w:sz w:val="20"/>
          <w:szCs w:val="20"/>
          <w:color w:val="auto"/>
        </w:rPr>
      </w:pPr>
    </w:p>
    <w:p>
      <w:pPr>
        <w:ind w:left="1740" w:right="1680" w:hanging="166"/>
        <w:spacing w:after="0" w:line="247" w:lineRule="auto"/>
        <w:tabs>
          <w:tab w:leader="none" w:pos="1740" w:val="left"/>
        </w:tabs>
        <w:numPr>
          <w:ilvl w:val="0"/>
          <w:numId w:val="92"/>
        </w:numPr>
        <w:rPr>
          <w:rFonts w:ascii="Arial" w:cs="Arial" w:eastAsia="Arial" w:hAnsi="Arial"/>
          <w:sz w:val="14"/>
          <w:szCs w:val="14"/>
          <w:b w:val="1"/>
          <w:bCs w:val="1"/>
          <w:color w:val="2952A4"/>
        </w:rPr>
      </w:pPr>
      <w:r>
        <w:rPr>
          <w:rFonts w:ascii="Arial" w:cs="Arial" w:eastAsia="Arial" w:hAnsi="Arial"/>
          <w:sz w:val="14"/>
          <w:szCs w:val="14"/>
          <w:color w:val="231F20"/>
        </w:rPr>
        <w:t>These are determined in accordance with SEC rules, and for this year consist of our President and Chief Executive Officer (“CEO”); President and Chief Scientific Officer (“CSO”); Executive Vice President, Finance and Chief Financial Officer (“CFO”); and our two other highest-paid executives for 2019, our Executive Vice President and General Manager, Industrial Operations and Product Supply, and our Executive Vice President, Research.</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060" w:type="dxa"/>
            <w:vAlign w:val="bottom"/>
          </w:tcPr>
          <w:p>
            <w:pPr>
              <w:jc w:val="right"/>
              <w:ind w:right="7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57</w:t>
            </w:r>
          </w:p>
        </w:tc>
      </w:tr>
      <w:tr>
        <w:trPr>
          <w:trHeight w:val="262"/>
        </w:trPr>
        <w:tc>
          <w:tcPr>
            <w:tcW w:w="8180" w:type="dxa"/>
            <w:vAlign w:val="bottom"/>
            <w:tcBorders>
              <w:bottom w:val="single" w:sz="8" w:color="C0C0C0"/>
            </w:tcBorders>
          </w:tcPr>
          <w:p>
            <w:pPr>
              <w:spacing w:after="0"/>
              <w:rPr>
                <w:sz w:val="22"/>
                <w:szCs w:val="22"/>
                <w:color w:val="auto"/>
              </w:rPr>
            </w:pPr>
          </w:p>
        </w:tc>
        <w:tc>
          <w:tcPr>
            <w:tcW w:w="30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-290830</wp:posOffset>
            </wp:positionV>
            <wp:extent cx="74549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195" w:lineRule="exact"/>
        <w:rPr>
          <w:sz w:val="20"/>
          <w:szCs w:val="20"/>
          <w:color w:val="auto"/>
        </w:rPr>
      </w:pPr>
    </w:p>
    <w:p>
      <w:pPr>
        <w:ind w:left="460" w:right="599"/>
        <w:spacing w:after="0"/>
        <w:rPr>
          <w:sz w:val="20"/>
          <w:szCs w:val="20"/>
          <w:color w:val="auto"/>
        </w:rPr>
      </w:pPr>
      <w:r>
        <w:rPr>
          <w:rFonts w:ascii="Arial" w:cs="Arial" w:eastAsia="Arial" w:hAnsi="Arial"/>
          <w:sz w:val="15"/>
          <w:szCs w:val="15"/>
          <w:color w:val="231F20"/>
        </w:rPr>
        <w:t>To keep key managers motivated and focused, we believe that we must continue to provide an executive compensation package that prioritizes achievement of our long-term goals (particularly those related to drug discovery and development), incentivizes high performance, and strongly aligns with the direct interests of our long-term investors.</w:t>
      </w:r>
    </w:p>
    <w:p>
      <w:pPr>
        <w:spacing w:after="0" w:line="293" w:lineRule="exact"/>
        <w:rPr>
          <w:sz w:val="20"/>
          <w:szCs w:val="20"/>
          <w:color w:val="auto"/>
        </w:rPr>
      </w:pPr>
    </w:p>
    <w:p>
      <w:pPr>
        <w:ind w:left="460" w:right="699"/>
        <w:spacing w:after="0" w:line="235" w:lineRule="auto"/>
        <w:rPr>
          <w:sz w:val="20"/>
          <w:szCs w:val="20"/>
          <w:color w:val="auto"/>
        </w:rPr>
      </w:pPr>
      <w:r>
        <w:rPr>
          <w:rFonts w:ascii="Arial" w:cs="Arial" w:eastAsia="Arial" w:hAnsi="Arial"/>
          <w:sz w:val="15"/>
          <w:szCs w:val="15"/>
          <w:color w:val="231F20"/>
        </w:rPr>
        <w:t>Compensation decisions of the past year balance consistency and flexibility following a thoughtful process for setting CEO and other NEO compensation. We believe the resulting pay outcomes were commensurate with 2019 performance and the NEOs’ contributions in 2019 and will incentivize performance in the years to come.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2019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Select compensation highlights from the past year include the following: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Base Salaries</w:t>
      </w:r>
    </w:p>
    <w:p>
      <w:pPr>
        <w:spacing w:after="0" w:line="217" w:lineRule="exact"/>
        <w:rPr>
          <w:sz w:val="20"/>
          <w:szCs w:val="20"/>
          <w:color w:val="auto"/>
        </w:rPr>
      </w:pPr>
    </w:p>
    <w:p>
      <w:pPr>
        <w:ind w:left="720" w:right="539" w:hanging="266"/>
        <w:spacing w:after="0" w:line="235" w:lineRule="auto"/>
        <w:tabs>
          <w:tab w:leader="none" w:pos="720" w:val="left"/>
        </w:tabs>
        <w:numPr>
          <w:ilvl w:val="0"/>
          <w:numId w:val="93"/>
        </w:numPr>
        <w:rPr>
          <w:rFonts w:ascii="Arial" w:cs="Arial" w:eastAsia="Arial" w:hAnsi="Arial"/>
          <w:sz w:val="15"/>
          <w:szCs w:val="15"/>
          <w:color w:val="2952A4"/>
        </w:rPr>
      </w:pPr>
      <w:r>
        <w:rPr>
          <w:rFonts w:ascii="Arial" w:cs="Arial" w:eastAsia="Arial" w:hAnsi="Arial"/>
          <w:sz w:val="15"/>
          <w:szCs w:val="15"/>
          <w:color w:val="231F20"/>
        </w:rPr>
        <w:t>There were minimal changes to the base salaries of our NEOs paid in 2019, with base salary increases reflecting a 3.5% merit increase (consistent with those for other employees) and, in the case of Mr. Landry and Dr. Murphy, base salary adjustments of $26,200 and $64,400, respectively, to reflect promotions.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Annual Cash Incentives</w:t>
      </w:r>
    </w:p>
    <w:p>
      <w:pPr>
        <w:spacing w:after="0" w:line="199" w:lineRule="exact"/>
        <w:rPr>
          <w:sz w:val="20"/>
          <w:szCs w:val="20"/>
          <w:color w:val="auto"/>
        </w:rPr>
      </w:pPr>
    </w:p>
    <w:p>
      <w:pPr>
        <w:ind w:left="720" w:right="479" w:hanging="266"/>
        <w:spacing w:after="0" w:line="239" w:lineRule="auto"/>
        <w:tabs>
          <w:tab w:leader="none" w:pos="720" w:val="left"/>
        </w:tabs>
        <w:numPr>
          <w:ilvl w:val="0"/>
          <w:numId w:val="94"/>
        </w:numPr>
        <w:rPr>
          <w:rFonts w:ascii="Arial" w:cs="Arial" w:eastAsia="Arial" w:hAnsi="Arial"/>
          <w:sz w:val="15"/>
          <w:szCs w:val="15"/>
          <w:color w:val="2952A4"/>
        </w:rPr>
      </w:pPr>
      <w:r>
        <w:rPr>
          <w:rFonts w:ascii="Arial" w:cs="Arial" w:eastAsia="Arial" w:hAnsi="Arial"/>
          <w:sz w:val="15"/>
          <w:szCs w:val="15"/>
          <w:b w:val="1"/>
          <w:bCs w:val="1"/>
          <w:i w:val="1"/>
          <w:iCs w:val="1"/>
          <w:color w:val="D41657"/>
        </w:rPr>
        <w:t xml:space="preserve">(New) </w:t>
      </w:r>
      <w:r>
        <w:rPr>
          <w:rFonts w:ascii="Arial" w:cs="Arial" w:eastAsia="Arial" w:hAnsi="Arial"/>
          <w:sz w:val="15"/>
          <w:szCs w:val="15"/>
          <w:color w:val="231F20"/>
        </w:rPr>
        <w:t>In response to shareholder input, we enhanced the existing process by which the Compensation Committee</w:t>
      </w:r>
      <w:r>
        <w:rPr>
          <w:rFonts w:ascii="Arial" w:cs="Arial" w:eastAsia="Arial" w:hAnsi="Arial"/>
          <w:sz w:val="15"/>
          <w:szCs w:val="15"/>
          <w:b w:val="1"/>
          <w:bCs w:val="1"/>
          <w:i w:val="1"/>
          <w:iCs w:val="1"/>
          <w:color w:val="D41657"/>
        </w:rPr>
        <w:t xml:space="preserve"> </w:t>
      </w:r>
      <w:r>
        <w:rPr>
          <w:rFonts w:ascii="Arial" w:cs="Arial" w:eastAsia="Arial" w:hAnsi="Arial"/>
          <w:sz w:val="15"/>
          <w:szCs w:val="15"/>
          <w:color w:val="231F20"/>
        </w:rPr>
        <w:t>determines the annual cash incentive Company performance multiplier and provided additional disclosure about the Committee’s decision-making (see “Components of Executive Pay: What We Pay and Why We Pay It – Annual Cash Incentives” below for additional information).</w:t>
      </w:r>
    </w:p>
    <w:p>
      <w:pPr>
        <w:spacing w:after="0" w:line="140" w:lineRule="exact"/>
        <w:rPr>
          <w:rFonts w:ascii="Arial" w:cs="Arial" w:eastAsia="Arial" w:hAnsi="Arial"/>
          <w:sz w:val="15"/>
          <w:szCs w:val="15"/>
          <w:color w:val="2952A4"/>
        </w:rPr>
      </w:pPr>
    </w:p>
    <w:p>
      <w:pPr>
        <w:ind w:left="720" w:right="579" w:hanging="266"/>
        <w:spacing w:after="0" w:line="242" w:lineRule="auto"/>
        <w:tabs>
          <w:tab w:leader="none" w:pos="720" w:val="left"/>
        </w:tabs>
        <w:numPr>
          <w:ilvl w:val="0"/>
          <w:numId w:val="94"/>
        </w:numPr>
        <w:rPr>
          <w:rFonts w:ascii="Arial" w:cs="Arial" w:eastAsia="Arial" w:hAnsi="Arial"/>
          <w:sz w:val="15"/>
          <w:szCs w:val="15"/>
          <w:color w:val="2952A4"/>
        </w:rPr>
      </w:pPr>
      <w:r>
        <w:rPr>
          <w:rFonts w:ascii="Arial" w:cs="Arial" w:eastAsia="Arial" w:hAnsi="Arial"/>
          <w:sz w:val="15"/>
          <w:szCs w:val="15"/>
          <w:color w:val="231F20"/>
        </w:rPr>
        <w:t>Following a year with a great deal of clinical and operational success, the annual cash incentives paid out at 177% of each NEO’s target bonus, on average, in 2019.</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Annual Equity Awards</w:t>
      </w:r>
    </w:p>
    <w:p>
      <w:pPr>
        <w:spacing w:after="0" w:line="199" w:lineRule="exact"/>
        <w:rPr>
          <w:sz w:val="20"/>
          <w:szCs w:val="20"/>
          <w:color w:val="auto"/>
        </w:rPr>
      </w:pPr>
    </w:p>
    <w:p>
      <w:pPr>
        <w:ind w:left="720" w:right="559" w:hanging="266"/>
        <w:spacing w:after="0" w:line="234" w:lineRule="auto"/>
        <w:tabs>
          <w:tab w:leader="none" w:pos="720" w:val="left"/>
        </w:tabs>
        <w:numPr>
          <w:ilvl w:val="0"/>
          <w:numId w:val="95"/>
        </w:numPr>
        <w:rPr>
          <w:rFonts w:ascii="Arial" w:cs="Arial" w:eastAsia="Arial" w:hAnsi="Arial"/>
          <w:sz w:val="15"/>
          <w:szCs w:val="15"/>
          <w:color w:val="2952A4"/>
        </w:rPr>
      </w:pPr>
      <w:r>
        <w:rPr>
          <w:rFonts w:ascii="Arial" w:cs="Arial" w:eastAsia="Arial" w:hAnsi="Arial"/>
          <w:sz w:val="15"/>
          <w:szCs w:val="15"/>
          <w:b w:val="1"/>
          <w:bCs w:val="1"/>
          <w:i w:val="1"/>
          <w:iCs w:val="1"/>
          <w:color w:val="D41657"/>
        </w:rPr>
        <w:t xml:space="preserve">(New) </w:t>
      </w:r>
      <w:r>
        <w:rPr>
          <w:rFonts w:ascii="Arial" w:cs="Arial" w:eastAsia="Arial" w:hAnsi="Arial"/>
          <w:sz w:val="15"/>
          <w:szCs w:val="15"/>
          <w:color w:val="231F20"/>
        </w:rPr>
        <w:t>In December 2019, following feedback from shareholders and in light of other relevant considerations, we</w:t>
      </w:r>
      <w:r>
        <w:rPr>
          <w:rFonts w:ascii="Arial" w:cs="Arial" w:eastAsia="Arial" w:hAnsi="Arial"/>
          <w:sz w:val="15"/>
          <w:szCs w:val="15"/>
          <w:b w:val="1"/>
          <w:bCs w:val="1"/>
          <w:i w:val="1"/>
          <w:iCs w:val="1"/>
          <w:color w:val="D41657"/>
        </w:rPr>
        <w:t xml:space="preserve"> </w:t>
      </w:r>
      <w:r>
        <w:rPr>
          <w:rFonts w:ascii="Arial" w:cs="Arial" w:eastAsia="Arial" w:hAnsi="Arial"/>
          <w:sz w:val="15"/>
          <w:szCs w:val="15"/>
          <w:color w:val="231F20"/>
        </w:rPr>
        <w:t>granted PSUs as part of the 2019 annual equity award to our CEO and CSO (as well as the Chairman of the Board). The PSUs are long-term awards intended to motivate exceptional shareholder value creation over the next five years. The PSUs accounted for approximately 30% of each officer’s 2019 annual equity awards, while the remaining 70% consisted of stock options. Key features of the PSUs, which are discussed more fully below under “Components of Executive Pay: What We Pay and Why We Pay It — Annual Equity Awards” below, include:</w:t>
      </w:r>
    </w:p>
    <w:p>
      <w:pPr>
        <w:spacing w:after="0" w:line="142" w:lineRule="exact"/>
        <w:rPr>
          <w:rFonts w:ascii="Arial" w:cs="Arial" w:eastAsia="Arial" w:hAnsi="Arial"/>
          <w:sz w:val="15"/>
          <w:szCs w:val="15"/>
          <w:color w:val="2952A4"/>
        </w:rPr>
      </w:pPr>
    </w:p>
    <w:p>
      <w:pPr>
        <w:ind w:left="1000" w:right="1159" w:hanging="276"/>
        <w:spacing w:after="0" w:line="242" w:lineRule="auto"/>
        <w:tabs>
          <w:tab w:leader="none" w:pos="1000" w:val="left"/>
        </w:tabs>
        <w:numPr>
          <w:ilvl w:val="1"/>
          <w:numId w:val="95"/>
        </w:numPr>
        <w:rPr>
          <w:rFonts w:ascii="Arial" w:cs="Arial" w:eastAsia="Arial" w:hAnsi="Arial"/>
          <w:sz w:val="15"/>
          <w:szCs w:val="15"/>
          <w:color w:val="2952A4"/>
        </w:rPr>
      </w:pPr>
      <w:r>
        <w:rPr>
          <w:rFonts w:ascii="Arial" w:cs="Arial" w:eastAsia="Arial" w:hAnsi="Arial"/>
          <w:sz w:val="15"/>
          <w:szCs w:val="15"/>
          <w:color w:val="231F20"/>
        </w:rPr>
        <w:t>Long-term, five-year performance period (with an opportunity for accelerated payout after four years if performance is strong); and</w:t>
      </w:r>
    </w:p>
    <w:p>
      <w:pPr>
        <w:spacing w:after="0" w:line="138" w:lineRule="exact"/>
        <w:rPr>
          <w:rFonts w:ascii="Arial" w:cs="Arial" w:eastAsia="Arial" w:hAnsi="Arial"/>
          <w:sz w:val="15"/>
          <w:szCs w:val="15"/>
          <w:color w:val="2952A4"/>
        </w:rPr>
      </w:pPr>
    </w:p>
    <w:p>
      <w:pPr>
        <w:ind w:left="1000" w:right="479" w:hanging="276"/>
        <w:spacing w:after="0" w:line="242" w:lineRule="auto"/>
        <w:tabs>
          <w:tab w:leader="none" w:pos="1000" w:val="left"/>
        </w:tabs>
        <w:numPr>
          <w:ilvl w:val="1"/>
          <w:numId w:val="95"/>
        </w:numPr>
        <w:rPr>
          <w:rFonts w:ascii="Arial" w:cs="Arial" w:eastAsia="Arial" w:hAnsi="Arial"/>
          <w:sz w:val="15"/>
          <w:szCs w:val="15"/>
          <w:color w:val="2952A4"/>
        </w:rPr>
      </w:pPr>
      <w:r>
        <w:rPr>
          <w:rFonts w:ascii="Arial" w:cs="Arial" w:eastAsia="Arial" w:hAnsi="Arial"/>
          <w:sz w:val="15"/>
          <w:szCs w:val="15"/>
          <w:color w:val="231F20"/>
        </w:rPr>
        <w:t>Rigorous performance goals tied to the Company’s TSR over the performance period (target is a 61% TSR over five years and minimum threshold payout requires at least a 28% TSR).</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2019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460" w:right="679"/>
        <w:spacing w:after="0" w:line="235" w:lineRule="auto"/>
        <w:rPr>
          <w:sz w:val="20"/>
          <w:szCs w:val="20"/>
          <w:color w:val="auto"/>
        </w:rPr>
      </w:pPr>
      <w:r>
        <w:rPr>
          <w:rFonts w:ascii="Arial" w:cs="Arial" w:eastAsia="Arial" w:hAnsi="Arial"/>
          <w:sz w:val="15"/>
          <w:szCs w:val="15"/>
          <w:color w:val="231F20"/>
        </w:rPr>
        <w:t>Our corporate performance for 2019 was assessed in three categories: (1) factors related to our product pipeline and development for both the near- and long-term; (2) factors regarding our financial performance and operations; and (3) factors related to our talent, culture, and corporate responsibility.</w:t>
      </w:r>
    </w:p>
    <w:p>
      <w:pPr>
        <w:spacing w:after="0" w:line="141" w:lineRule="exact"/>
        <w:rPr>
          <w:sz w:val="20"/>
          <w:szCs w:val="20"/>
          <w:color w:val="auto"/>
        </w:rPr>
      </w:pPr>
    </w:p>
    <w:p>
      <w:pPr>
        <w:ind w:left="460" w:right="799"/>
        <w:spacing w:after="0" w:line="235" w:lineRule="auto"/>
        <w:rPr>
          <w:sz w:val="20"/>
          <w:szCs w:val="20"/>
          <w:color w:val="auto"/>
        </w:rPr>
      </w:pPr>
      <w:r>
        <w:rPr>
          <w:rFonts w:ascii="Arial" w:cs="Arial" w:eastAsia="Arial" w:hAnsi="Arial"/>
          <w:sz w:val="15"/>
          <w:szCs w:val="15"/>
          <w:color w:val="231F20"/>
        </w:rPr>
        <w:t>As in prior years, the factors analyzed under category (1) continued to be a key measure for the Compensation Committee’s assessment and calculating the Company performance multiplier. This recognizes the importance of science and innovation as well as the critical role of the development pipeline in the Company’s long-term success.</w:t>
      </w:r>
    </w:p>
    <w:p>
      <w:pPr>
        <w:spacing w:after="0" w:line="141" w:lineRule="exact"/>
        <w:rPr>
          <w:sz w:val="20"/>
          <w:szCs w:val="20"/>
          <w:color w:val="auto"/>
        </w:rPr>
      </w:pPr>
    </w:p>
    <w:p>
      <w:pPr>
        <w:ind w:left="460" w:right="639"/>
        <w:spacing w:after="0" w:line="235" w:lineRule="auto"/>
        <w:rPr>
          <w:sz w:val="20"/>
          <w:szCs w:val="20"/>
          <w:color w:val="auto"/>
        </w:rPr>
      </w:pPr>
      <w:r>
        <w:rPr>
          <w:rFonts w:ascii="Arial" w:cs="Arial" w:eastAsia="Arial" w:hAnsi="Arial"/>
          <w:sz w:val="15"/>
          <w:szCs w:val="15"/>
          <w:color w:val="231F20"/>
        </w:rPr>
        <w:t>We provide a comprehensive overview of our 2019 achievements and the Compensation Committee’s assessment of those achievements in the subsection “Components of Executive Pay: What We Pay and Why We Pay It — Annual Cash Incentives.”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58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70" w:name="page71"/>
    <w:bookmarkEnd w:id="70"/>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36"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Select 2019 achievements are highlighted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89535</wp:posOffset>
            </wp:positionV>
            <wp:extent cx="2443480" cy="14744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43480" cy="1474470"/>
                    </a:xfrm>
                    <a:prstGeom prst="rect">
                      <a:avLst/>
                    </a:prstGeom>
                    <a:noFill/>
                  </pic:spPr>
                </pic:pic>
              </a:graphicData>
            </a:graphic>
          </wp:anchor>
        </w:drawing>
      </w:r>
    </w:p>
    <w:p>
      <w:pPr>
        <w:spacing w:after="0" w:line="230"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2952A4"/>
        </w:rPr>
        <w:t>Regulatory Approvals</w:t>
      </w:r>
    </w:p>
    <w:p>
      <w:pPr>
        <w:spacing w:after="0" w:line="88" w:lineRule="exact"/>
        <w:rPr>
          <w:sz w:val="20"/>
          <w:szCs w:val="20"/>
          <w:color w:val="auto"/>
        </w:rPr>
      </w:pPr>
    </w:p>
    <w:p>
      <w:pPr>
        <w:ind w:left="1820" w:right="420" w:hanging="120"/>
        <w:spacing w:after="0" w:line="251" w:lineRule="auto"/>
        <w:tabs>
          <w:tab w:leader="none" w:pos="1812" w:val="left"/>
        </w:tabs>
        <w:numPr>
          <w:ilvl w:val="0"/>
          <w:numId w:val="96"/>
        </w:numPr>
        <w:rPr>
          <w:rFonts w:ascii="Arial" w:cs="Arial" w:eastAsia="Arial" w:hAnsi="Arial"/>
          <w:sz w:val="13"/>
          <w:szCs w:val="13"/>
          <w:color w:val="2952A4"/>
        </w:rPr>
      </w:pPr>
      <w:r>
        <w:rPr>
          <w:rFonts w:ascii="Arial" w:cs="Arial" w:eastAsia="Arial" w:hAnsi="Arial"/>
          <w:sz w:val="13"/>
          <w:szCs w:val="13"/>
          <w:b w:val="1"/>
          <w:bCs w:val="1"/>
          <w:color w:val="231F20"/>
        </w:rPr>
        <w:t xml:space="preserve">EYLEA: </w:t>
      </w:r>
      <w:r>
        <w:rPr>
          <w:rFonts w:ascii="Arial" w:cs="Arial" w:eastAsia="Arial" w:hAnsi="Arial"/>
          <w:sz w:val="13"/>
          <w:szCs w:val="13"/>
          <w:color w:val="231F20"/>
        </w:rPr>
        <w:t>U.S. Food and Drug Administration approvals for a</w:t>
      </w:r>
      <w:r>
        <w:rPr>
          <w:rFonts w:ascii="Arial" w:cs="Arial" w:eastAsia="Arial" w:hAnsi="Arial"/>
          <w:sz w:val="13"/>
          <w:szCs w:val="13"/>
          <w:b w:val="1"/>
          <w:bCs w:val="1"/>
          <w:color w:val="231F20"/>
        </w:rPr>
        <w:t xml:space="preserve"> </w:t>
      </w:r>
      <w:r>
        <w:rPr>
          <w:rFonts w:ascii="Arial" w:cs="Arial" w:eastAsia="Arial" w:hAnsi="Arial"/>
          <w:sz w:val="13"/>
          <w:szCs w:val="13"/>
          <w:color w:val="231F20"/>
        </w:rPr>
        <w:t>new indication, diabetic retinopathy, and pre-filled syringe</w:t>
      </w:r>
    </w:p>
    <w:p>
      <w:pPr>
        <w:ind w:left="1820" w:hanging="120"/>
        <w:spacing w:after="0"/>
        <w:tabs>
          <w:tab w:leader="none" w:pos="1820" w:val="left"/>
        </w:tabs>
        <w:numPr>
          <w:ilvl w:val="0"/>
          <w:numId w:val="96"/>
        </w:numPr>
        <w:rPr>
          <w:rFonts w:ascii="Arial" w:cs="Arial" w:eastAsia="Arial" w:hAnsi="Arial"/>
          <w:sz w:val="13"/>
          <w:szCs w:val="13"/>
          <w:color w:val="2952A4"/>
        </w:rPr>
      </w:pPr>
      <w:r>
        <w:rPr>
          <w:rFonts w:ascii="Arial" w:cs="Arial" w:eastAsia="Arial" w:hAnsi="Arial"/>
          <w:sz w:val="13"/>
          <w:szCs w:val="13"/>
          <w:b w:val="1"/>
          <w:bCs w:val="1"/>
          <w:color w:val="231F20"/>
        </w:rPr>
        <w:t>Dupixent:</w:t>
      </w:r>
    </w:p>
    <w:p>
      <w:pPr>
        <w:jc w:val="both"/>
        <w:ind w:left="1980" w:right="440" w:hanging="136"/>
        <w:spacing w:after="0" w:line="238" w:lineRule="auto"/>
        <w:tabs>
          <w:tab w:leader="none" w:pos="1972" w:val="left"/>
        </w:tabs>
        <w:numPr>
          <w:ilvl w:val="1"/>
          <w:numId w:val="96"/>
        </w:numPr>
        <w:rPr>
          <w:rFonts w:ascii="Arial" w:cs="Arial" w:eastAsia="Arial" w:hAnsi="Arial"/>
          <w:sz w:val="13"/>
          <w:szCs w:val="13"/>
          <w:color w:val="2952A4"/>
        </w:rPr>
      </w:pPr>
      <w:r>
        <w:rPr>
          <w:rFonts w:ascii="Arial" w:cs="Arial" w:eastAsia="Arial" w:hAnsi="Arial"/>
          <w:sz w:val="13"/>
          <w:szCs w:val="13"/>
          <w:color w:val="231F20"/>
        </w:rPr>
        <w:t>FDA and European Commission approvals for expanded atopic dermatitis indication in adolescent patients (12–17 years of age)</w:t>
      </w:r>
    </w:p>
    <w:p>
      <w:pPr>
        <w:jc w:val="both"/>
        <w:ind w:left="1980" w:right="680" w:hanging="136"/>
        <w:spacing w:after="0" w:line="258" w:lineRule="auto"/>
        <w:tabs>
          <w:tab w:leader="none" w:pos="1972" w:val="left"/>
        </w:tabs>
        <w:numPr>
          <w:ilvl w:val="1"/>
          <w:numId w:val="96"/>
        </w:numPr>
        <w:rPr>
          <w:rFonts w:ascii="Arial" w:cs="Arial" w:eastAsia="Arial" w:hAnsi="Arial"/>
          <w:sz w:val="12"/>
          <w:szCs w:val="12"/>
          <w:color w:val="2952A4"/>
        </w:rPr>
      </w:pPr>
      <w:r>
        <w:rPr>
          <w:rFonts w:ascii="Arial" w:cs="Arial" w:eastAsia="Arial" w:hAnsi="Arial"/>
          <w:sz w:val="12"/>
          <w:szCs w:val="12"/>
          <w:color w:val="231F20"/>
        </w:rPr>
        <w:t>FDA and European Commission approvals for a new indication, chronic rhinosinusitis with nasal polyposis</w:t>
      </w:r>
    </w:p>
    <w:p>
      <w:pPr>
        <w:ind w:left="1980" w:right="720" w:hanging="136"/>
        <w:spacing w:after="0" w:line="238" w:lineRule="auto"/>
        <w:tabs>
          <w:tab w:leader="none" w:pos="1972" w:val="left"/>
        </w:tabs>
        <w:numPr>
          <w:ilvl w:val="1"/>
          <w:numId w:val="96"/>
        </w:numPr>
        <w:rPr>
          <w:rFonts w:ascii="Arial" w:cs="Arial" w:eastAsia="Arial" w:hAnsi="Arial"/>
          <w:sz w:val="13"/>
          <w:szCs w:val="13"/>
          <w:color w:val="2952A4"/>
        </w:rPr>
      </w:pPr>
      <w:r>
        <w:rPr>
          <w:rFonts w:ascii="Arial" w:cs="Arial" w:eastAsia="Arial" w:hAnsi="Arial"/>
          <w:sz w:val="13"/>
          <w:szCs w:val="13"/>
          <w:color w:val="231F20"/>
        </w:rPr>
        <w:t>European Commission approval for the treatment of asthma in adults and adolescents</w:t>
      </w:r>
    </w:p>
    <w:p>
      <w:pPr>
        <w:jc w:val="both"/>
        <w:ind w:left="1820" w:right="360" w:hanging="120"/>
        <w:spacing w:after="0" w:line="248" w:lineRule="auto"/>
        <w:tabs>
          <w:tab w:leader="none" w:pos="1812" w:val="left"/>
        </w:tabs>
        <w:numPr>
          <w:ilvl w:val="0"/>
          <w:numId w:val="96"/>
        </w:numPr>
        <w:rPr>
          <w:rFonts w:ascii="Arial" w:cs="Arial" w:eastAsia="Arial" w:hAnsi="Arial"/>
          <w:sz w:val="13"/>
          <w:szCs w:val="13"/>
          <w:color w:val="2952A4"/>
        </w:rPr>
      </w:pPr>
      <w:r>
        <w:rPr>
          <w:rFonts w:ascii="Arial" w:cs="Arial" w:eastAsia="Arial" w:hAnsi="Arial"/>
          <w:sz w:val="13"/>
          <w:szCs w:val="13"/>
          <w:b w:val="1"/>
          <w:bCs w:val="1"/>
          <w:color w:val="231F20"/>
        </w:rPr>
        <w:t xml:space="preserve">Libtayo: </w:t>
      </w:r>
      <w:r>
        <w:rPr>
          <w:rFonts w:ascii="Arial" w:cs="Arial" w:eastAsia="Arial" w:hAnsi="Arial"/>
          <w:sz w:val="13"/>
          <w:szCs w:val="13"/>
          <w:color w:val="231F20"/>
        </w:rPr>
        <w:t>Conditional European Commission approval for the</w:t>
      </w:r>
      <w:r>
        <w:rPr>
          <w:rFonts w:ascii="Arial" w:cs="Arial" w:eastAsia="Arial" w:hAnsi="Arial"/>
          <w:sz w:val="13"/>
          <w:szCs w:val="13"/>
          <w:b w:val="1"/>
          <w:bCs w:val="1"/>
          <w:color w:val="231F20"/>
        </w:rPr>
        <w:t xml:space="preserve"> </w:t>
      </w:r>
      <w:r>
        <w:rPr>
          <w:rFonts w:ascii="Arial" w:cs="Arial" w:eastAsia="Arial" w:hAnsi="Arial"/>
          <w:sz w:val="13"/>
          <w:szCs w:val="13"/>
          <w:color w:val="231F20"/>
        </w:rPr>
        <w:t>treatment of advanced cutaneous squamous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204470</wp:posOffset>
            </wp:positionV>
            <wp:extent cx="2443480" cy="1568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43480" cy="1568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2952A4"/>
        </w:rPr>
        <w:t>Clinical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-192405</wp:posOffset>
            </wp:positionV>
            <wp:extent cx="2434590" cy="14744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34590" cy="1474470"/>
                    </a:xfrm>
                    <a:prstGeom prst="rect">
                      <a:avLst/>
                    </a:prstGeom>
                    <a:noFill/>
                  </pic:spPr>
                </pic:pic>
              </a:graphicData>
            </a:graphic>
          </wp:anchor>
        </w:drawing>
      </w:r>
    </w:p>
    <w:p>
      <w:pPr>
        <w:spacing w:after="0" w:line="68" w:lineRule="exact"/>
        <w:rPr>
          <w:sz w:val="20"/>
          <w:szCs w:val="20"/>
          <w:color w:val="auto"/>
        </w:rPr>
      </w:pPr>
    </w:p>
    <w:p>
      <w:pPr>
        <w:ind w:left="160" w:right="1860" w:hanging="134"/>
        <w:spacing w:after="0" w:line="251" w:lineRule="auto"/>
        <w:tabs>
          <w:tab w:leader="none" w:pos="152" w:val="left"/>
        </w:tabs>
        <w:numPr>
          <w:ilvl w:val="0"/>
          <w:numId w:val="97"/>
        </w:numPr>
        <w:rPr>
          <w:rFonts w:ascii="Arial" w:cs="Arial" w:eastAsia="Arial" w:hAnsi="Arial"/>
          <w:sz w:val="13"/>
          <w:szCs w:val="13"/>
          <w:color w:val="2952A4"/>
        </w:rPr>
      </w:pPr>
      <w:r>
        <w:rPr>
          <w:rFonts w:ascii="Arial" w:cs="Arial" w:eastAsia="Arial" w:hAnsi="Arial"/>
          <w:sz w:val="13"/>
          <w:szCs w:val="13"/>
          <w:b w:val="1"/>
          <w:bCs w:val="1"/>
          <w:color w:val="231F20"/>
        </w:rPr>
        <w:t xml:space="preserve">Dupixent: </w:t>
      </w:r>
      <w:r>
        <w:rPr>
          <w:rFonts w:ascii="Arial" w:cs="Arial" w:eastAsia="Arial" w:hAnsi="Arial"/>
          <w:sz w:val="13"/>
          <w:szCs w:val="13"/>
          <w:color w:val="231F20"/>
        </w:rPr>
        <w:t>Completed Phase 3 study in pediatric patients</w:t>
      </w:r>
      <w:r>
        <w:rPr>
          <w:rFonts w:ascii="Arial" w:cs="Arial" w:eastAsia="Arial" w:hAnsi="Arial"/>
          <w:sz w:val="13"/>
          <w:szCs w:val="13"/>
          <w:b w:val="1"/>
          <w:bCs w:val="1"/>
          <w:color w:val="231F20"/>
        </w:rPr>
        <w:t xml:space="preserve"> </w:t>
      </w:r>
      <w:r>
        <w:rPr>
          <w:rFonts w:ascii="Arial" w:cs="Arial" w:eastAsia="Arial" w:hAnsi="Arial"/>
          <w:sz w:val="13"/>
          <w:szCs w:val="13"/>
          <w:color w:val="231F20"/>
        </w:rPr>
        <w:t>(6–11 years of age) with severe atopic dermatitis</w:t>
      </w:r>
    </w:p>
    <w:p>
      <w:pPr>
        <w:ind w:left="160" w:right="2060" w:hanging="134"/>
        <w:spacing w:after="0" w:line="238" w:lineRule="auto"/>
        <w:tabs>
          <w:tab w:leader="none" w:pos="152" w:val="left"/>
        </w:tabs>
        <w:numPr>
          <w:ilvl w:val="0"/>
          <w:numId w:val="97"/>
        </w:numPr>
        <w:rPr>
          <w:rFonts w:ascii="Arial" w:cs="Arial" w:eastAsia="Arial" w:hAnsi="Arial"/>
          <w:sz w:val="13"/>
          <w:szCs w:val="13"/>
          <w:color w:val="2952A4"/>
        </w:rPr>
      </w:pPr>
      <w:r>
        <w:rPr>
          <w:rFonts w:ascii="Arial" w:cs="Arial" w:eastAsia="Arial" w:hAnsi="Arial"/>
          <w:sz w:val="13"/>
          <w:szCs w:val="13"/>
          <w:b w:val="1"/>
          <w:bCs w:val="1"/>
          <w:color w:val="231F20"/>
        </w:rPr>
        <w:t xml:space="preserve">Libtayo: </w:t>
      </w:r>
      <w:r>
        <w:rPr>
          <w:rFonts w:ascii="Arial" w:cs="Arial" w:eastAsia="Arial" w:hAnsi="Arial"/>
          <w:sz w:val="13"/>
          <w:szCs w:val="13"/>
          <w:color w:val="231F20"/>
        </w:rPr>
        <w:t>Interim objective response rate readout from</w:t>
      </w:r>
      <w:r>
        <w:rPr>
          <w:rFonts w:ascii="Arial" w:cs="Arial" w:eastAsia="Arial" w:hAnsi="Arial"/>
          <w:sz w:val="13"/>
          <w:szCs w:val="13"/>
          <w:b w:val="1"/>
          <w:bCs w:val="1"/>
          <w:color w:val="231F20"/>
        </w:rPr>
        <w:t xml:space="preserve"> </w:t>
      </w:r>
      <w:r>
        <w:rPr>
          <w:rFonts w:ascii="Arial" w:cs="Arial" w:eastAsia="Arial" w:hAnsi="Arial"/>
          <w:sz w:val="13"/>
          <w:szCs w:val="13"/>
          <w:color w:val="231F20"/>
        </w:rPr>
        <w:t>Phase 3 study in non-small cell lung cancer</w:t>
      </w:r>
    </w:p>
    <w:p>
      <w:pPr>
        <w:ind w:left="160" w:right="1800" w:hanging="134"/>
        <w:spacing w:after="0" w:line="238" w:lineRule="auto"/>
        <w:tabs>
          <w:tab w:leader="none" w:pos="152" w:val="left"/>
        </w:tabs>
        <w:numPr>
          <w:ilvl w:val="0"/>
          <w:numId w:val="97"/>
        </w:numPr>
        <w:rPr>
          <w:rFonts w:ascii="Arial" w:cs="Arial" w:eastAsia="Arial" w:hAnsi="Arial"/>
          <w:sz w:val="13"/>
          <w:szCs w:val="13"/>
          <w:color w:val="2952A4"/>
        </w:rPr>
      </w:pPr>
      <w:r>
        <w:rPr>
          <w:rFonts w:ascii="Arial" w:cs="Arial" w:eastAsia="Arial" w:hAnsi="Arial"/>
          <w:sz w:val="13"/>
          <w:szCs w:val="13"/>
          <w:b w:val="1"/>
          <w:bCs w:val="1"/>
          <w:color w:val="231F20"/>
        </w:rPr>
        <w:t xml:space="preserve">REGN1979 </w:t>
      </w:r>
      <w:r>
        <w:rPr>
          <w:rFonts w:ascii="Arial" w:cs="Arial" w:eastAsia="Arial" w:hAnsi="Arial"/>
          <w:sz w:val="13"/>
          <w:szCs w:val="13"/>
          <w:color w:val="231F20"/>
        </w:rPr>
        <w:t>(bispecific antibody targeting CD20 and CD3):</w:t>
      </w:r>
      <w:r>
        <w:rPr>
          <w:rFonts w:ascii="Arial" w:cs="Arial" w:eastAsia="Arial" w:hAnsi="Arial"/>
          <w:sz w:val="13"/>
          <w:szCs w:val="13"/>
          <w:b w:val="1"/>
          <w:bCs w:val="1"/>
          <w:color w:val="231F20"/>
        </w:rPr>
        <w:t xml:space="preserve"> </w:t>
      </w:r>
      <w:r>
        <w:rPr>
          <w:rFonts w:ascii="Arial" w:cs="Arial" w:eastAsia="Arial" w:hAnsi="Arial"/>
          <w:sz w:val="13"/>
          <w:szCs w:val="13"/>
          <w:color w:val="231F20"/>
        </w:rPr>
        <w:t>Reported data from non-Hodgkin lymphoma study</w:t>
      </w:r>
    </w:p>
    <w:p>
      <w:pPr>
        <w:ind w:left="160" w:right="1760" w:hanging="134"/>
        <w:spacing w:after="0" w:line="238" w:lineRule="auto"/>
        <w:tabs>
          <w:tab w:leader="none" w:pos="152" w:val="left"/>
        </w:tabs>
        <w:numPr>
          <w:ilvl w:val="0"/>
          <w:numId w:val="97"/>
        </w:numPr>
        <w:rPr>
          <w:rFonts w:ascii="Arial" w:cs="Arial" w:eastAsia="Arial" w:hAnsi="Arial"/>
          <w:sz w:val="13"/>
          <w:szCs w:val="13"/>
          <w:color w:val="2952A4"/>
        </w:rPr>
      </w:pPr>
      <w:r>
        <w:rPr>
          <w:rFonts w:ascii="Arial" w:cs="Arial" w:eastAsia="Arial" w:hAnsi="Arial"/>
          <w:sz w:val="13"/>
          <w:szCs w:val="13"/>
          <w:b w:val="1"/>
          <w:bCs w:val="1"/>
          <w:color w:val="231F20"/>
        </w:rPr>
        <w:t xml:space="preserve">REGN5458 </w:t>
      </w:r>
      <w:r>
        <w:rPr>
          <w:rFonts w:ascii="Arial" w:cs="Arial" w:eastAsia="Arial" w:hAnsi="Arial"/>
          <w:sz w:val="13"/>
          <w:szCs w:val="13"/>
          <w:color w:val="231F20"/>
        </w:rPr>
        <w:t>(bispecific antibody targeting BCMA and CD3):</w:t>
      </w:r>
      <w:r>
        <w:rPr>
          <w:rFonts w:ascii="Arial" w:cs="Arial" w:eastAsia="Arial" w:hAnsi="Arial"/>
          <w:sz w:val="13"/>
          <w:szCs w:val="13"/>
          <w:b w:val="1"/>
          <w:bCs w:val="1"/>
          <w:color w:val="231F20"/>
        </w:rPr>
        <w:t xml:space="preserve"> </w:t>
      </w:r>
      <w:r>
        <w:rPr>
          <w:rFonts w:ascii="Arial" w:cs="Arial" w:eastAsia="Arial" w:hAnsi="Arial"/>
          <w:sz w:val="13"/>
          <w:szCs w:val="13"/>
          <w:color w:val="231F20"/>
        </w:rPr>
        <w:t>Reported initial data from multiple myeloma study</w:t>
      </w:r>
    </w:p>
    <w:p>
      <w:pPr>
        <w:ind w:left="160" w:right="1700" w:hanging="134"/>
        <w:spacing w:after="0" w:line="289" w:lineRule="auto"/>
        <w:tabs>
          <w:tab w:leader="none" w:pos="152" w:val="left"/>
        </w:tabs>
        <w:numPr>
          <w:ilvl w:val="0"/>
          <w:numId w:val="97"/>
        </w:numPr>
        <w:rPr>
          <w:rFonts w:ascii="Arial" w:cs="Arial" w:eastAsia="Arial" w:hAnsi="Arial"/>
          <w:sz w:val="12"/>
          <w:szCs w:val="12"/>
          <w:color w:val="2952A4"/>
        </w:rPr>
      </w:pPr>
      <w:r>
        <w:rPr>
          <w:rFonts w:ascii="Arial" w:cs="Arial" w:eastAsia="Arial" w:hAnsi="Arial"/>
          <w:sz w:val="12"/>
          <w:szCs w:val="12"/>
          <w:b w:val="1"/>
          <w:bCs w:val="1"/>
          <w:color w:val="231F20"/>
        </w:rPr>
        <w:t xml:space="preserve">REGN-EB3 </w:t>
      </w:r>
      <w:r>
        <w:rPr>
          <w:rFonts w:ascii="Arial" w:cs="Arial" w:eastAsia="Arial" w:hAnsi="Arial"/>
          <w:sz w:val="12"/>
          <w:szCs w:val="12"/>
          <w:color w:val="231F20"/>
        </w:rPr>
        <w:t>(multi-antibody therapy to Ebola virus infection):</w:t>
      </w:r>
      <w:r>
        <w:rPr>
          <w:rFonts w:ascii="Arial" w:cs="Arial" w:eastAsia="Arial" w:hAnsi="Arial"/>
          <w:sz w:val="12"/>
          <w:szCs w:val="12"/>
          <w:b w:val="1"/>
          <w:bCs w:val="1"/>
          <w:color w:val="231F20"/>
        </w:rPr>
        <w:t xml:space="preserve"> </w:t>
      </w:r>
      <w:r>
        <w:rPr>
          <w:rFonts w:ascii="Arial" w:cs="Arial" w:eastAsia="Arial" w:hAnsi="Arial"/>
          <w:sz w:val="12"/>
          <w:szCs w:val="12"/>
          <w:color w:val="231F20"/>
        </w:rPr>
        <w:t>Shown to be superior to ZMapp in preventing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378460</wp:posOffset>
            </wp:positionV>
            <wp:extent cx="2434590" cy="1568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34590" cy="1568450"/>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2">
            <w:col w:w="5680" w:space="260"/>
            <w:col w:w="5300"/>
          </w:cols>
          <w:pgMar w:left="320" w:top="405" w:right="339" w:bottom="1440" w:gutter="0" w:footer="0" w:header="0"/>
          <w:type w:val="continuous"/>
        </w:sectPr>
      </w:pPr>
    </w:p>
    <w:p>
      <w:pPr>
        <w:spacing w:after="0" w:line="231"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2952A4"/>
        </w:rPr>
        <w:t>Commercial Execution</w:t>
      </w:r>
    </w:p>
    <w:p>
      <w:pPr>
        <w:spacing w:after="0" w:line="88" w:lineRule="exact"/>
        <w:rPr>
          <w:sz w:val="20"/>
          <w:szCs w:val="20"/>
          <w:color w:val="auto"/>
        </w:rPr>
      </w:pPr>
    </w:p>
    <w:p>
      <w:pPr>
        <w:ind w:left="1800" w:hanging="118"/>
        <w:spacing w:after="0"/>
        <w:tabs>
          <w:tab w:leader="none" w:pos="1800" w:val="left"/>
        </w:tabs>
        <w:numPr>
          <w:ilvl w:val="0"/>
          <w:numId w:val="98"/>
        </w:numPr>
        <w:rPr>
          <w:rFonts w:ascii="Arial" w:cs="Arial" w:eastAsia="Arial" w:hAnsi="Arial"/>
          <w:sz w:val="13"/>
          <w:szCs w:val="13"/>
          <w:color w:val="2952A4"/>
        </w:rPr>
      </w:pPr>
      <w:r>
        <w:rPr>
          <w:rFonts w:ascii="Arial" w:cs="Arial" w:eastAsia="Arial" w:hAnsi="Arial"/>
          <w:sz w:val="13"/>
          <w:szCs w:val="13"/>
          <w:b w:val="1"/>
          <w:bCs w:val="1"/>
          <w:color w:val="231F20"/>
        </w:rPr>
        <w:t>EYLEA:</w:t>
      </w:r>
    </w:p>
    <w:p>
      <w:pPr>
        <w:spacing w:after="0" w:line="15" w:lineRule="exact"/>
        <w:rPr>
          <w:rFonts w:ascii="Arial" w:cs="Arial" w:eastAsia="Arial" w:hAnsi="Arial"/>
          <w:sz w:val="13"/>
          <w:szCs w:val="13"/>
          <w:color w:val="2952A4"/>
        </w:rPr>
      </w:pPr>
    </w:p>
    <w:p>
      <w:pPr>
        <w:ind w:left="1820" w:hanging="120"/>
        <w:spacing w:after="0"/>
        <w:tabs>
          <w:tab w:leader="none" w:pos="1820" w:val="left"/>
        </w:tabs>
        <w:numPr>
          <w:ilvl w:val="1"/>
          <w:numId w:val="98"/>
        </w:numPr>
        <w:rPr>
          <w:rFonts w:ascii="Arial" w:cs="Arial" w:eastAsia="Arial" w:hAnsi="Arial"/>
          <w:sz w:val="13"/>
          <w:szCs w:val="13"/>
          <w:color w:val="2952A4"/>
        </w:rPr>
      </w:pPr>
      <w:r>
        <w:rPr>
          <w:rFonts w:ascii="Arial" w:cs="Arial" w:eastAsia="Arial" w:hAnsi="Arial"/>
          <w:sz w:val="13"/>
          <w:szCs w:val="13"/>
          <w:color w:val="231F20"/>
        </w:rPr>
        <w:t>Full-year 2019 global net product sales of $7.54 billion*</w:t>
      </w:r>
    </w:p>
    <w:p>
      <w:pPr>
        <w:ind w:left="1980" w:right="240" w:hanging="136"/>
        <w:spacing w:after="0" w:line="238" w:lineRule="auto"/>
        <w:tabs>
          <w:tab w:leader="none" w:pos="1972" w:val="left"/>
        </w:tabs>
        <w:numPr>
          <w:ilvl w:val="2"/>
          <w:numId w:val="98"/>
        </w:numPr>
        <w:rPr>
          <w:rFonts w:ascii="Arial" w:cs="Arial" w:eastAsia="Arial" w:hAnsi="Arial"/>
          <w:sz w:val="13"/>
          <w:szCs w:val="13"/>
          <w:color w:val="2952A4"/>
        </w:rPr>
      </w:pPr>
      <w:r>
        <w:rPr>
          <w:rFonts w:ascii="Arial" w:cs="Arial" w:eastAsia="Arial" w:hAnsi="Arial"/>
          <w:sz w:val="13"/>
          <w:szCs w:val="13"/>
          <w:color w:val="231F20"/>
        </w:rPr>
        <w:t>Fourth quarter 2019 U.S. net product sales increased 13% to $1.22 billion versus fourth quarter 2018</w:t>
      </w:r>
    </w:p>
    <w:p>
      <w:pPr>
        <w:ind w:left="1980" w:right="280" w:hanging="136"/>
        <w:spacing w:after="0" w:line="238" w:lineRule="auto"/>
        <w:tabs>
          <w:tab w:leader="none" w:pos="1972" w:val="left"/>
        </w:tabs>
        <w:numPr>
          <w:ilvl w:val="2"/>
          <w:numId w:val="98"/>
        </w:numPr>
        <w:rPr>
          <w:rFonts w:ascii="Arial" w:cs="Arial" w:eastAsia="Arial" w:hAnsi="Arial"/>
          <w:sz w:val="13"/>
          <w:szCs w:val="13"/>
          <w:color w:val="2952A4"/>
        </w:rPr>
      </w:pPr>
      <w:r>
        <w:rPr>
          <w:rFonts w:ascii="Arial" w:cs="Arial" w:eastAsia="Arial" w:hAnsi="Arial"/>
          <w:sz w:val="13"/>
          <w:szCs w:val="13"/>
          <w:b w:val="1"/>
          <w:bCs w:val="1"/>
          <w:color w:val="231F20"/>
        </w:rPr>
        <w:t xml:space="preserve">Dupixent: </w:t>
      </w:r>
      <w:r>
        <w:rPr>
          <w:rFonts w:ascii="Arial" w:cs="Arial" w:eastAsia="Arial" w:hAnsi="Arial"/>
          <w:sz w:val="13"/>
          <w:szCs w:val="13"/>
          <w:color w:val="231F20"/>
        </w:rPr>
        <w:t>Full-year 2019 global net product sales of</w:t>
      </w:r>
      <w:r>
        <w:rPr>
          <w:rFonts w:ascii="Arial" w:cs="Arial" w:eastAsia="Arial" w:hAnsi="Arial"/>
          <w:sz w:val="13"/>
          <w:szCs w:val="13"/>
          <w:b w:val="1"/>
          <w:bCs w:val="1"/>
          <w:color w:val="231F20"/>
        </w:rPr>
        <w:t xml:space="preserve"> </w:t>
      </w:r>
      <w:r>
        <w:rPr>
          <w:rFonts w:ascii="Arial" w:cs="Arial" w:eastAsia="Arial" w:hAnsi="Arial"/>
          <w:sz w:val="13"/>
          <w:szCs w:val="13"/>
          <w:color w:val="231F20"/>
        </w:rPr>
        <w:t>$2.32 billion**</w:t>
      </w:r>
    </w:p>
    <w:p>
      <w:pPr>
        <w:ind w:left="1820" w:hanging="120"/>
        <w:spacing w:after="0" w:line="238" w:lineRule="auto"/>
        <w:tabs>
          <w:tab w:leader="none" w:pos="1812" w:val="left"/>
        </w:tabs>
        <w:numPr>
          <w:ilvl w:val="1"/>
          <w:numId w:val="98"/>
        </w:numPr>
        <w:rPr>
          <w:rFonts w:ascii="Arial" w:cs="Arial" w:eastAsia="Arial" w:hAnsi="Arial"/>
          <w:sz w:val="13"/>
          <w:szCs w:val="13"/>
          <w:color w:val="2952A4"/>
        </w:rPr>
      </w:pPr>
      <w:r>
        <w:rPr>
          <w:rFonts w:ascii="Arial" w:cs="Arial" w:eastAsia="Arial" w:hAnsi="Arial"/>
          <w:sz w:val="13"/>
          <w:szCs w:val="13"/>
          <w:b w:val="1"/>
          <w:bCs w:val="1"/>
          <w:color w:val="231F20"/>
        </w:rPr>
        <w:t xml:space="preserve">Libtayo: </w:t>
      </w:r>
      <w:r>
        <w:rPr>
          <w:rFonts w:ascii="Arial" w:cs="Arial" w:eastAsia="Arial" w:hAnsi="Arial"/>
          <w:sz w:val="13"/>
          <w:szCs w:val="13"/>
          <w:color w:val="231F20"/>
        </w:rPr>
        <w:t>#1 systemic treatment in cutaneous squamous cell</w:t>
      </w:r>
      <w:r>
        <w:rPr>
          <w:rFonts w:ascii="Arial" w:cs="Arial" w:eastAsia="Arial" w:hAnsi="Arial"/>
          <w:sz w:val="13"/>
          <w:szCs w:val="13"/>
          <w:b w:val="1"/>
          <w:bCs w:val="1"/>
          <w:color w:val="231F20"/>
        </w:rPr>
        <w:t xml:space="preserve"> </w:t>
      </w:r>
      <w:r>
        <w:rPr>
          <w:rFonts w:ascii="Arial" w:cs="Arial" w:eastAsia="Arial" w:hAnsi="Arial"/>
          <w:sz w:val="13"/>
          <w:szCs w:val="13"/>
          <w:color w:val="231F20"/>
        </w:rPr>
        <w:t>carcinoma in the United States</w:t>
      </w:r>
    </w:p>
    <w:p>
      <w:pPr>
        <w:ind w:left="1820" w:hanging="120"/>
        <w:spacing w:after="0"/>
        <w:tabs>
          <w:tab w:leader="none" w:pos="1820" w:val="left"/>
        </w:tabs>
        <w:numPr>
          <w:ilvl w:val="1"/>
          <w:numId w:val="98"/>
        </w:numPr>
        <w:rPr>
          <w:rFonts w:ascii="Arial" w:cs="Arial" w:eastAsia="Arial" w:hAnsi="Arial"/>
          <w:sz w:val="13"/>
          <w:szCs w:val="13"/>
          <w:color w:val="2952A4"/>
        </w:rPr>
      </w:pPr>
      <w:r>
        <w:rPr>
          <w:rFonts w:ascii="Arial" w:cs="Arial" w:eastAsia="Arial" w:hAnsi="Arial"/>
          <w:sz w:val="13"/>
          <w:szCs w:val="13"/>
          <w:b w:val="1"/>
          <w:bCs w:val="1"/>
          <w:color w:val="231F20"/>
        </w:rPr>
        <w:t>Antibody Collaboration with Sanofi:</w:t>
      </w:r>
    </w:p>
    <w:p>
      <w:pPr>
        <w:ind w:left="1980" w:right="20" w:hanging="136"/>
        <w:spacing w:after="0" w:line="238" w:lineRule="auto"/>
        <w:tabs>
          <w:tab w:leader="none" w:pos="1972" w:val="left"/>
        </w:tabs>
        <w:numPr>
          <w:ilvl w:val="2"/>
          <w:numId w:val="98"/>
        </w:numPr>
        <w:rPr>
          <w:rFonts w:ascii="Arial" w:cs="Arial" w:eastAsia="Arial" w:hAnsi="Arial"/>
          <w:sz w:val="13"/>
          <w:szCs w:val="13"/>
          <w:color w:val="2952A4"/>
        </w:rPr>
      </w:pPr>
      <w:r>
        <w:rPr>
          <w:rFonts w:ascii="Arial" w:cs="Arial" w:eastAsia="Arial" w:hAnsi="Arial"/>
          <w:sz w:val="13"/>
          <w:szCs w:val="13"/>
          <w:color w:val="231F20"/>
        </w:rPr>
        <w:t>Achieved profitability for the first time on a quarterly basis in the second quarter of 2019</w:t>
      </w:r>
    </w:p>
    <w:p>
      <w:pPr>
        <w:ind w:left="1980" w:right="160" w:hanging="136"/>
        <w:spacing w:after="0" w:line="248" w:lineRule="auto"/>
        <w:tabs>
          <w:tab w:leader="none" w:pos="1972" w:val="left"/>
        </w:tabs>
        <w:numPr>
          <w:ilvl w:val="2"/>
          <w:numId w:val="98"/>
        </w:numPr>
        <w:rPr>
          <w:rFonts w:ascii="Arial" w:cs="Arial" w:eastAsia="Arial" w:hAnsi="Arial"/>
          <w:sz w:val="13"/>
          <w:szCs w:val="13"/>
          <w:color w:val="2952A4"/>
        </w:rPr>
      </w:pPr>
      <w:r>
        <w:rPr>
          <w:rFonts w:ascii="Arial" w:cs="Arial" w:eastAsia="Arial" w:hAnsi="Arial"/>
          <w:sz w:val="13"/>
          <w:szCs w:val="13"/>
          <w:color w:val="231F20"/>
        </w:rPr>
        <w:t>Increased profitability in the third and fourth quarters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170180</wp:posOffset>
            </wp:positionV>
            <wp:extent cx="50831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2952A4"/>
        </w:rPr>
        <w:t>Financial Execution</w:t>
      </w:r>
    </w:p>
    <w:p>
      <w:pPr>
        <w:spacing w:after="0" w:line="88" w:lineRule="exact"/>
        <w:rPr>
          <w:sz w:val="20"/>
          <w:szCs w:val="20"/>
          <w:color w:val="auto"/>
        </w:rPr>
      </w:pPr>
    </w:p>
    <w:p>
      <w:pPr>
        <w:ind w:left="160" w:right="1720" w:hanging="134"/>
        <w:spacing w:after="0" w:line="251" w:lineRule="auto"/>
        <w:tabs>
          <w:tab w:leader="none" w:pos="152" w:val="left"/>
        </w:tabs>
        <w:numPr>
          <w:ilvl w:val="0"/>
          <w:numId w:val="99"/>
        </w:numPr>
        <w:rPr>
          <w:rFonts w:ascii="Arial" w:cs="Arial" w:eastAsia="Arial" w:hAnsi="Arial"/>
          <w:sz w:val="13"/>
          <w:szCs w:val="13"/>
          <w:color w:val="2952A4"/>
        </w:rPr>
      </w:pPr>
      <w:r>
        <w:rPr>
          <w:rFonts w:ascii="Arial" w:cs="Arial" w:eastAsia="Arial" w:hAnsi="Arial"/>
          <w:sz w:val="13"/>
          <w:szCs w:val="13"/>
          <w:b w:val="1"/>
          <w:bCs w:val="1"/>
          <w:color w:val="231F20"/>
        </w:rPr>
        <w:t xml:space="preserve">Revenue: </w:t>
      </w:r>
      <w:r>
        <w:rPr>
          <w:rFonts w:ascii="Arial" w:cs="Arial" w:eastAsia="Arial" w:hAnsi="Arial"/>
          <w:sz w:val="13"/>
          <w:szCs w:val="13"/>
          <w:color w:val="231F20"/>
        </w:rPr>
        <w:t>Full-year 2019 revenues increased 17% to $7.86</w:t>
      </w:r>
      <w:r>
        <w:rPr>
          <w:rFonts w:ascii="Arial" w:cs="Arial" w:eastAsia="Arial" w:hAnsi="Arial"/>
          <w:sz w:val="13"/>
          <w:szCs w:val="13"/>
          <w:b w:val="1"/>
          <w:bCs w:val="1"/>
          <w:color w:val="231F20"/>
        </w:rPr>
        <w:t xml:space="preserve"> </w:t>
      </w:r>
      <w:r>
        <w:rPr>
          <w:rFonts w:ascii="Arial" w:cs="Arial" w:eastAsia="Arial" w:hAnsi="Arial"/>
          <w:sz w:val="13"/>
          <w:szCs w:val="13"/>
          <w:color w:val="231F20"/>
        </w:rPr>
        <w:t>billion versus 2018***</w:t>
      </w:r>
    </w:p>
    <w:p>
      <w:pPr>
        <w:ind w:left="160" w:right="1680" w:hanging="134"/>
        <w:spacing w:after="0" w:line="238" w:lineRule="auto"/>
        <w:tabs>
          <w:tab w:leader="none" w:pos="152" w:val="left"/>
        </w:tabs>
        <w:numPr>
          <w:ilvl w:val="0"/>
          <w:numId w:val="99"/>
        </w:numPr>
        <w:rPr>
          <w:rFonts w:ascii="Arial" w:cs="Arial" w:eastAsia="Arial" w:hAnsi="Arial"/>
          <w:sz w:val="13"/>
          <w:szCs w:val="13"/>
          <w:color w:val="2952A4"/>
        </w:rPr>
      </w:pPr>
      <w:r>
        <w:rPr>
          <w:rFonts w:ascii="Arial" w:cs="Arial" w:eastAsia="Arial" w:hAnsi="Arial"/>
          <w:sz w:val="13"/>
          <w:szCs w:val="13"/>
          <w:b w:val="1"/>
          <w:bCs w:val="1"/>
          <w:color w:val="231F20"/>
        </w:rPr>
        <w:t xml:space="preserve">Non-GAAP Diluted EPS: </w:t>
      </w:r>
      <w:r>
        <w:rPr>
          <w:rFonts w:ascii="Arial" w:cs="Arial" w:eastAsia="Arial" w:hAnsi="Arial"/>
          <w:sz w:val="13"/>
          <w:szCs w:val="13"/>
          <w:color w:val="231F20"/>
        </w:rPr>
        <w:t>Non-GAAP net income per share,</w:t>
      </w:r>
      <w:r>
        <w:rPr>
          <w:rFonts w:ascii="Arial" w:cs="Arial" w:eastAsia="Arial" w:hAnsi="Arial"/>
          <w:sz w:val="13"/>
          <w:szCs w:val="13"/>
          <w:b w:val="1"/>
          <w:bCs w:val="1"/>
          <w:color w:val="231F20"/>
        </w:rPr>
        <w:t xml:space="preserve"> </w:t>
      </w:r>
      <w:r>
        <w:rPr>
          <w:rFonts w:ascii="Arial" w:cs="Arial" w:eastAsia="Arial" w:hAnsi="Arial"/>
          <w:sz w:val="13"/>
          <w:szCs w:val="13"/>
          <w:color w:val="231F20"/>
        </w:rPr>
        <w:t>or EPS, for full-year 2019 increased 8% versus 2018****</w:t>
      </w:r>
    </w:p>
    <w:p>
      <w:pPr>
        <w:ind w:left="160" w:right="1700" w:hanging="134"/>
        <w:spacing w:after="0" w:line="238" w:lineRule="auto"/>
        <w:tabs>
          <w:tab w:leader="none" w:pos="152" w:val="left"/>
        </w:tabs>
        <w:numPr>
          <w:ilvl w:val="0"/>
          <w:numId w:val="99"/>
        </w:numPr>
        <w:rPr>
          <w:rFonts w:ascii="Arial" w:cs="Arial" w:eastAsia="Arial" w:hAnsi="Arial"/>
          <w:sz w:val="13"/>
          <w:szCs w:val="13"/>
          <w:color w:val="2952A4"/>
        </w:rPr>
      </w:pPr>
      <w:r>
        <w:rPr>
          <w:rFonts w:ascii="Arial" w:cs="Arial" w:eastAsia="Arial" w:hAnsi="Arial"/>
          <w:sz w:val="13"/>
          <w:szCs w:val="13"/>
          <w:b w:val="1"/>
          <w:bCs w:val="1"/>
          <w:color w:val="231F20"/>
        </w:rPr>
        <w:t xml:space="preserve">Business Development: </w:t>
      </w:r>
      <w:r>
        <w:rPr>
          <w:rFonts w:ascii="Arial" w:cs="Arial" w:eastAsia="Arial" w:hAnsi="Arial"/>
          <w:sz w:val="13"/>
          <w:szCs w:val="13"/>
          <w:color w:val="231F20"/>
        </w:rPr>
        <w:t>Approximately $850 million of</w:t>
      </w:r>
      <w:r>
        <w:rPr>
          <w:rFonts w:ascii="Arial" w:cs="Arial" w:eastAsia="Arial" w:hAnsi="Arial"/>
          <w:sz w:val="13"/>
          <w:szCs w:val="13"/>
          <w:b w:val="1"/>
          <w:bCs w:val="1"/>
          <w:color w:val="231F20"/>
        </w:rPr>
        <w:t xml:space="preserve"> </w:t>
      </w:r>
      <w:r>
        <w:rPr>
          <w:rFonts w:ascii="Arial" w:cs="Arial" w:eastAsia="Arial" w:hAnsi="Arial"/>
          <w:sz w:val="13"/>
          <w:szCs w:val="13"/>
          <w:color w:val="231F20"/>
        </w:rPr>
        <w:t>equity investments and upfront payments in connection with our collaboration arrangements</w:t>
      </w:r>
    </w:p>
    <w:p>
      <w:pPr>
        <w:ind w:left="160" w:right="1780" w:hanging="134"/>
        <w:spacing w:after="0" w:line="243" w:lineRule="auto"/>
        <w:tabs>
          <w:tab w:leader="none" w:pos="116" w:val="left"/>
        </w:tabs>
        <w:numPr>
          <w:ilvl w:val="0"/>
          <w:numId w:val="99"/>
        </w:numPr>
        <w:rPr>
          <w:rFonts w:ascii="Arial" w:cs="Arial" w:eastAsia="Arial" w:hAnsi="Arial"/>
          <w:sz w:val="13"/>
          <w:szCs w:val="13"/>
          <w:color w:val="2952A4"/>
        </w:rPr>
      </w:pPr>
      <w:r>
        <w:rPr>
          <w:rFonts w:ascii="Arial" w:cs="Arial" w:eastAsia="Arial" w:hAnsi="Arial"/>
          <w:sz w:val="13"/>
          <w:szCs w:val="13"/>
          <w:b w:val="1"/>
          <w:bCs w:val="1"/>
          <w:color w:val="231F20"/>
        </w:rPr>
        <w:t xml:space="preserve">Share Repurchase Program: </w:t>
      </w:r>
      <w:r>
        <w:rPr>
          <w:rFonts w:ascii="Arial" w:cs="Arial" w:eastAsia="Arial" w:hAnsi="Arial"/>
          <w:sz w:val="13"/>
          <w:szCs w:val="13"/>
          <w:color w:val="231F20"/>
        </w:rPr>
        <w:t>Initiated a share repurchase</w:t>
      </w:r>
      <w:r>
        <w:rPr>
          <w:rFonts w:ascii="Arial" w:cs="Arial" w:eastAsia="Arial" w:hAnsi="Arial"/>
          <w:sz w:val="13"/>
          <w:szCs w:val="13"/>
          <w:b w:val="1"/>
          <w:bCs w:val="1"/>
          <w:color w:val="231F20"/>
        </w:rPr>
        <w:t xml:space="preserve"> </w:t>
      </w:r>
      <w:r>
        <w:rPr>
          <w:rFonts w:ascii="Arial" w:cs="Arial" w:eastAsia="Arial" w:hAnsi="Arial"/>
          <w:sz w:val="13"/>
          <w:szCs w:val="13"/>
          <w:color w:val="231F20"/>
        </w:rPr>
        <w:t>program to repurchase up to $1.0 billion of our common stock</w:t>
      </w:r>
    </w:p>
    <w:p>
      <w:pPr>
        <w:spacing w:after="0" w:line="648" w:lineRule="exact"/>
        <w:rPr>
          <w:sz w:val="20"/>
          <w:szCs w:val="20"/>
          <w:color w:val="auto"/>
        </w:rPr>
      </w:pPr>
    </w:p>
    <w:p>
      <w:pPr>
        <w:sectPr>
          <w:pgSz w:w="11900" w:h="16838" w:orient="portrait"/>
          <w:cols w:equalWidth="0" w:num="2">
            <w:col w:w="5280" w:space="660"/>
            <w:col w:w="5300"/>
          </w:cols>
          <w:pgMar w:left="320" w:top="405" w:right="339" w:bottom="1440" w:gutter="0" w:footer="0" w:header="0"/>
          <w:type w:val="continuous"/>
        </w:sectPr>
      </w:pP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4"/>
          <w:szCs w:val="14"/>
          <w:color w:val="231F20"/>
        </w:rPr>
        <w:t>*Our collaborator Bayer records net product sales of EYLEA outside the United States.</w:t>
      </w:r>
    </w:p>
    <w:p>
      <w:pPr>
        <w:spacing w:after="0" w:line="96" w:lineRule="exact"/>
        <w:rPr>
          <w:sz w:val="20"/>
          <w:szCs w:val="20"/>
          <w:color w:val="auto"/>
        </w:rPr>
      </w:pPr>
    </w:p>
    <w:p>
      <w:pPr>
        <w:ind w:left="1580"/>
        <w:spacing w:after="0"/>
        <w:rPr>
          <w:sz w:val="20"/>
          <w:szCs w:val="20"/>
          <w:color w:val="auto"/>
        </w:rPr>
      </w:pPr>
      <w:r>
        <w:rPr>
          <w:rFonts w:ascii="Arial" w:cs="Arial" w:eastAsia="Arial" w:hAnsi="Arial"/>
          <w:sz w:val="14"/>
          <w:szCs w:val="14"/>
          <w:color w:val="231F20"/>
        </w:rPr>
        <w:t>**Our collaborator Sanofi records global net product sales of Dupixent.</w:t>
      </w:r>
    </w:p>
    <w:p>
      <w:pPr>
        <w:spacing w:after="0" w:line="96" w:lineRule="exact"/>
        <w:rPr>
          <w:sz w:val="20"/>
          <w:szCs w:val="20"/>
          <w:color w:val="auto"/>
        </w:rPr>
      </w:pPr>
    </w:p>
    <w:p>
      <w:pPr>
        <w:ind w:left="1760" w:right="1680" w:hanging="161"/>
        <w:spacing w:after="0" w:line="244" w:lineRule="auto"/>
        <w:rPr>
          <w:sz w:val="20"/>
          <w:szCs w:val="20"/>
          <w:color w:val="auto"/>
        </w:rPr>
      </w:pPr>
      <w:r>
        <w:rPr>
          <w:rFonts w:ascii="Arial" w:cs="Arial" w:eastAsia="Arial" w:hAnsi="Arial"/>
          <w:sz w:val="14"/>
          <w:szCs w:val="14"/>
          <w:color w:val="231F20"/>
        </w:rPr>
        <w:t>***As reported in the 2019 Annual Report. In the second quarter of 2020, Regeneron announced that it had implemented changes in the presentation of its consolidated financial statements relating to certain reimbursements and other payments for products developed and commercialized with collaborators. These changes were made effective January 1, 2020 and have also been applied retrospectively. After giving effect to these changes, Regeneron’s revenue for fiscal 2018 and fiscal 2019 would have been $5.15 billion and $6.56 billion, respectively. There is no impact from these changes to net income or net income per share.</w:t>
      </w:r>
    </w:p>
    <w:p>
      <w:pPr>
        <w:spacing w:after="0" w:line="84" w:lineRule="exact"/>
        <w:rPr>
          <w:sz w:val="20"/>
          <w:szCs w:val="20"/>
          <w:color w:val="auto"/>
        </w:rPr>
      </w:pPr>
    </w:p>
    <w:p>
      <w:pPr>
        <w:ind w:left="1780" w:right="1940" w:hanging="197"/>
        <w:spacing w:after="0" w:line="249" w:lineRule="auto"/>
        <w:rPr>
          <w:sz w:val="20"/>
          <w:szCs w:val="20"/>
          <w:color w:val="auto"/>
        </w:rPr>
      </w:pPr>
      <w:r>
        <w:rPr>
          <w:rFonts w:ascii="Arial" w:cs="Arial" w:eastAsia="Arial" w:hAnsi="Arial"/>
          <w:sz w:val="14"/>
          <w:szCs w:val="14"/>
          <w:color w:val="231F20"/>
        </w:rPr>
        <w:t>****Non-GAAP net income and non-GAAP net income per share, or EPS, are not measures calculated in accordance with U.S. Generally Accepted Accounting Principles (“GAAP”). See Appendix A for a definition of these measures and a reconciliation of each of these measures to the most directly comparable GAAP financial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060" w:type="dxa"/>
            <w:vAlign w:val="bottom"/>
          </w:tcPr>
          <w:p>
            <w:pPr>
              <w:jc w:val="right"/>
              <w:ind w:right="7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59</w:t>
            </w:r>
          </w:p>
        </w:tc>
      </w:tr>
      <w:tr>
        <w:trPr>
          <w:trHeight w:val="262"/>
        </w:trPr>
        <w:tc>
          <w:tcPr>
            <w:tcW w:w="8180" w:type="dxa"/>
            <w:vAlign w:val="bottom"/>
            <w:tcBorders>
              <w:bottom w:val="single" w:sz="8" w:color="C0C0C0"/>
            </w:tcBorders>
          </w:tcPr>
          <w:p>
            <w:pPr>
              <w:spacing w:after="0"/>
              <w:rPr>
                <w:sz w:val="22"/>
                <w:szCs w:val="22"/>
                <w:color w:val="auto"/>
              </w:rPr>
            </w:pPr>
          </w:p>
        </w:tc>
        <w:tc>
          <w:tcPr>
            <w:tcW w:w="30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-290830</wp:posOffset>
            </wp:positionV>
            <wp:extent cx="74549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1" w:name="page72"/>
    <w:bookmarkEnd w:id="71"/>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TSR Performance</w:t>
      </w:r>
    </w:p>
    <w:p>
      <w:pPr>
        <w:spacing w:after="0" w:line="187" w:lineRule="exact"/>
        <w:rPr>
          <w:sz w:val="20"/>
          <w:szCs w:val="20"/>
          <w:color w:val="auto"/>
        </w:rPr>
      </w:pPr>
    </w:p>
    <w:p>
      <w:pPr>
        <w:ind w:left="460" w:right="719"/>
        <w:spacing w:after="0" w:line="216" w:lineRule="auto"/>
        <w:rPr>
          <w:sz w:val="20"/>
          <w:szCs w:val="20"/>
          <w:color w:val="auto"/>
        </w:rPr>
      </w:pPr>
      <w:r>
        <w:rPr>
          <w:rFonts w:ascii="Arial" w:cs="Arial" w:eastAsia="Arial" w:hAnsi="Arial"/>
          <w:sz w:val="15"/>
          <w:szCs w:val="15"/>
          <w:color w:val="231F20"/>
        </w:rPr>
        <w:t>Despite progress in many key areas of our business,</w:t>
      </w:r>
      <w:r>
        <w:rPr>
          <w:rFonts w:ascii="Arial" w:cs="Arial" w:eastAsia="Arial" w:hAnsi="Arial"/>
          <w:sz w:val="25"/>
          <w:szCs w:val="25"/>
          <w:color w:val="231F20"/>
          <w:vertAlign w:val="superscript"/>
        </w:rPr>
        <w:t>9</w:t>
      </w:r>
      <w:r>
        <w:rPr>
          <w:rFonts w:ascii="Arial" w:cs="Arial" w:eastAsia="Arial" w:hAnsi="Arial"/>
          <w:sz w:val="15"/>
          <w:szCs w:val="15"/>
          <w:color w:val="231F20"/>
        </w:rPr>
        <w:t xml:space="preserve"> our stock underperformed the S&amp;P 500 Index and the S&amp;P Biotechnology Select Industry Index last year and over the five years ended December 31, 2019, which we believe was due to factors including concerns about competitive threats to our marketed products (particularly EYLEA) and drug-pricing legislation or regulatory reform. However, over the 10-year period ended December 31, 2019, we delivered stock price appreciation of 1,453% and outperformed both the S&amp;P 500 Index (2009–2019 TSR of 256%) and the S&amp;P Biotechnology Select Industry Index (2009–2019 TSR of 442%). While we cannot predict or control the performance of our stock price in any particular time period, we believe that if we continue to deliver operational, pipeline, and financial results, the creation of shareholder value and stock price appreciation will follow.</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C04C57"/>
        </w:rPr>
        <w:t>Regeneron 5-Year TSR vs. S&amp;P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99060</wp:posOffset>
            </wp:positionV>
            <wp:extent cx="5083175" cy="15601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08317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Arial" w:cs="Arial" w:eastAsia="Arial" w:hAnsi="Arial"/>
          <w:sz w:val="14"/>
          <w:szCs w:val="14"/>
          <w:color w:val="231F20"/>
        </w:rPr>
        <w:t>*TSR data reflect total returns (stock price appreciation and, if applicable, reinvested dividends).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HOW OUR PAY PROGRAM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237" w:lineRule="exact"/>
        <w:rPr>
          <w:sz w:val="20"/>
          <w:szCs w:val="20"/>
          <w:color w:val="auto"/>
        </w:rPr>
      </w:pPr>
    </w:p>
    <w:p>
      <w:pPr>
        <w:jc w:val="both"/>
        <w:ind w:left="460" w:right="659"/>
        <w:spacing w:after="0" w:line="235" w:lineRule="auto"/>
        <w:rPr>
          <w:sz w:val="20"/>
          <w:szCs w:val="20"/>
          <w:color w:val="auto"/>
        </w:rPr>
      </w:pPr>
      <w:r>
        <w:rPr>
          <w:rFonts w:ascii="Arial" w:cs="Arial" w:eastAsia="Arial" w:hAnsi="Arial"/>
          <w:sz w:val="15"/>
          <w:szCs w:val="15"/>
          <w:color w:val="231F20"/>
        </w:rPr>
        <w:t>Our executive compensation program is designed to support our business model and drive our product pipeline. We operate in an industry with fierce competition for talent, and believe an attractive compensation program is necessary to incentivize, motivate, and retain top talent.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The Compensation Committee relies primarily on the following compensation elements to achieve these objectives: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1200" w:type="dxa"/>
            <w:vAlign w:val="bottom"/>
            <w:tcBorders>
              <w:bottom w:val="single" w:sz="8" w:color="2952A4"/>
            </w:tcBorders>
          </w:tcPr>
          <w:p>
            <w:pPr>
              <w:spacing w:after="0"/>
              <w:rPr>
                <w:sz w:val="13"/>
                <w:szCs w:val="13"/>
                <w:color w:val="auto"/>
              </w:rPr>
            </w:pPr>
          </w:p>
        </w:tc>
        <w:tc>
          <w:tcPr>
            <w:tcW w:w="820" w:type="dxa"/>
            <w:vAlign w:val="bottom"/>
            <w:tcBorders>
              <w:bottom w:val="single" w:sz="8" w:color="2952A4"/>
            </w:tcBorders>
          </w:tcPr>
          <w:p>
            <w:pPr>
              <w:ind w:left="100"/>
              <w:spacing w:after="0"/>
              <w:rPr>
                <w:sz w:val="20"/>
                <w:szCs w:val="20"/>
                <w:color w:val="auto"/>
              </w:rPr>
            </w:pPr>
            <w:r>
              <w:rPr>
                <w:rFonts w:ascii="Arial" w:cs="Arial" w:eastAsia="Arial" w:hAnsi="Arial"/>
                <w:sz w:val="12"/>
                <w:szCs w:val="12"/>
                <w:b w:val="1"/>
                <w:bCs w:val="1"/>
                <w:color w:val="2952A4"/>
              </w:rPr>
              <w:t>Period</w:t>
            </w:r>
          </w:p>
        </w:tc>
        <w:tc>
          <w:tcPr>
            <w:tcW w:w="1220" w:type="dxa"/>
            <w:vAlign w:val="bottom"/>
            <w:tcBorders>
              <w:bottom w:val="single" w:sz="8" w:color="2952A4"/>
            </w:tcBorders>
          </w:tcPr>
          <w:p>
            <w:pPr>
              <w:ind w:left="80"/>
              <w:spacing w:after="0"/>
              <w:rPr>
                <w:sz w:val="20"/>
                <w:szCs w:val="20"/>
                <w:color w:val="auto"/>
              </w:rPr>
            </w:pPr>
            <w:r>
              <w:rPr>
                <w:rFonts w:ascii="Arial" w:cs="Arial" w:eastAsia="Arial" w:hAnsi="Arial"/>
                <w:sz w:val="12"/>
                <w:szCs w:val="12"/>
                <w:b w:val="1"/>
                <w:bCs w:val="1"/>
                <w:color w:val="2952A4"/>
              </w:rPr>
              <w:t>Element</w:t>
            </w:r>
          </w:p>
        </w:tc>
        <w:tc>
          <w:tcPr>
            <w:tcW w:w="2420" w:type="dxa"/>
            <w:vAlign w:val="bottom"/>
            <w:tcBorders>
              <w:bottom w:val="single" w:sz="8" w:color="2952A4"/>
            </w:tcBorders>
          </w:tcPr>
          <w:p>
            <w:pPr>
              <w:ind w:left="80"/>
              <w:spacing w:after="0"/>
              <w:rPr>
                <w:sz w:val="20"/>
                <w:szCs w:val="20"/>
                <w:color w:val="auto"/>
              </w:rPr>
            </w:pPr>
            <w:r>
              <w:rPr>
                <w:rFonts w:ascii="Arial" w:cs="Arial" w:eastAsia="Arial" w:hAnsi="Arial"/>
                <w:sz w:val="12"/>
                <w:szCs w:val="12"/>
                <w:b w:val="1"/>
                <w:bCs w:val="1"/>
                <w:color w:val="2952A4"/>
              </w:rPr>
              <w:t>Objective</w:t>
            </w:r>
          </w:p>
        </w:tc>
        <w:tc>
          <w:tcPr>
            <w:tcW w:w="2440" w:type="dxa"/>
            <w:vAlign w:val="bottom"/>
            <w:tcBorders>
              <w:bottom w:val="single" w:sz="8" w:color="2952A4"/>
            </w:tcBorders>
          </w:tcPr>
          <w:p>
            <w:pPr>
              <w:ind w:left="100"/>
              <w:spacing w:after="0"/>
              <w:rPr>
                <w:sz w:val="20"/>
                <w:szCs w:val="20"/>
                <w:color w:val="auto"/>
              </w:rPr>
            </w:pPr>
            <w:r>
              <w:rPr>
                <w:rFonts w:ascii="Arial" w:cs="Arial" w:eastAsia="Arial" w:hAnsi="Arial"/>
                <w:sz w:val="12"/>
                <w:szCs w:val="12"/>
                <w:b w:val="1"/>
                <w:bCs w:val="1"/>
                <w:color w:val="2952A4"/>
              </w:rPr>
              <w:t>Performance Measured/Rewarded</w:t>
            </w:r>
          </w:p>
        </w:tc>
        <w:tc>
          <w:tcPr>
            <w:tcW w:w="0" w:type="dxa"/>
            <w:vAlign w:val="bottom"/>
          </w:tcPr>
          <w:p>
            <w:pPr>
              <w:spacing w:after="0"/>
              <w:rPr>
                <w:sz w:val="1"/>
                <w:szCs w:val="1"/>
                <w:color w:val="auto"/>
              </w:rPr>
            </w:pPr>
          </w:p>
        </w:tc>
      </w:tr>
      <w:tr>
        <w:trPr>
          <w:trHeight w:val="152"/>
        </w:trPr>
        <w:tc>
          <w:tcPr>
            <w:tcW w:w="1200" w:type="dxa"/>
            <w:vAlign w:val="bottom"/>
            <w:shd w:val="clear" w:color="auto" w:fill="CFD0D2"/>
          </w:tcPr>
          <w:p>
            <w:pPr>
              <w:spacing w:after="0"/>
              <w:rPr>
                <w:sz w:val="13"/>
                <w:szCs w:val="13"/>
                <w:color w:val="auto"/>
              </w:rPr>
            </w:pPr>
          </w:p>
        </w:tc>
        <w:tc>
          <w:tcPr>
            <w:tcW w:w="820" w:type="dxa"/>
            <w:vAlign w:val="bottom"/>
            <w:shd w:val="clear" w:color="auto" w:fill="EAEAEC"/>
          </w:tcPr>
          <w:p>
            <w:pPr>
              <w:ind w:left="100"/>
              <w:spacing w:after="0"/>
              <w:rPr>
                <w:sz w:val="20"/>
                <w:szCs w:val="20"/>
                <w:color w:val="auto"/>
              </w:rPr>
            </w:pPr>
            <w:r>
              <w:rPr>
                <w:rFonts w:ascii="Arial" w:cs="Arial" w:eastAsia="Arial" w:hAnsi="Arial"/>
                <w:sz w:val="13"/>
                <w:szCs w:val="13"/>
                <w:color w:val="231F20"/>
              </w:rPr>
              <w:t>Annual</w:t>
            </w:r>
          </w:p>
        </w:tc>
        <w:tc>
          <w:tcPr>
            <w:tcW w:w="1220" w:type="dxa"/>
            <w:vAlign w:val="bottom"/>
            <w:shd w:val="clear" w:color="auto" w:fill="EAEAEC"/>
          </w:tcPr>
          <w:p>
            <w:pPr>
              <w:ind w:left="80"/>
              <w:spacing w:after="0"/>
              <w:rPr>
                <w:sz w:val="20"/>
                <w:szCs w:val="20"/>
                <w:color w:val="auto"/>
              </w:rPr>
            </w:pPr>
            <w:r>
              <w:rPr>
                <w:rFonts w:ascii="Arial" w:cs="Arial" w:eastAsia="Arial" w:hAnsi="Arial"/>
                <w:sz w:val="13"/>
                <w:szCs w:val="13"/>
                <w:color w:val="231F20"/>
              </w:rPr>
              <w:t>Base Salary</w:t>
            </w:r>
          </w:p>
        </w:tc>
        <w:tc>
          <w:tcPr>
            <w:tcW w:w="2420" w:type="dxa"/>
            <w:vAlign w:val="bottom"/>
            <w:shd w:val="clear" w:color="auto" w:fill="EAEAEC"/>
          </w:tcPr>
          <w:p>
            <w:pPr>
              <w:ind w:left="80"/>
              <w:spacing w:after="0"/>
              <w:rPr>
                <w:sz w:val="20"/>
                <w:szCs w:val="20"/>
                <w:color w:val="auto"/>
              </w:rPr>
            </w:pPr>
            <w:r>
              <w:rPr>
                <w:rFonts w:ascii="Arial" w:cs="Arial" w:eastAsia="Arial" w:hAnsi="Arial"/>
                <w:sz w:val="13"/>
                <w:szCs w:val="13"/>
                <w:color w:val="231F20"/>
              </w:rPr>
              <w:t>Recognizes an individual’s role and</w:t>
            </w:r>
          </w:p>
        </w:tc>
        <w:tc>
          <w:tcPr>
            <w:tcW w:w="2440" w:type="dxa"/>
            <w:vAlign w:val="bottom"/>
            <w:shd w:val="clear" w:color="auto" w:fill="EAEAEC"/>
          </w:tcPr>
          <w:p>
            <w:pPr>
              <w:ind w:left="100"/>
              <w:spacing w:after="0"/>
              <w:rPr>
                <w:sz w:val="20"/>
                <w:szCs w:val="20"/>
                <w:color w:val="auto"/>
              </w:rPr>
            </w:pPr>
            <w:r>
              <w:rPr>
                <w:rFonts w:ascii="Arial" w:cs="Arial" w:eastAsia="Arial" w:hAnsi="Arial"/>
                <w:sz w:val="13"/>
                <w:szCs w:val="13"/>
                <w:color w:val="231F20"/>
              </w:rPr>
              <w:t>Reviewed annually and set based on</w:t>
            </w:r>
          </w:p>
        </w:tc>
        <w:tc>
          <w:tcPr>
            <w:tcW w:w="0" w:type="dxa"/>
            <w:vAlign w:val="bottom"/>
          </w:tcPr>
          <w:p>
            <w:pPr>
              <w:spacing w:after="0"/>
              <w:rPr>
                <w:sz w:val="1"/>
                <w:szCs w:val="1"/>
                <w:color w:val="auto"/>
              </w:rPr>
            </w:pPr>
          </w:p>
        </w:tc>
      </w:tr>
      <w:tr>
        <w:trPr>
          <w:trHeight w:val="148"/>
        </w:trPr>
        <w:tc>
          <w:tcPr>
            <w:tcW w:w="1200" w:type="dxa"/>
            <w:vAlign w:val="bottom"/>
            <w:vMerge w:val="restart"/>
            <w:shd w:val="clear" w:color="auto" w:fill="CFD0D2"/>
          </w:tcPr>
          <w:p>
            <w:pPr>
              <w:jc w:val="center"/>
              <w:spacing w:after="0"/>
              <w:rPr>
                <w:sz w:val="20"/>
                <w:szCs w:val="20"/>
                <w:color w:val="auto"/>
              </w:rPr>
            </w:pPr>
            <w:r>
              <w:rPr>
                <w:rFonts w:ascii="Arial" w:cs="Arial" w:eastAsia="Arial" w:hAnsi="Arial"/>
                <w:sz w:val="13"/>
                <w:szCs w:val="13"/>
                <w:b w:val="1"/>
                <w:bCs w:val="1"/>
                <w:color w:val="C04C57"/>
              </w:rPr>
              <w:t>FIXED</w:t>
            </w:r>
          </w:p>
        </w:tc>
        <w:tc>
          <w:tcPr>
            <w:tcW w:w="820" w:type="dxa"/>
            <w:vAlign w:val="bottom"/>
            <w:shd w:val="clear" w:color="auto" w:fill="EAEAEC"/>
          </w:tcPr>
          <w:p>
            <w:pPr>
              <w:spacing w:after="0"/>
              <w:rPr>
                <w:sz w:val="12"/>
                <w:szCs w:val="12"/>
                <w:color w:val="auto"/>
              </w:rPr>
            </w:pPr>
          </w:p>
        </w:tc>
        <w:tc>
          <w:tcPr>
            <w:tcW w:w="1220" w:type="dxa"/>
            <w:vAlign w:val="bottom"/>
            <w:shd w:val="clear" w:color="auto" w:fill="EAEAEC"/>
          </w:tcPr>
          <w:p>
            <w:pPr>
              <w:spacing w:after="0"/>
              <w:rPr>
                <w:sz w:val="12"/>
                <w:szCs w:val="12"/>
                <w:color w:val="auto"/>
              </w:rPr>
            </w:pPr>
          </w:p>
        </w:tc>
        <w:tc>
          <w:tcPr>
            <w:tcW w:w="2420" w:type="dxa"/>
            <w:vAlign w:val="bottom"/>
            <w:shd w:val="clear" w:color="auto" w:fill="EAEAEC"/>
          </w:tcPr>
          <w:p>
            <w:pPr>
              <w:ind w:left="80"/>
              <w:spacing w:after="0"/>
              <w:rPr>
                <w:sz w:val="20"/>
                <w:szCs w:val="20"/>
                <w:color w:val="auto"/>
              </w:rPr>
            </w:pPr>
            <w:r>
              <w:rPr>
                <w:rFonts w:ascii="Arial" w:cs="Arial" w:eastAsia="Arial" w:hAnsi="Arial"/>
                <w:sz w:val="13"/>
                <w:szCs w:val="13"/>
                <w:color w:val="231F20"/>
              </w:rPr>
              <w:t>responsibilities and serves as an</w:t>
            </w:r>
          </w:p>
        </w:tc>
        <w:tc>
          <w:tcPr>
            <w:tcW w:w="2440" w:type="dxa"/>
            <w:vAlign w:val="bottom"/>
            <w:shd w:val="clear" w:color="auto" w:fill="EAEAEC"/>
          </w:tcPr>
          <w:p>
            <w:pPr>
              <w:ind w:left="100"/>
              <w:spacing w:after="0"/>
              <w:rPr>
                <w:sz w:val="20"/>
                <w:szCs w:val="20"/>
                <w:color w:val="auto"/>
              </w:rPr>
            </w:pPr>
            <w:r>
              <w:rPr>
                <w:rFonts w:ascii="Arial" w:cs="Arial" w:eastAsia="Arial" w:hAnsi="Arial"/>
                <w:sz w:val="13"/>
                <w:szCs w:val="13"/>
                <w:color w:val="231F20"/>
              </w:rPr>
              <w:t>market competitiveness, individual</w:t>
            </w:r>
          </w:p>
        </w:tc>
        <w:tc>
          <w:tcPr>
            <w:tcW w:w="0" w:type="dxa"/>
            <w:vAlign w:val="bottom"/>
          </w:tcPr>
          <w:p>
            <w:pPr>
              <w:spacing w:after="0"/>
              <w:rPr>
                <w:sz w:val="1"/>
                <w:szCs w:val="1"/>
                <w:color w:val="auto"/>
              </w:rPr>
            </w:pPr>
          </w:p>
        </w:tc>
      </w:tr>
      <w:tr>
        <w:trPr>
          <w:trHeight w:val="75"/>
        </w:trPr>
        <w:tc>
          <w:tcPr>
            <w:tcW w:w="1200" w:type="dxa"/>
            <w:vAlign w:val="bottom"/>
            <w:vMerge w:val="continue"/>
            <w:shd w:val="clear" w:color="auto" w:fill="CFD0D2"/>
          </w:tcPr>
          <w:p>
            <w:pPr>
              <w:spacing w:after="0"/>
              <w:rPr>
                <w:sz w:val="6"/>
                <w:szCs w:val="6"/>
                <w:color w:val="auto"/>
              </w:rPr>
            </w:pPr>
          </w:p>
        </w:tc>
        <w:tc>
          <w:tcPr>
            <w:tcW w:w="820" w:type="dxa"/>
            <w:vAlign w:val="bottom"/>
            <w:shd w:val="clear" w:color="auto" w:fill="EAEAEC"/>
          </w:tcPr>
          <w:p>
            <w:pPr>
              <w:spacing w:after="0"/>
              <w:rPr>
                <w:sz w:val="6"/>
                <w:szCs w:val="6"/>
                <w:color w:val="auto"/>
              </w:rPr>
            </w:pPr>
          </w:p>
        </w:tc>
        <w:tc>
          <w:tcPr>
            <w:tcW w:w="1220" w:type="dxa"/>
            <w:vAlign w:val="bottom"/>
            <w:shd w:val="clear" w:color="auto" w:fill="EAEAEC"/>
          </w:tcPr>
          <w:p>
            <w:pPr>
              <w:spacing w:after="0"/>
              <w:rPr>
                <w:sz w:val="6"/>
                <w:szCs w:val="6"/>
                <w:color w:val="auto"/>
              </w:rPr>
            </w:pPr>
          </w:p>
        </w:tc>
        <w:tc>
          <w:tcPr>
            <w:tcW w:w="2420" w:type="dxa"/>
            <w:vAlign w:val="bottom"/>
            <w:vMerge w:val="restart"/>
            <w:shd w:val="clear" w:color="auto" w:fill="EAEAEC"/>
          </w:tcPr>
          <w:p>
            <w:pPr>
              <w:ind w:left="80"/>
              <w:spacing w:after="0"/>
              <w:rPr>
                <w:sz w:val="20"/>
                <w:szCs w:val="20"/>
                <w:color w:val="auto"/>
              </w:rPr>
            </w:pPr>
            <w:r>
              <w:rPr>
                <w:rFonts w:ascii="Arial" w:cs="Arial" w:eastAsia="Arial" w:hAnsi="Arial"/>
                <w:sz w:val="13"/>
                <w:szCs w:val="13"/>
                <w:color w:val="231F20"/>
              </w:rPr>
              <w:t>important retention vehicle</w:t>
            </w:r>
          </w:p>
        </w:tc>
        <w:tc>
          <w:tcPr>
            <w:tcW w:w="2440" w:type="dxa"/>
            <w:vAlign w:val="bottom"/>
            <w:vMerge w:val="restart"/>
            <w:shd w:val="clear" w:color="auto" w:fill="EAEAEC"/>
          </w:tcPr>
          <w:p>
            <w:pPr>
              <w:ind w:left="100"/>
              <w:spacing w:after="0"/>
              <w:rPr>
                <w:sz w:val="20"/>
                <w:szCs w:val="20"/>
                <w:color w:val="auto"/>
              </w:rPr>
            </w:pPr>
            <w:r>
              <w:rPr>
                <w:rFonts w:ascii="Arial" w:cs="Arial" w:eastAsia="Arial" w:hAnsi="Arial"/>
                <w:sz w:val="13"/>
                <w:szCs w:val="13"/>
                <w:color w:val="231F20"/>
              </w:rPr>
              <w:t>performance, and other internal</w:t>
            </w:r>
          </w:p>
        </w:tc>
        <w:tc>
          <w:tcPr>
            <w:tcW w:w="0" w:type="dxa"/>
            <w:vAlign w:val="bottom"/>
          </w:tcPr>
          <w:p>
            <w:pPr>
              <w:spacing w:after="0"/>
              <w:rPr>
                <w:sz w:val="1"/>
                <w:szCs w:val="1"/>
                <w:color w:val="auto"/>
              </w:rPr>
            </w:pPr>
          </w:p>
        </w:tc>
      </w:tr>
      <w:tr>
        <w:trPr>
          <w:trHeight w:val="73"/>
        </w:trPr>
        <w:tc>
          <w:tcPr>
            <w:tcW w:w="1200" w:type="dxa"/>
            <w:vAlign w:val="bottom"/>
            <w:shd w:val="clear" w:color="auto" w:fill="CFD0D2"/>
          </w:tcPr>
          <w:p>
            <w:pPr>
              <w:spacing w:after="0"/>
              <w:rPr>
                <w:sz w:val="6"/>
                <w:szCs w:val="6"/>
                <w:color w:val="auto"/>
              </w:rPr>
            </w:pPr>
          </w:p>
        </w:tc>
        <w:tc>
          <w:tcPr>
            <w:tcW w:w="820" w:type="dxa"/>
            <w:vAlign w:val="bottom"/>
            <w:shd w:val="clear" w:color="auto" w:fill="EAEAEC"/>
          </w:tcPr>
          <w:p>
            <w:pPr>
              <w:spacing w:after="0"/>
              <w:rPr>
                <w:sz w:val="6"/>
                <w:szCs w:val="6"/>
                <w:color w:val="auto"/>
              </w:rPr>
            </w:pPr>
          </w:p>
        </w:tc>
        <w:tc>
          <w:tcPr>
            <w:tcW w:w="1220" w:type="dxa"/>
            <w:vAlign w:val="bottom"/>
            <w:shd w:val="clear" w:color="auto" w:fill="EAEAEC"/>
          </w:tcPr>
          <w:p>
            <w:pPr>
              <w:spacing w:after="0"/>
              <w:rPr>
                <w:sz w:val="6"/>
                <w:szCs w:val="6"/>
                <w:color w:val="auto"/>
              </w:rPr>
            </w:pPr>
          </w:p>
        </w:tc>
        <w:tc>
          <w:tcPr>
            <w:tcW w:w="2420" w:type="dxa"/>
            <w:vAlign w:val="bottom"/>
            <w:vMerge w:val="continue"/>
            <w:shd w:val="clear" w:color="auto" w:fill="EAEAEC"/>
          </w:tcPr>
          <w:p>
            <w:pPr>
              <w:spacing w:after="0"/>
              <w:rPr>
                <w:sz w:val="6"/>
                <w:szCs w:val="6"/>
                <w:color w:val="auto"/>
              </w:rPr>
            </w:pPr>
          </w:p>
        </w:tc>
        <w:tc>
          <w:tcPr>
            <w:tcW w:w="2440" w:type="dxa"/>
            <w:vAlign w:val="bottom"/>
            <w:vMerge w:val="continue"/>
            <w:shd w:val="clear" w:color="auto" w:fill="EAEAEC"/>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00" w:type="dxa"/>
            <w:vAlign w:val="bottom"/>
            <w:tcBorders>
              <w:bottom w:val="single" w:sz="8" w:color="auto"/>
            </w:tcBorders>
            <w:shd w:val="clear" w:color="auto" w:fill="CFD0D2"/>
          </w:tcPr>
          <w:p>
            <w:pPr>
              <w:spacing w:after="0"/>
              <w:rPr>
                <w:sz w:val="12"/>
                <w:szCs w:val="12"/>
                <w:color w:val="auto"/>
              </w:rPr>
            </w:pPr>
          </w:p>
        </w:tc>
        <w:tc>
          <w:tcPr>
            <w:tcW w:w="820" w:type="dxa"/>
            <w:vAlign w:val="bottom"/>
            <w:tcBorders>
              <w:bottom w:val="single" w:sz="8" w:color="auto"/>
            </w:tcBorders>
            <w:shd w:val="clear" w:color="auto" w:fill="EAEAEC"/>
          </w:tcPr>
          <w:p>
            <w:pPr>
              <w:spacing w:after="0"/>
              <w:rPr>
                <w:sz w:val="12"/>
                <w:szCs w:val="12"/>
                <w:color w:val="auto"/>
              </w:rPr>
            </w:pPr>
          </w:p>
        </w:tc>
        <w:tc>
          <w:tcPr>
            <w:tcW w:w="1220" w:type="dxa"/>
            <w:vAlign w:val="bottom"/>
            <w:tcBorders>
              <w:bottom w:val="single" w:sz="8" w:color="auto"/>
            </w:tcBorders>
            <w:shd w:val="clear" w:color="auto" w:fill="EAEAEC"/>
          </w:tcPr>
          <w:p>
            <w:pPr>
              <w:spacing w:after="0"/>
              <w:rPr>
                <w:sz w:val="12"/>
                <w:szCs w:val="12"/>
                <w:color w:val="auto"/>
              </w:rPr>
            </w:pPr>
          </w:p>
        </w:tc>
        <w:tc>
          <w:tcPr>
            <w:tcW w:w="2420" w:type="dxa"/>
            <w:vAlign w:val="bottom"/>
            <w:tcBorders>
              <w:bottom w:val="single" w:sz="8" w:color="auto"/>
            </w:tcBorders>
            <w:shd w:val="clear" w:color="auto" w:fill="EAEAEC"/>
          </w:tcPr>
          <w:p>
            <w:pPr>
              <w:spacing w:after="0"/>
              <w:rPr>
                <w:sz w:val="12"/>
                <w:szCs w:val="12"/>
                <w:color w:val="auto"/>
              </w:rPr>
            </w:pPr>
          </w:p>
        </w:tc>
        <w:tc>
          <w:tcPr>
            <w:tcW w:w="2440" w:type="dxa"/>
            <w:vAlign w:val="bottom"/>
            <w:tcBorders>
              <w:bottom w:val="single" w:sz="8" w:color="auto"/>
            </w:tcBorders>
            <w:shd w:val="clear" w:color="auto" w:fill="EAEAEC"/>
          </w:tcPr>
          <w:p>
            <w:pPr>
              <w:ind w:left="100"/>
              <w:spacing w:after="0" w:line="145" w:lineRule="exact"/>
              <w:rPr>
                <w:sz w:val="20"/>
                <w:szCs w:val="20"/>
                <w:color w:val="auto"/>
              </w:rPr>
            </w:pPr>
            <w:r>
              <w:rPr>
                <w:rFonts w:ascii="Arial" w:cs="Arial" w:eastAsia="Arial" w:hAnsi="Arial"/>
                <w:sz w:val="13"/>
                <w:szCs w:val="13"/>
                <w:color w:val="231F20"/>
              </w:rPr>
              <w:t>considerations</w:t>
            </w:r>
          </w:p>
        </w:tc>
        <w:tc>
          <w:tcPr>
            <w:tcW w:w="0" w:type="dxa"/>
            <w:vAlign w:val="bottom"/>
          </w:tcPr>
          <w:p>
            <w:pPr>
              <w:spacing w:after="0"/>
              <w:rPr>
                <w:sz w:val="1"/>
                <w:szCs w:val="1"/>
                <w:color w:val="auto"/>
              </w:rPr>
            </w:pPr>
          </w:p>
        </w:tc>
      </w:tr>
      <w:tr>
        <w:trPr>
          <w:trHeight w:val="145"/>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ind w:left="100"/>
              <w:spacing w:after="0" w:line="146" w:lineRule="exact"/>
              <w:rPr>
                <w:sz w:val="20"/>
                <w:szCs w:val="20"/>
                <w:color w:val="auto"/>
              </w:rPr>
            </w:pPr>
            <w:r>
              <w:rPr>
                <w:rFonts w:ascii="Arial" w:cs="Arial" w:eastAsia="Arial" w:hAnsi="Arial"/>
                <w:sz w:val="13"/>
                <w:szCs w:val="13"/>
                <w:color w:val="231F20"/>
              </w:rPr>
              <w:t>Annual</w:t>
            </w:r>
          </w:p>
        </w:tc>
        <w:tc>
          <w:tcPr>
            <w:tcW w:w="1220" w:type="dxa"/>
            <w:vAlign w:val="bottom"/>
            <w:shd w:val="clear" w:color="auto" w:fill="E0E3F2"/>
          </w:tcPr>
          <w:p>
            <w:pPr>
              <w:ind w:left="80"/>
              <w:spacing w:after="0" w:line="146" w:lineRule="exact"/>
              <w:rPr>
                <w:sz w:val="20"/>
                <w:szCs w:val="20"/>
                <w:color w:val="auto"/>
              </w:rPr>
            </w:pPr>
            <w:r>
              <w:rPr>
                <w:rFonts w:ascii="Arial" w:cs="Arial" w:eastAsia="Arial" w:hAnsi="Arial"/>
                <w:sz w:val="13"/>
                <w:szCs w:val="13"/>
                <w:color w:val="231F20"/>
              </w:rPr>
              <w:t>Annual Cash</w:t>
            </w:r>
          </w:p>
        </w:tc>
        <w:tc>
          <w:tcPr>
            <w:tcW w:w="2420" w:type="dxa"/>
            <w:vAlign w:val="bottom"/>
            <w:shd w:val="clear" w:color="auto" w:fill="E0E3F2"/>
          </w:tcPr>
          <w:p>
            <w:pPr>
              <w:ind w:left="80"/>
              <w:spacing w:after="0" w:line="146" w:lineRule="exact"/>
              <w:rPr>
                <w:sz w:val="20"/>
                <w:szCs w:val="20"/>
                <w:color w:val="auto"/>
              </w:rPr>
            </w:pPr>
            <w:r>
              <w:rPr>
                <w:rFonts w:ascii="Arial" w:cs="Arial" w:eastAsia="Arial" w:hAnsi="Arial"/>
                <w:sz w:val="13"/>
                <w:szCs w:val="13"/>
                <w:color w:val="231F20"/>
              </w:rPr>
              <w:t>Motivates and rewards our executives</w:t>
            </w:r>
          </w:p>
        </w:tc>
        <w:tc>
          <w:tcPr>
            <w:tcW w:w="2440" w:type="dxa"/>
            <w:vAlign w:val="bottom"/>
            <w:shd w:val="clear" w:color="auto" w:fill="E0E3F2"/>
          </w:tcPr>
          <w:p>
            <w:pPr>
              <w:ind w:left="100"/>
              <w:spacing w:after="0" w:line="146" w:lineRule="exact"/>
              <w:rPr>
                <w:sz w:val="20"/>
                <w:szCs w:val="20"/>
                <w:color w:val="auto"/>
              </w:rPr>
            </w:pPr>
            <w:r>
              <w:rPr>
                <w:rFonts w:ascii="Arial" w:cs="Arial" w:eastAsia="Arial" w:hAnsi="Arial"/>
                <w:sz w:val="13"/>
                <w:szCs w:val="13"/>
                <w:color w:val="231F20"/>
              </w:rPr>
              <w:t>Corporate performance (CEO and</w:t>
            </w:r>
          </w:p>
        </w:tc>
        <w:tc>
          <w:tcPr>
            <w:tcW w:w="0" w:type="dxa"/>
            <w:vAlign w:val="bottom"/>
          </w:tcPr>
          <w:p>
            <w:pPr>
              <w:spacing w:after="0"/>
              <w:rPr>
                <w:sz w:val="1"/>
                <w:szCs w:val="1"/>
                <w:color w:val="auto"/>
              </w:rPr>
            </w:pPr>
          </w:p>
        </w:tc>
      </w:tr>
      <w:tr>
        <w:trPr>
          <w:trHeight w:val="148"/>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spacing w:after="0"/>
              <w:rPr>
                <w:sz w:val="12"/>
                <w:szCs w:val="12"/>
                <w:color w:val="auto"/>
              </w:rPr>
            </w:pPr>
          </w:p>
        </w:tc>
        <w:tc>
          <w:tcPr>
            <w:tcW w:w="12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Incentive</w:t>
            </w:r>
          </w:p>
        </w:tc>
        <w:tc>
          <w:tcPr>
            <w:tcW w:w="24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for short-term achievements and</w:t>
            </w:r>
          </w:p>
        </w:tc>
        <w:tc>
          <w:tcPr>
            <w:tcW w:w="2440" w:type="dxa"/>
            <w:vAlign w:val="bottom"/>
            <w:shd w:val="clear" w:color="auto" w:fill="E0E3F2"/>
          </w:tcPr>
          <w:p>
            <w:pPr>
              <w:ind w:left="100"/>
              <w:spacing w:after="0"/>
              <w:rPr>
                <w:sz w:val="20"/>
                <w:szCs w:val="20"/>
                <w:color w:val="auto"/>
              </w:rPr>
            </w:pPr>
            <w:r>
              <w:rPr>
                <w:rFonts w:ascii="Arial" w:cs="Arial" w:eastAsia="Arial" w:hAnsi="Arial"/>
                <w:sz w:val="13"/>
                <w:szCs w:val="13"/>
                <w:color w:val="231F20"/>
              </w:rPr>
              <w:t>CSO); corporate performance and</w:t>
            </w:r>
          </w:p>
        </w:tc>
        <w:tc>
          <w:tcPr>
            <w:tcW w:w="0" w:type="dxa"/>
            <w:vAlign w:val="bottom"/>
          </w:tcPr>
          <w:p>
            <w:pPr>
              <w:spacing w:after="0"/>
              <w:rPr>
                <w:sz w:val="1"/>
                <w:szCs w:val="1"/>
                <w:color w:val="auto"/>
              </w:rPr>
            </w:pPr>
          </w:p>
        </w:tc>
      </w:tr>
      <w:tr>
        <w:trPr>
          <w:trHeight w:val="149"/>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spacing w:after="0"/>
              <w:rPr>
                <w:sz w:val="12"/>
                <w:szCs w:val="12"/>
                <w:color w:val="auto"/>
              </w:rPr>
            </w:pPr>
          </w:p>
        </w:tc>
        <w:tc>
          <w:tcPr>
            <w:tcW w:w="1220" w:type="dxa"/>
            <w:vAlign w:val="bottom"/>
            <w:shd w:val="clear" w:color="auto" w:fill="E0E3F2"/>
          </w:tcPr>
          <w:p>
            <w:pPr>
              <w:spacing w:after="0"/>
              <w:rPr>
                <w:sz w:val="12"/>
                <w:szCs w:val="12"/>
                <w:color w:val="auto"/>
              </w:rPr>
            </w:pPr>
          </w:p>
        </w:tc>
        <w:tc>
          <w:tcPr>
            <w:tcW w:w="24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milestones towards our long-term</w:t>
            </w:r>
          </w:p>
        </w:tc>
        <w:tc>
          <w:tcPr>
            <w:tcW w:w="2440" w:type="dxa"/>
            <w:vAlign w:val="bottom"/>
            <w:shd w:val="clear" w:color="auto" w:fill="E0E3F2"/>
          </w:tcPr>
          <w:p>
            <w:pPr>
              <w:ind w:left="100"/>
              <w:spacing w:after="0"/>
              <w:rPr>
                <w:sz w:val="20"/>
                <w:szCs w:val="20"/>
                <w:color w:val="auto"/>
              </w:rPr>
            </w:pPr>
            <w:r>
              <w:rPr>
                <w:rFonts w:ascii="Arial" w:cs="Arial" w:eastAsia="Arial" w:hAnsi="Arial"/>
                <w:sz w:val="13"/>
                <w:szCs w:val="13"/>
                <w:color w:val="231F20"/>
              </w:rPr>
              <w:t>individual contributions to that</w:t>
            </w:r>
          </w:p>
        </w:tc>
        <w:tc>
          <w:tcPr>
            <w:tcW w:w="0" w:type="dxa"/>
            <w:vAlign w:val="bottom"/>
          </w:tcPr>
          <w:p>
            <w:pPr>
              <w:spacing w:after="0"/>
              <w:rPr>
                <w:sz w:val="1"/>
                <w:szCs w:val="1"/>
                <w:color w:val="auto"/>
              </w:rPr>
            </w:pPr>
          </w:p>
        </w:tc>
      </w:tr>
      <w:tr>
        <w:trPr>
          <w:trHeight w:val="145"/>
        </w:trPr>
        <w:tc>
          <w:tcPr>
            <w:tcW w:w="1200" w:type="dxa"/>
            <w:vAlign w:val="bottom"/>
            <w:tcBorders>
              <w:bottom w:val="single" w:sz="8" w:color="C8CCE5"/>
            </w:tcBorders>
            <w:shd w:val="clear" w:color="auto" w:fill="C8CCE5"/>
          </w:tcPr>
          <w:p>
            <w:pPr>
              <w:spacing w:after="0"/>
              <w:rPr>
                <w:sz w:val="12"/>
                <w:szCs w:val="12"/>
                <w:color w:val="auto"/>
              </w:rPr>
            </w:pPr>
          </w:p>
        </w:tc>
        <w:tc>
          <w:tcPr>
            <w:tcW w:w="820" w:type="dxa"/>
            <w:vAlign w:val="bottom"/>
            <w:tcBorders>
              <w:bottom w:val="single" w:sz="8" w:color="auto"/>
            </w:tcBorders>
            <w:shd w:val="clear" w:color="auto" w:fill="E0E3F2"/>
          </w:tcPr>
          <w:p>
            <w:pPr>
              <w:spacing w:after="0"/>
              <w:rPr>
                <w:sz w:val="12"/>
                <w:szCs w:val="12"/>
                <w:color w:val="auto"/>
              </w:rPr>
            </w:pPr>
          </w:p>
        </w:tc>
        <w:tc>
          <w:tcPr>
            <w:tcW w:w="1220" w:type="dxa"/>
            <w:vAlign w:val="bottom"/>
            <w:tcBorders>
              <w:bottom w:val="single" w:sz="8" w:color="auto"/>
            </w:tcBorders>
            <w:shd w:val="clear" w:color="auto" w:fill="E0E3F2"/>
          </w:tcPr>
          <w:p>
            <w:pPr>
              <w:spacing w:after="0"/>
              <w:rPr>
                <w:sz w:val="12"/>
                <w:szCs w:val="12"/>
                <w:color w:val="auto"/>
              </w:rPr>
            </w:pPr>
          </w:p>
        </w:tc>
        <w:tc>
          <w:tcPr>
            <w:tcW w:w="2420" w:type="dxa"/>
            <w:vAlign w:val="bottom"/>
            <w:tcBorders>
              <w:bottom w:val="single" w:sz="8" w:color="auto"/>
            </w:tcBorders>
            <w:shd w:val="clear" w:color="auto" w:fill="E0E3F2"/>
          </w:tcPr>
          <w:p>
            <w:pPr>
              <w:ind w:left="80"/>
              <w:spacing w:after="0" w:line="145" w:lineRule="exact"/>
              <w:rPr>
                <w:sz w:val="20"/>
                <w:szCs w:val="20"/>
                <w:color w:val="auto"/>
              </w:rPr>
            </w:pPr>
            <w:r>
              <w:rPr>
                <w:rFonts w:ascii="Arial" w:cs="Arial" w:eastAsia="Arial" w:hAnsi="Arial"/>
                <w:sz w:val="13"/>
                <w:szCs w:val="13"/>
                <w:color w:val="231F20"/>
              </w:rPr>
              <w:t>goals</w:t>
            </w:r>
          </w:p>
        </w:tc>
        <w:tc>
          <w:tcPr>
            <w:tcW w:w="2440" w:type="dxa"/>
            <w:vAlign w:val="bottom"/>
            <w:tcBorders>
              <w:bottom w:val="single" w:sz="8" w:color="auto"/>
            </w:tcBorders>
            <w:shd w:val="clear" w:color="auto" w:fill="E0E3F2"/>
          </w:tcPr>
          <w:p>
            <w:pPr>
              <w:ind w:left="100"/>
              <w:spacing w:after="0" w:line="145" w:lineRule="exact"/>
              <w:rPr>
                <w:sz w:val="20"/>
                <w:szCs w:val="20"/>
                <w:color w:val="auto"/>
              </w:rPr>
            </w:pPr>
            <w:r>
              <w:rPr>
                <w:rFonts w:ascii="Arial" w:cs="Arial" w:eastAsia="Arial" w:hAnsi="Arial"/>
                <w:sz w:val="13"/>
                <w:szCs w:val="13"/>
                <w:color w:val="231F20"/>
              </w:rPr>
              <w:t>achievement (other NEOs)</w:t>
            </w:r>
          </w:p>
        </w:tc>
        <w:tc>
          <w:tcPr>
            <w:tcW w:w="0" w:type="dxa"/>
            <w:vAlign w:val="bottom"/>
          </w:tcPr>
          <w:p>
            <w:pPr>
              <w:spacing w:after="0"/>
              <w:rPr>
                <w:sz w:val="1"/>
                <w:szCs w:val="1"/>
                <w:color w:val="auto"/>
              </w:rPr>
            </w:pPr>
          </w:p>
        </w:tc>
      </w:tr>
      <w:tr>
        <w:trPr>
          <w:trHeight w:val="145"/>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ind w:left="100"/>
              <w:spacing w:after="0" w:line="146" w:lineRule="exact"/>
              <w:rPr>
                <w:sz w:val="20"/>
                <w:szCs w:val="20"/>
                <w:color w:val="auto"/>
              </w:rPr>
            </w:pPr>
            <w:r>
              <w:rPr>
                <w:rFonts w:ascii="Arial" w:cs="Arial" w:eastAsia="Arial" w:hAnsi="Arial"/>
                <w:sz w:val="13"/>
                <w:szCs w:val="13"/>
                <w:color w:val="231F20"/>
              </w:rPr>
              <w:t>Long-Term</w:t>
            </w:r>
          </w:p>
        </w:tc>
        <w:tc>
          <w:tcPr>
            <w:tcW w:w="1220" w:type="dxa"/>
            <w:vAlign w:val="bottom"/>
            <w:shd w:val="clear" w:color="auto" w:fill="E0E3F2"/>
          </w:tcPr>
          <w:p>
            <w:pPr>
              <w:ind w:left="80"/>
              <w:spacing w:after="0" w:line="146" w:lineRule="exact"/>
              <w:rPr>
                <w:sz w:val="20"/>
                <w:szCs w:val="20"/>
                <w:color w:val="auto"/>
              </w:rPr>
            </w:pPr>
            <w:r>
              <w:rPr>
                <w:rFonts w:ascii="Arial" w:cs="Arial" w:eastAsia="Arial" w:hAnsi="Arial"/>
                <w:sz w:val="13"/>
                <w:szCs w:val="13"/>
                <w:color w:val="231F20"/>
              </w:rPr>
              <w:t>Stock Options</w:t>
            </w:r>
          </w:p>
        </w:tc>
        <w:tc>
          <w:tcPr>
            <w:tcW w:w="2420" w:type="dxa"/>
            <w:vAlign w:val="bottom"/>
            <w:shd w:val="clear" w:color="auto" w:fill="E0E3F2"/>
          </w:tcPr>
          <w:p>
            <w:pPr>
              <w:ind w:left="80"/>
              <w:spacing w:after="0" w:line="146" w:lineRule="exact"/>
              <w:rPr>
                <w:sz w:val="20"/>
                <w:szCs w:val="20"/>
                <w:color w:val="auto"/>
              </w:rPr>
            </w:pPr>
            <w:r>
              <w:rPr>
                <w:rFonts w:ascii="Arial" w:cs="Arial" w:eastAsia="Arial" w:hAnsi="Arial"/>
                <w:sz w:val="13"/>
                <w:szCs w:val="13"/>
                <w:color w:val="231F20"/>
              </w:rPr>
              <w:t>Supports the achievement of strong,</w:t>
            </w:r>
          </w:p>
        </w:tc>
        <w:tc>
          <w:tcPr>
            <w:tcW w:w="2440" w:type="dxa"/>
            <w:vAlign w:val="bottom"/>
            <w:shd w:val="clear" w:color="auto" w:fill="E0E3F2"/>
          </w:tcPr>
          <w:p>
            <w:pPr>
              <w:ind w:left="100"/>
              <w:spacing w:after="0" w:line="146" w:lineRule="exact"/>
              <w:rPr>
                <w:sz w:val="20"/>
                <w:szCs w:val="20"/>
                <w:color w:val="auto"/>
              </w:rPr>
            </w:pPr>
            <w:r>
              <w:rPr>
                <w:rFonts w:ascii="Arial" w:cs="Arial" w:eastAsia="Arial" w:hAnsi="Arial"/>
                <w:sz w:val="13"/>
                <w:szCs w:val="13"/>
                <w:color w:val="231F20"/>
              </w:rPr>
              <w:t>Options vest annually over four years;</w:t>
            </w:r>
          </w:p>
        </w:tc>
        <w:tc>
          <w:tcPr>
            <w:tcW w:w="0" w:type="dxa"/>
            <w:vAlign w:val="bottom"/>
          </w:tcPr>
          <w:p>
            <w:pPr>
              <w:spacing w:after="0"/>
              <w:rPr>
                <w:sz w:val="1"/>
                <w:szCs w:val="1"/>
                <w:color w:val="auto"/>
              </w:rPr>
            </w:pPr>
          </w:p>
        </w:tc>
      </w:tr>
      <w:tr>
        <w:trPr>
          <w:trHeight w:val="145"/>
        </w:trPr>
        <w:tc>
          <w:tcPr>
            <w:tcW w:w="1200" w:type="dxa"/>
            <w:vAlign w:val="bottom"/>
            <w:tcBorders>
              <w:bottom w:val="single" w:sz="8" w:color="C8CCE5"/>
            </w:tcBorders>
            <w:vMerge w:val="restart"/>
            <w:shd w:val="clear" w:color="auto" w:fill="C8CCE5"/>
          </w:tcPr>
          <w:p>
            <w:pPr>
              <w:jc w:val="center"/>
              <w:spacing w:after="0"/>
              <w:rPr>
                <w:sz w:val="20"/>
                <w:szCs w:val="20"/>
                <w:color w:val="auto"/>
              </w:rPr>
            </w:pPr>
            <w:r>
              <w:rPr>
                <w:rFonts w:ascii="Arial" w:cs="Arial" w:eastAsia="Arial" w:hAnsi="Arial"/>
                <w:sz w:val="13"/>
                <w:szCs w:val="13"/>
                <w:b w:val="1"/>
                <w:bCs w:val="1"/>
                <w:color w:val="C04C57"/>
              </w:rPr>
              <w:t>PERFORMANCE</w:t>
            </w:r>
          </w:p>
        </w:tc>
        <w:tc>
          <w:tcPr>
            <w:tcW w:w="820" w:type="dxa"/>
            <w:vAlign w:val="bottom"/>
            <w:tcBorders>
              <w:bottom w:val="single" w:sz="8" w:color="auto"/>
            </w:tcBorders>
            <w:shd w:val="clear" w:color="auto" w:fill="E0E3F2"/>
          </w:tcPr>
          <w:p>
            <w:pPr>
              <w:spacing w:after="0"/>
              <w:rPr>
                <w:sz w:val="12"/>
                <w:szCs w:val="12"/>
                <w:color w:val="auto"/>
              </w:rPr>
            </w:pPr>
          </w:p>
        </w:tc>
        <w:tc>
          <w:tcPr>
            <w:tcW w:w="1220" w:type="dxa"/>
            <w:vAlign w:val="bottom"/>
            <w:tcBorders>
              <w:bottom w:val="single" w:sz="8" w:color="auto"/>
            </w:tcBorders>
            <w:shd w:val="clear" w:color="auto" w:fill="E0E3F2"/>
          </w:tcPr>
          <w:p>
            <w:pPr>
              <w:spacing w:after="0"/>
              <w:rPr>
                <w:sz w:val="12"/>
                <w:szCs w:val="12"/>
                <w:color w:val="auto"/>
              </w:rPr>
            </w:pPr>
          </w:p>
        </w:tc>
        <w:tc>
          <w:tcPr>
            <w:tcW w:w="2420" w:type="dxa"/>
            <w:vAlign w:val="bottom"/>
            <w:tcBorders>
              <w:bottom w:val="single" w:sz="8" w:color="auto"/>
            </w:tcBorders>
            <w:shd w:val="clear" w:color="auto" w:fill="E0E3F2"/>
          </w:tcPr>
          <w:p>
            <w:pPr>
              <w:ind w:left="80"/>
              <w:spacing w:after="0" w:line="145" w:lineRule="exact"/>
              <w:rPr>
                <w:sz w:val="20"/>
                <w:szCs w:val="20"/>
                <w:color w:val="auto"/>
              </w:rPr>
            </w:pPr>
            <w:r>
              <w:rPr>
                <w:rFonts w:ascii="Arial" w:cs="Arial" w:eastAsia="Arial" w:hAnsi="Arial"/>
                <w:sz w:val="13"/>
                <w:szCs w:val="13"/>
                <w:color w:val="231F20"/>
              </w:rPr>
              <w:t>long-term share price growth</w:t>
            </w:r>
          </w:p>
        </w:tc>
        <w:tc>
          <w:tcPr>
            <w:tcW w:w="2440" w:type="dxa"/>
            <w:vAlign w:val="bottom"/>
            <w:tcBorders>
              <w:bottom w:val="single" w:sz="8" w:color="auto"/>
            </w:tcBorders>
            <w:shd w:val="clear" w:color="auto" w:fill="E0E3F2"/>
          </w:tcPr>
          <w:p>
            <w:pPr>
              <w:ind w:left="100"/>
              <w:spacing w:after="0" w:line="145" w:lineRule="exact"/>
              <w:rPr>
                <w:sz w:val="20"/>
                <w:szCs w:val="20"/>
                <w:color w:val="auto"/>
              </w:rPr>
            </w:pPr>
            <w:r>
              <w:rPr>
                <w:rFonts w:ascii="Arial" w:cs="Arial" w:eastAsia="Arial" w:hAnsi="Arial"/>
                <w:sz w:val="13"/>
                <w:szCs w:val="13"/>
                <w:color w:val="231F20"/>
              </w:rPr>
              <w:t>10-year term</w:t>
            </w:r>
          </w:p>
        </w:tc>
        <w:tc>
          <w:tcPr>
            <w:tcW w:w="0" w:type="dxa"/>
            <w:vAlign w:val="bottom"/>
          </w:tcPr>
          <w:p>
            <w:pPr>
              <w:spacing w:after="0"/>
              <w:rPr>
                <w:sz w:val="1"/>
                <w:szCs w:val="1"/>
                <w:color w:val="auto"/>
              </w:rPr>
            </w:pPr>
          </w:p>
        </w:tc>
      </w:tr>
      <w:tr>
        <w:trPr>
          <w:trHeight w:val="116"/>
        </w:trPr>
        <w:tc>
          <w:tcPr>
            <w:tcW w:w="1200" w:type="dxa"/>
            <w:vAlign w:val="bottom"/>
            <w:vMerge w:val="continue"/>
            <w:shd w:val="clear" w:color="auto" w:fill="C8CCE5"/>
          </w:tcPr>
          <w:p>
            <w:pPr>
              <w:spacing w:after="0"/>
              <w:rPr>
                <w:sz w:val="10"/>
                <w:szCs w:val="10"/>
                <w:color w:val="auto"/>
              </w:rPr>
            </w:pPr>
          </w:p>
        </w:tc>
        <w:tc>
          <w:tcPr>
            <w:tcW w:w="820" w:type="dxa"/>
            <w:vAlign w:val="bottom"/>
            <w:shd w:val="clear" w:color="auto" w:fill="E0E3F2"/>
          </w:tcPr>
          <w:p>
            <w:pPr>
              <w:ind w:left="100"/>
              <w:spacing w:after="0" w:line="116" w:lineRule="exact"/>
              <w:rPr>
                <w:sz w:val="20"/>
                <w:szCs w:val="20"/>
                <w:color w:val="auto"/>
              </w:rPr>
            </w:pPr>
            <w:r>
              <w:rPr>
                <w:rFonts w:ascii="Arial" w:cs="Arial" w:eastAsia="Arial" w:hAnsi="Arial"/>
                <w:sz w:val="13"/>
                <w:szCs w:val="13"/>
                <w:color w:val="231F20"/>
              </w:rPr>
              <w:t>Long-Term</w:t>
            </w:r>
          </w:p>
        </w:tc>
        <w:tc>
          <w:tcPr>
            <w:tcW w:w="1220" w:type="dxa"/>
            <w:vAlign w:val="bottom"/>
            <w:shd w:val="clear" w:color="auto" w:fill="E0E3F2"/>
          </w:tcPr>
          <w:p>
            <w:pPr>
              <w:ind w:left="80"/>
              <w:spacing w:after="0" w:line="116" w:lineRule="exact"/>
              <w:rPr>
                <w:sz w:val="20"/>
                <w:szCs w:val="20"/>
                <w:color w:val="auto"/>
              </w:rPr>
            </w:pPr>
            <w:r>
              <w:rPr>
                <w:rFonts w:ascii="Arial" w:cs="Arial" w:eastAsia="Arial" w:hAnsi="Arial"/>
                <w:sz w:val="13"/>
                <w:szCs w:val="13"/>
                <w:color w:val="231F20"/>
              </w:rPr>
              <w:t>PSUs (CEO and</w:t>
            </w:r>
          </w:p>
        </w:tc>
        <w:tc>
          <w:tcPr>
            <w:tcW w:w="2420" w:type="dxa"/>
            <w:vAlign w:val="bottom"/>
            <w:shd w:val="clear" w:color="auto" w:fill="E0E3F2"/>
          </w:tcPr>
          <w:p>
            <w:pPr>
              <w:ind w:left="80"/>
              <w:spacing w:after="0" w:line="116" w:lineRule="exact"/>
              <w:rPr>
                <w:sz w:val="20"/>
                <w:szCs w:val="20"/>
                <w:color w:val="auto"/>
              </w:rPr>
            </w:pPr>
            <w:r>
              <w:rPr>
                <w:rFonts w:ascii="Arial" w:cs="Arial" w:eastAsia="Arial" w:hAnsi="Arial"/>
                <w:sz w:val="13"/>
                <w:szCs w:val="13"/>
                <w:color w:val="231F20"/>
              </w:rPr>
              <w:t>Aligns the interests of CEO and CSO</w:t>
            </w:r>
          </w:p>
        </w:tc>
        <w:tc>
          <w:tcPr>
            <w:tcW w:w="2440" w:type="dxa"/>
            <w:vAlign w:val="bottom"/>
            <w:shd w:val="clear" w:color="auto" w:fill="E0E3F2"/>
          </w:tcPr>
          <w:p>
            <w:pPr>
              <w:ind w:left="100"/>
              <w:spacing w:after="0" w:line="116" w:lineRule="exact"/>
              <w:rPr>
                <w:sz w:val="20"/>
                <w:szCs w:val="20"/>
                <w:color w:val="auto"/>
              </w:rPr>
            </w:pPr>
            <w:r>
              <w:rPr>
                <w:rFonts w:ascii="Arial" w:cs="Arial" w:eastAsia="Arial" w:hAnsi="Arial"/>
                <w:sz w:val="13"/>
                <w:szCs w:val="13"/>
                <w:color w:val="231F20"/>
              </w:rPr>
              <w:t>Five-year TSR as primary</w:t>
            </w:r>
          </w:p>
        </w:tc>
        <w:tc>
          <w:tcPr>
            <w:tcW w:w="0" w:type="dxa"/>
            <w:vAlign w:val="bottom"/>
          </w:tcPr>
          <w:p>
            <w:pPr>
              <w:spacing w:after="0"/>
              <w:rPr>
                <w:sz w:val="1"/>
                <w:szCs w:val="1"/>
                <w:color w:val="auto"/>
              </w:rPr>
            </w:pPr>
          </w:p>
        </w:tc>
      </w:tr>
      <w:tr>
        <w:trPr>
          <w:trHeight w:val="178"/>
        </w:trPr>
        <w:tc>
          <w:tcPr>
            <w:tcW w:w="1200" w:type="dxa"/>
            <w:vAlign w:val="bottom"/>
            <w:shd w:val="clear" w:color="auto" w:fill="C8CCE5"/>
          </w:tcPr>
          <w:p>
            <w:pPr>
              <w:jc w:val="center"/>
              <w:spacing w:after="0"/>
              <w:rPr>
                <w:sz w:val="20"/>
                <w:szCs w:val="20"/>
                <w:color w:val="auto"/>
              </w:rPr>
            </w:pPr>
            <w:r>
              <w:rPr>
                <w:rFonts w:ascii="Arial" w:cs="Arial" w:eastAsia="Arial" w:hAnsi="Arial"/>
                <w:sz w:val="13"/>
                <w:szCs w:val="13"/>
                <w:b w:val="1"/>
                <w:bCs w:val="1"/>
                <w:color w:val="C04C57"/>
                <w:w w:val="97"/>
              </w:rPr>
              <w:t>- BASED</w:t>
            </w:r>
          </w:p>
        </w:tc>
        <w:tc>
          <w:tcPr>
            <w:tcW w:w="820" w:type="dxa"/>
            <w:vAlign w:val="bottom"/>
            <w:shd w:val="clear" w:color="auto" w:fill="E0E3F2"/>
          </w:tcPr>
          <w:p>
            <w:pPr>
              <w:spacing w:after="0"/>
              <w:rPr>
                <w:sz w:val="15"/>
                <w:szCs w:val="15"/>
                <w:color w:val="auto"/>
              </w:rPr>
            </w:pPr>
          </w:p>
        </w:tc>
        <w:tc>
          <w:tcPr>
            <w:tcW w:w="12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CSO)*</w:t>
            </w:r>
          </w:p>
        </w:tc>
        <w:tc>
          <w:tcPr>
            <w:tcW w:w="24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and shareholders and serves as an</w:t>
            </w:r>
          </w:p>
        </w:tc>
        <w:tc>
          <w:tcPr>
            <w:tcW w:w="2440" w:type="dxa"/>
            <w:vAlign w:val="bottom"/>
            <w:shd w:val="clear" w:color="auto" w:fill="E0E3F2"/>
          </w:tcPr>
          <w:p>
            <w:pPr>
              <w:ind w:left="100"/>
              <w:spacing w:after="0"/>
              <w:rPr>
                <w:sz w:val="20"/>
                <w:szCs w:val="20"/>
                <w:color w:val="auto"/>
              </w:rPr>
            </w:pPr>
            <w:r>
              <w:rPr>
                <w:rFonts w:ascii="Arial" w:cs="Arial" w:eastAsia="Arial" w:hAnsi="Arial"/>
                <w:sz w:val="13"/>
                <w:szCs w:val="13"/>
                <w:color w:val="231F20"/>
              </w:rPr>
              <w:t>performance metric with 61% five-year</w:t>
            </w:r>
          </w:p>
        </w:tc>
        <w:tc>
          <w:tcPr>
            <w:tcW w:w="0" w:type="dxa"/>
            <w:vAlign w:val="bottom"/>
          </w:tcPr>
          <w:p>
            <w:pPr>
              <w:spacing w:after="0"/>
              <w:rPr>
                <w:sz w:val="1"/>
                <w:szCs w:val="1"/>
                <w:color w:val="auto"/>
              </w:rPr>
            </w:pPr>
          </w:p>
        </w:tc>
      </w:tr>
      <w:tr>
        <w:trPr>
          <w:trHeight w:val="149"/>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spacing w:after="0"/>
              <w:rPr>
                <w:sz w:val="12"/>
                <w:szCs w:val="12"/>
                <w:color w:val="auto"/>
              </w:rPr>
            </w:pPr>
          </w:p>
        </w:tc>
        <w:tc>
          <w:tcPr>
            <w:tcW w:w="1220" w:type="dxa"/>
            <w:vAlign w:val="bottom"/>
            <w:shd w:val="clear" w:color="auto" w:fill="E0E3F2"/>
          </w:tcPr>
          <w:p>
            <w:pPr>
              <w:spacing w:after="0"/>
              <w:rPr>
                <w:sz w:val="12"/>
                <w:szCs w:val="12"/>
                <w:color w:val="auto"/>
              </w:rPr>
            </w:pPr>
          </w:p>
        </w:tc>
        <w:tc>
          <w:tcPr>
            <w:tcW w:w="24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important retention vehicle; rewards</w:t>
            </w:r>
          </w:p>
        </w:tc>
        <w:tc>
          <w:tcPr>
            <w:tcW w:w="2440" w:type="dxa"/>
            <w:vAlign w:val="bottom"/>
            <w:shd w:val="clear" w:color="auto" w:fill="E0E3F2"/>
          </w:tcPr>
          <w:p>
            <w:pPr>
              <w:ind w:left="100"/>
              <w:spacing w:after="0"/>
              <w:rPr>
                <w:sz w:val="20"/>
                <w:szCs w:val="20"/>
                <w:color w:val="auto"/>
              </w:rPr>
            </w:pPr>
            <w:r>
              <w:rPr>
                <w:rFonts w:ascii="Arial" w:cs="Arial" w:eastAsia="Arial" w:hAnsi="Arial"/>
                <w:sz w:val="13"/>
                <w:szCs w:val="13"/>
                <w:color w:val="231F20"/>
              </w:rPr>
              <w:t>TSR required to earn target</w:t>
            </w:r>
          </w:p>
        </w:tc>
        <w:tc>
          <w:tcPr>
            <w:tcW w:w="0" w:type="dxa"/>
            <w:vAlign w:val="bottom"/>
          </w:tcPr>
          <w:p>
            <w:pPr>
              <w:spacing w:after="0"/>
              <w:rPr>
                <w:sz w:val="1"/>
                <w:szCs w:val="1"/>
                <w:color w:val="auto"/>
              </w:rPr>
            </w:pPr>
          </w:p>
        </w:tc>
      </w:tr>
      <w:tr>
        <w:trPr>
          <w:trHeight w:val="145"/>
        </w:trPr>
        <w:tc>
          <w:tcPr>
            <w:tcW w:w="1200" w:type="dxa"/>
            <w:vAlign w:val="bottom"/>
            <w:tcBorders>
              <w:bottom w:val="single" w:sz="8" w:color="C8CCE5"/>
            </w:tcBorders>
            <w:shd w:val="clear" w:color="auto" w:fill="C8CCE5"/>
          </w:tcPr>
          <w:p>
            <w:pPr>
              <w:spacing w:after="0"/>
              <w:rPr>
                <w:sz w:val="12"/>
                <w:szCs w:val="12"/>
                <w:color w:val="auto"/>
              </w:rPr>
            </w:pPr>
          </w:p>
        </w:tc>
        <w:tc>
          <w:tcPr>
            <w:tcW w:w="820" w:type="dxa"/>
            <w:vAlign w:val="bottom"/>
            <w:tcBorders>
              <w:bottom w:val="single" w:sz="8" w:color="auto"/>
            </w:tcBorders>
            <w:shd w:val="clear" w:color="auto" w:fill="E0E3F2"/>
          </w:tcPr>
          <w:p>
            <w:pPr>
              <w:spacing w:after="0"/>
              <w:rPr>
                <w:sz w:val="12"/>
                <w:szCs w:val="12"/>
                <w:color w:val="auto"/>
              </w:rPr>
            </w:pPr>
          </w:p>
        </w:tc>
        <w:tc>
          <w:tcPr>
            <w:tcW w:w="1220" w:type="dxa"/>
            <w:vAlign w:val="bottom"/>
            <w:tcBorders>
              <w:bottom w:val="single" w:sz="8" w:color="auto"/>
            </w:tcBorders>
            <w:shd w:val="clear" w:color="auto" w:fill="E0E3F2"/>
          </w:tcPr>
          <w:p>
            <w:pPr>
              <w:spacing w:after="0"/>
              <w:rPr>
                <w:sz w:val="12"/>
                <w:szCs w:val="12"/>
                <w:color w:val="auto"/>
              </w:rPr>
            </w:pPr>
          </w:p>
        </w:tc>
        <w:tc>
          <w:tcPr>
            <w:tcW w:w="2420" w:type="dxa"/>
            <w:vAlign w:val="bottom"/>
            <w:tcBorders>
              <w:bottom w:val="single" w:sz="8" w:color="auto"/>
            </w:tcBorders>
            <w:shd w:val="clear" w:color="auto" w:fill="E0E3F2"/>
          </w:tcPr>
          <w:p>
            <w:pPr>
              <w:ind w:left="80"/>
              <w:spacing w:after="0" w:line="145" w:lineRule="exact"/>
              <w:rPr>
                <w:sz w:val="20"/>
                <w:szCs w:val="20"/>
                <w:color w:val="auto"/>
              </w:rPr>
            </w:pPr>
            <w:r>
              <w:rPr>
                <w:rFonts w:ascii="Arial" w:cs="Arial" w:eastAsia="Arial" w:hAnsi="Arial"/>
                <w:sz w:val="13"/>
                <w:szCs w:val="13"/>
                <w:color w:val="231F20"/>
              </w:rPr>
              <w:t>strong TSR performance</w:t>
            </w:r>
          </w:p>
        </w:tc>
        <w:tc>
          <w:tcPr>
            <w:tcW w:w="2440" w:type="dxa"/>
            <w:vAlign w:val="bottom"/>
            <w:tcBorders>
              <w:bottom w:val="single" w:sz="8" w:color="auto"/>
            </w:tcBorders>
            <w:shd w:val="clear" w:color="auto" w:fill="E0E3F2"/>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ind w:left="100"/>
              <w:spacing w:after="0" w:line="146" w:lineRule="exact"/>
              <w:rPr>
                <w:sz w:val="20"/>
                <w:szCs w:val="20"/>
                <w:color w:val="auto"/>
              </w:rPr>
            </w:pPr>
            <w:r>
              <w:rPr>
                <w:rFonts w:ascii="Arial" w:cs="Arial" w:eastAsia="Arial" w:hAnsi="Arial"/>
                <w:sz w:val="13"/>
                <w:szCs w:val="13"/>
                <w:color w:val="231F20"/>
              </w:rPr>
              <w:t>Long-Term</w:t>
            </w:r>
          </w:p>
        </w:tc>
        <w:tc>
          <w:tcPr>
            <w:tcW w:w="1220" w:type="dxa"/>
            <w:vAlign w:val="bottom"/>
            <w:shd w:val="clear" w:color="auto" w:fill="E0E3F2"/>
          </w:tcPr>
          <w:p>
            <w:pPr>
              <w:ind w:left="80"/>
              <w:spacing w:after="0" w:line="146" w:lineRule="exact"/>
              <w:rPr>
                <w:sz w:val="20"/>
                <w:szCs w:val="20"/>
                <w:color w:val="auto"/>
              </w:rPr>
            </w:pPr>
            <w:r>
              <w:rPr>
                <w:rFonts w:ascii="Arial" w:cs="Arial" w:eastAsia="Arial" w:hAnsi="Arial"/>
                <w:sz w:val="13"/>
                <w:szCs w:val="13"/>
                <w:color w:val="231F20"/>
              </w:rPr>
              <w:t>RSAs (NEOs</w:t>
            </w:r>
          </w:p>
        </w:tc>
        <w:tc>
          <w:tcPr>
            <w:tcW w:w="2420" w:type="dxa"/>
            <w:vAlign w:val="bottom"/>
            <w:shd w:val="clear" w:color="auto" w:fill="E0E3F2"/>
          </w:tcPr>
          <w:p>
            <w:pPr>
              <w:ind w:left="80"/>
              <w:spacing w:after="0" w:line="146" w:lineRule="exact"/>
              <w:rPr>
                <w:sz w:val="20"/>
                <w:szCs w:val="20"/>
                <w:color w:val="auto"/>
              </w:rPr>
            </w:pPr>
            <w:r>
              <w:rPr>
                <w:rFonts w:ascii="Arial" w:cs="Arial" w:eastAsia="Arial" w:hAnsi="Arial"/>
                <w:sz w:val="13"/>
                <w:szCs w:val="13"/>
                <w:color w:val="231F20"/>
              </w:rPr>
              <w:t>Promotes employee retention</w:t>
            </w:r>
          </w:p>
        </w:tc>
        <w:tc>
          <w:tcPr>
            <w:tcW w:w="2440" w:type="dxa"/>
            <w:vAlign w:val="bottom"/>
            <w:shd w:val="clear" w:color="auto" w:fill="E0E3F2"/>
          </w:tcPr>
          <w:p>
            <w:pPr>
              <w:ind w:left="100"/>
              <w:spacing w:after="0" w:line="146" w:lineRule="exact"/>
              <w:rPr>
                <w:sz w:val="20"/>
                <w:szCs w:val="20"/>
                <w:color w:val="auto"/>
              </w:rPr>
            </w:pPr>
            <w:r>
              <w:rPr>
                <w:rFonts w:ascii="Arial" w:cs="Arial" w:eastAsia="Arial" w:hAnsi="Arial"/>
                <w:sz w:val="13"/>
                <w:szCs w:val="13"/>
                <w:color w:val="231F20"/>
              </w:rPr>
              <w:t>Annual awards vest 50% on the</w:t>
            </w:r>
          </w:p>
        </w:tc>
        <w:tc>
          <w:tcPr>
            <w:tcW w:w="0" w:type="dxa"/>
            <w:vAlign w:val="bottom"/>
          </w:tcPr>
          <w:p>
            <w:pPr>
              <w:spacing w:after="0"/>
              <w:rPr>
                <w:sz w:val="1"/>
                <w:szCs w:val="1"/>
                <w:color w:val="auto"/>
              </w:rPr>
            </w:pPr>
          </w:p>
        </w:tc>
      </w:tr>
      <w:tr>
        <w:trPr>
          <w:trHeight w:val="148"/>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spacing w:after="0"/>
              <w:rPr>
                <w:sz w:val="12"/>
                <w:szCs w:val="12"/>
                <w:color w:val="auto"/>
              </w:rPr>
            </w:pPr>
          </w:p>
        </w:tc>
        <w:tc>
          <w:tcPr>
            <w:tcW w:w="12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other than CEO</w:t>
            </w:r>
          </w:p>
        </w:tc>
        <w:tc>
          <w:tcPr>
            <w:tcW w:w="2420" w:type="dxa"/>
            <w:vAlign w:val="bottom"/>
            <w:shd w:val="clear" w:color="auto" w:fill="E0E3F2"/>
          </w:tcPr>
          <w:p>
            <w:pPr>
              <w:spacing w:after="0"/>
              <w:rPr>
                <w:sz w:val="12"/>
                <w:szCs w:val="12"/>
                <w:color w:val="auto"/>
              </w:rPr>
            </w:pPr>
          </w:p>
        </w:tc>
        <w:tc>
          <w:tcPr>
            <w:tcW w:w="2440" w:type="dxa"/>
            <w:vAlign w:val="bottom"/>
            <w:shd w:val="clear" w:color="auto" w:fill="E0E3F2"/>
          </w:tcPr>
          <w:p>
            <w:pPr>
              <w:ind w:left="100"/>
              <w:spacing w:after="0"/>
              <w:rPr>
                <w:sz w:val="20"/>
                <w:szCs w:val="20"/>
                <w:color w:val="auto"/>
              </w:rPr>
            </w:pPr>
            <w:r>
              <w:rPr>
                <w:rFonts w:ascii="Arial" w:cs="Arial" w:eastAsia="Arial" w:hAnsi="Arial"/>
                <w:sz w:val="13"/>
                <w:szCs w:val="13"/>
                <w:color w:val="231F20"/>
              </w:rPr>
              <w:t>second anniversary of the date of</w:t>
            </w:r>
          </w:p>
        </w:tc>
        <w:tc>
          <w:tcPr>
            <w:tcW w:w="0" w:type="dxa"/>
            <w:vAlign w:val="bottom"/>
          </w:tcPr>
          <w:p>
            <w:pPr>
              <w:spacing w:after="0"/>
              <w:rPr>
                <w:sz w:val="1"/>
                <w:szCs w:val="1"/>
                <w:color w:val="auto"/>
              </w:rPr>
            </w:pPr>
          </w:p>
        </w:tc>
      </w:tr>
      <w:tr>
        <w:trPr>
          <w:trHeight w:val="149"/>
        </w:trPr>
        <w:tc>
          <w:tcPr>
            <w:tcW w:w="1200" w:type="dxa"/>
            <w:vAlign w:val="bottom"/>
            <w:shd w:val="clear" w:color="auto" w:fill="C8CCE5"/>
          </w:tcPr>
          <w:p>
            <w:pPr>
              <w:spacing w:after="0"/>
              <w:rPr>
                <w:sz w:val="12"/>
                <w:szCs w:val="12"/>
                <w:color w:val="auto"/>
              </w:rPr>
            </w:pPr>
          </w:p>
        </w:tc>
        <w:tc>
          <w:tcPr>
            <w:tcW w:w="820" w:type="dxa"/>
            <w:vAlign w:val="bottom"/>
            <w:shd w:val="clear" w:color="auto" w:fill="E0E3F2"/>
          </w:tcPr>
          <w:p>
            <w:pPr>
              <w:spacing w:after="0"/>
              <w:rPr>
                <w:sz w:val="12"/>
                <w:szCs w:val="12"/>
                <w:color w:val="auto"/>
              </w:rPr>
            </w:pPr>
          </w:p>
        </w:tc>
        <w:tc>
          <w:tcPr>
            <w:tcW w:w="1220" w:type="dxa"/>
            <w:vAlign w:val="bottom"/>
            <w:shd w:val="clear" w:color="auto" w:fill="E0E3F2"/>
          </w:tcPr>
          <w:p>
            <w:pPr>
              <w:ind w:left="80"/>
              <w:spacing w:after="0"/>
              <w:rPr>
                <w:sz w:val="20"/>
                <w:szCs w:val="20"/>
                <w:color w:val="auto"/>
              </w:rPr>
            </w:pPr>
            <w:r>
              <w:rPr>
                <w:rFonts w:ascii="Arial" w:cs="Arial" w:eastAsia="Arial" w:hAnsi="Arial"/>
                <w:sz w:val="13"/>
                <w:szCs w:val="13"/>
                <w:color w:val="231F20"/>
              </w:rPr>
              <w:t>and CSO)</w:t>
            </w:r>
          </w:p>
        </w:tc>
        <w:tc>
          <w:tcPr>
            <w:tcW w:w="2420" w:type="dxa"/>
            <w:vAlign w:val="bottom"/>
            <w:shd w:val="clear" w:color="auto" w:fill="E0E3F2"/>
          </w:tcPr>
          <w:p>
            <w:pPr>
              <w:spacing w:after="0"/>
              <w:rPr>
                <w:sz w:val="12"/>
                <w:szCs w:val="12"/>
                <w:color w:val="auto"/>
              </w:rPr>
            </w:pPr>
          </w:p>
        </w:tc>
        <w:tc>
          <w:tcPr>
            <w:tcW w:w="2440" w:type="dxa"/>
            <w:vAlign w:val="bottom"/>
            <w:shd w:val="clear" w:color="auto" w:fill="E0E3F2"/>
          </w:tcPr>
          <w:p>
            <w:pPr>
              <w:ind w:left="100"/>
              <w:spacing w:after="0"/>
              <w:rPr>
                <w:sz w:val="20"/>
                <w:szCs w:val="20"/>
                <w:color w:val="auto"/>
              </w:rPr>
            </w:pPr>
            <w:r>
              <w:rPr>
                <w:rFonts w:ascii="Arial" w:cs="Arial" w:eastAsia="Arial" w:hAnsi="Arial"/>
                <w:sz w:val="13"/>
                <w:szCs w:val="13"/>
                <w:color w:val="231F20"/>
              </w:rPr>
              <w:t>grant and 50% on fourth anniversary</w:t>
            </w:r>
          </w:p>
        </w:tc>
        <w:tc>
          <w:tcPr>
            <w:tcW w:w="0" w:type="dxa"/>
            <w:vAlign w:val="bottom"/>
          </w:tcPr>
          <w:p>
            <w:pPr>
              <w:spacing w:after="0"/>
              <w:rPr>
                <w:sz w:val="1"/>
                <w:szCs w:val="1"/>
                <w:color w:val="auto"/>
              </w:rPr>
            </w:pPr>
          </w:p>
        </w:tc>
      </w:tr>
      <w:tr>
        <w:trPr>
          <w:trHeight w:val="145"/>
        </w:trPr>
        <w:tc>
          <w:tcPr>
            <w:tcW w:w="1200" w:type="dxa"/>
            <w:vAlign w:val="bottom"/>
            <w:tcBorders>
              <w:bottom w:val="single" w:sz="8" w:color="2952A4"/>
            </w:tcBorders>
            <w:shd w:val="clear" w:color="auto" w:fill="C8CCE5"/>
          </w:tcPr>
          <w:p>
            <w:pPr>
              <w:spacing w:after="0"/>
              <w:rPr>
                <w:sz w:val="12"/>
                <w:szCs w:val="12"/>
                <w:color w:val="auto"/>
              </w:rPr>
            </w:pPr>
          </w:p>
        </w:tc>
        <w:tc>
          <w:tcPr>
            <w:tcW w:w="820" w:type="dxa"/>
            <w:vAlign w:val="bottom"/>
            <w:tcBorders>
              <w:bottom w:val="single" w:sz="8" w:color="2952A4"/>
            </w:tcBorders>
            <w:shd w:val="clear" w:color="auto" w:fill="E0E3F2"/>
          </w:tcPr>
          <w:p>
            <w:pPr>
              <w:spacing w:after="0"/>
              <w:rPr>
                <w:sz w:val="12"/>
                <w:szCs w:val="12"/>
                <w:color w:val="auto"/>
              </w:rPr>
            </w:pPr>
          </w:p>
        </w:tc>
        <w:tc>
          <w:tcPr>
            <w:tcW w:w="1220" w:type="dxa"/>
            <w:vAlign w:val="bottom"/>
            <w:tcBorders>
              <w:bottom w:val="single" w:sz="8" w:color="2952A4"/>
            </w:tcBorders>
            <w:shd w:val="clear" w:color="auto" w:fill="E0E3F2"/>
          </w:tcPr>
          <w:p>
            <w:pPr>
              <w:spacing w:after="0"/>
              <w:rPr>
                <w:sz w:val="12"/>
                <w:szCs w:val="12"/>
                <w:color w:val="auto"/>
              </w:rPr>
            </w:pPr>
          </w:p>
        </w:tc>
        <w:tc>
          <w:tcPr>
            <w:tcW w:w="2420" w:type="dxa"/>
            <w:vAlign w:val="bottom"/>
            <w:tcBorders>
              <w:bottom w:val="single" w:sz="8" w:color="2952A4"/>
            </w:tcBorders>
            <w:shd w:val="clear" w:color="auto" w:fill="E0E3F2"/>
          </w:tcPr>
          <w:p>
            <w:pPr>
              <w:spacing w:after="0"/>
              <w:rPr>
                <w:sz w:val="12"/>
                <w:szCs w:val="12"/>
                <w:color w:val="auto"/>
              </w:rPr>
            </w:pPr>
          </w:p>
        </w:tc>
        <w:tc>
          <w:tcPr>
            <w:tcW w:w="2440" w:type="dxa"/>
            <w:vAlign w:val="bottom"/>
            <w:tcBorders>
              <w:bottom w:val="single" w:sz="8" w:color="2952A4"/>
            </w:tcBorders>
            <w:shd w:val="clear" w:color="auto" w:fill="E0E3F2"/>
          </w:tcPr>
          <w:p>
            <w:pPr>
              <w:ind w:left="100"/>
              <w:spacing w:after="0" w:line="145" w:lineRule="exact"/>
              <w:rPr>
                <w:sz w:val="20"/>
                <w:szCs w:val="20"/>
                <w:color w:val="auto"/>
              </w:rPr>
            </w:pPr>
            <w:r>
              <w:rPr>
                <w:rFonts w:ascii="Arial" w:cs="Arial" w:eastAsia="Arial" w:hAnsi="Arial"/>
                <w:sz w:val="13"/>
                <w:szCs w:val="13"/>
                <w:color w:val="231F20"/>
              </w:rPr>
              <w:t>of the date of grant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80" w:right="579" w:hanging="120"/>
        <w:spacing w:after="0" w:line="253" w:lineRule="auto"/>
        <w:rPr>
          <w:sz w:val="20"/>
          <w:szCs w:val="20"/>
          <w:color w:val="auto"/>
        </w:rPr>
      </w:pPr>
      <w:r>
        <w:rPr>
          <w:rFonts w:ascii="Arial" w:cs="Arial" w:eastAsia="Arial" w:hAnsi="Arial"/>
          <w:sz w:val="13"/>
          <w:szCs w:val="13"/>
          <w:color w:val="231F20"/>
        </w:rPr>
        <w:t xml:space="preserve">* </w:t>
      </w:r>
      <w:r>
        <w:rPr>
          <w:rFonts w:ascii="Arial" w:cs="Arial" w:eastAsia="Arial" w:hAnsi="Arial"/>
          <w:sz w:val="14"/>
          <w:szCs w:val="14"/>
          <w:color w:val="231F20"/>
        </w:rPr>
        <w:t>As noted above, PSUs were also granted as part of the 2019 annual equity award of the Chairman of the Board. The</w:t>
      </w:r>
      <w:r>
        <w:rPr>
          <w:rFonts w:ascii="Arial" w:cs="Arial" w:eastAsia="Arial" w:hAnsi="Arial"/>
          <w:sz w:val="13"/>
          <w:szCs w:val="13"/>
          <w:color w:val="231F20"/>
        </w:rPr>
        <w:t xml:space="preserve"> </w:t>
      </w:r>
      <w:r>
        <w:rPr>
          <w:rFonts w:ascii="Arial" w:cs="Arial" w:eastAsia="Arial" w:hAnsi="Arial"/>
          <w:sz w:val="14"/>
          <w:szCs w:val="14"/>
          <w:color w:val="231F20"/>
        </w:rPr>
        <w:t>Chairman’s compensation is outside of the scope of this CD&amp;A and is discussed under the subsection “Board of Directors— 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30" w:lineRule="exact"/>
        <w:rPr>
          <w:sz w:val="20"/>
          <w:szCs w:val="20"/>
          <w:color w:val="auto"/>
        </w:rPr>
      </w:pPr>
    </w:p>
    <w:p>
      <w:pPr>
        <w:ind w:left="620" w:right="919" w:hanging="166"/>
        <w:spacing w:after="0" w:line="242" w:lineRule="auto"/>
        <w:tabs>
          <w:tab w:leader="none" w:pos="620" w:val="left"/>
        </w:tabs>
        <w:numPr>
          <w:ilvl w:val="0"/>
          <w:numId w:val="100"/>
        </w:numPr>
        <w:rPr>
          <w:rFonts w:ascii="Arial" w:cs="Arial" w:eastAsia="Arial" w:hAnsi="Arial"/>
          <w:sz w:val="13"/>
          <w:szCs w:val="13"/>
          <w:b w:val="1"/>
          <w:bCs w:val="1"/>
          <w:color w:val="2952A4"/>
        </w:rPr>
      </w:pPr>
      <w:r>
        <w:rPr>
          <w:rFonts w:ascii="Arial" w:cs="Arial" w:eastAsia="Arial" w:hAnsi="Arial"/>
          <w:sz w:val="15"/>
          <w:szCs w:val="15"/>
          <w:color w:val="231F20"/>
        </w:rPr>
        <w:t>Information about additional accomplishments in 2019 is provided below under the subsection “Components of Executive Pay: What We Pay and Why We Pay It – Annual Cash Incentives.”</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60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72" w:name="page73"/>
    <w:bookmarkEnd w:id="72"/>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99" w:lineRule="exact"/>
        <w:rPr>
          <w:sz w:val="20"/>
          <w:szCs w:val="20"/>
          <w:color w:val="auto"/>
        </w:rPr>
      </w:pPr>
    </w:p>
    <w:p>
      <w:pPr>
        <w:ind w:left="1580" w:right="1720"/>
        <w:spacing w:after="0" w:line="278" w:lineRule="auto"/>
        <w:rPr>
          <w:sz w:val="20"/>
          <w:szCs w:val="20"/>
          <w:color w:val="auto"/>
        </w:rPr>
      </w:pPr>
      <w:r>
        <w:rPr>
          <w:rFonts w:ascii="Arial" w:cs="Arial" w:eastAsia="Arial" w:hAnsi="Arial"/>
          <w:sz w:val="29"/>
          <w:szCs w:val="29"/>
          <w:b w:val="1"/>
          <w:bCs w:val="1"/>
          <w:color w:val="C04C57"/>
        </w:rPr>
        <w:t>KEY GOVERNANCE FEATURES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-35560</wp:posOffset>
            </wp:positionV>
            <wp:extent cx="50831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35" w:lineRule="exact"/>
        <w:rPr>
          <w:sz w:val="20"/>
          <w:szCs w:val="20"/>
          <w:color w:val="auto"/>
        </w:rPr>
      </w:pPr>
    </w:p>
    <w:p>
      <w:pPr>
        <w:ind w:left="1580" w:right="1880"/>
        <w:spacing w:after="0" w:line="233" w:lineRule="auto"/>
        <w:rPr>
          <w:sz w:val="20"/>
          <w:szCs w:val="20"/>
          <w:color w:val="auto"/>
        </w:rPr>
      </w:pPr>
      <w:r>
        <w:rPr>
          <w:rFonts w:ascii="Arial" w:cs="Arial" w:eastAsia="Arial" w:hAnsi="Arial"/>
          <w:sz w:val="15"/>
          <w:szCs w:val="15"/>
          <w:color w:val="231F20"/>
        </w:rPr>
        <w:t>Our Compensation Committee independently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some of our executive compensation best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82550</wp:posOffset>
            </wp:positionV>
            <wp:extent cx="5143500"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FFFFFF"/>
        </w:rPr>
        <w:t>WHAT WE DO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80" w:type="dxa"/>
            <w:vAlign w:val="bottom"/>
          </w:tcPr>
          <w:p>
            <w:pPr>
              <w:spacing w:after="0"/>
              <w:rPr>
                <w:sz w:val="16"/>
                <w:szCs w:val="16"/>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Align pay with performance</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Maintain a strong recoupment (clawback)</w:t>
            </w:r>
          </w:p>
        </w:tc>
      </w:tr>
      <w:tr>
        <w:trPr>
          <w:trHeight w:val="225"/>
        </w:trPr>
        <w:tc>
          <w:tcPr>
            <w:tcW w:w="15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policy</w:t>
            </w:r>
          </w:p>
        </w:tc>
      </w:tr>
      <w:tr>
        <w:trPr>
          <w:trHeight w:val="342"/>
        </w:trPr>
        <w:tc>
          <w:tcPr>
            <w:tcW w:w="1580" w:type="dxa"/>
            <w:vAlign w:val="bottom"/>
          </w:tcPr>
          <w:p>
            <w:pPr>
              <w:spacing w:after="0"/>
              <w:rPr>
                <w:sz w:val="24"/>
                <w:szCs w:val="24"/>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Align management and shareholder</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Review peer group pay as reference point</w:t>
            </w:r>
          </w:p>
        </w:tc>
      </w:tr>
      <w:tr>
        <w:trPr>
          <w:trHeight w:val="225"/>
        </w:trPr>
        <w:tc>
          <w:tcPr>
            <w:tcW w:w="1580" w:type="dxa"/>
            <w:vAlign w:val="bottom"/>
          </w:tcPr>
          <w:p>
            <w:pPr>
              <w:spacing w:after="0"/>
              <w:rPr>
                <w:sz w:val="19"/>
                <w:szCs w:val="19"/>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interests</w:t>
            </w:r>
          </w:p>
        </w:tc>
        <w:tc>
          <w:tcPr>
            <w:tcW w:w="34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42"/>
        </w:trPr>
        <w:tc>
          <w:tcPr>
            <w:tcW w:w="1580" w:type="dxa"/>
            <w:vAlign w:val="bottom"/>
          </w:tcPr>
          <w:p>
            <w:pPr>
              <w:spacing w:after="0"/>
              <w:rPr>
                <w:sz w:val="24"/>
                <w:szCs w:val="24"/>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Maintain robust stock ownership</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Retain an independent compensation</w:t>
            </w:r>
          </w:p>
        </w:tc>
      </w:tr>
      <w:tr>
        <w:trPr>
          <w:trHeight w:val="225"/>
        </w:trPr>
        <w:tc>
          <w:tcPr>
            <w:tcW w:w="1580" w:type="dxa"/>
            <w:vAlign w:val="bottom"/>
          </w:tcPr>
          <w:p>
            <w:pPr>
              <w:spacing w:after="0"/>
              <w:rPr>
                <w:sz w:val="19"/>
                <w:szCs w:val="19"/>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guidelines</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consultant</w:t>
            </w:r>
          </w:p>
        </w:tc>
      </w:tr>
      <w:tr>
        <w:trPr>
          <w:trHeight w:val="342"/>
        </w:trPr>
        <w:tc>
          <w:tcPr>
            <w:tcW w:w="1580" w:type="dxa"/>
            <w:vAlign w:val="bottom"/>
          </w:tcPr>
          <w:p>
            <w:pPr>
              <w:spacing w:after="0"/>
              <w:rPr>
                <w:sz w:val="24"/>
                <w:szCs w:val="24"/>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Apply “double trigger” change-in-control</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Actively and regularly engage with</w:t>
            </w:r>
          </w:p>
        </w:tc>
      </w:tr>
      <w:tr>
        <w:trPr>
          <w:trHeight w:val="189"/>
        </w:trPr>
        <w:tc>
          <w:tcPr>
            <w:tcW w:w="1580" w:type="dxa"/>
            <w:vAlign w:val="bottom"/>
          </w:tcPr>
          <w:p>
            <w:pPr>
              <w:spacing w:after="0"/>
              <w:rPr>
                <w:sz w:val="16"/>
                <w:szCs w:val="16"/>
                <w:color w:val="auto"/>
              </w:rPr>
            </w:pPr>
          </w:p>
        </w:tc>
        <w:tc>
          <w:tcPr>
            <w:tcW w:w="4660" w:type="dxa"/>
            <w:vAlign w:val="bottom"/>
          </w:tcPr>
          <w:p>
            <w:pPr>
              <w:ind w:left="520"/>
              <w:spacing w:after="0" w:line="189" w:lineRule="exact"/>
              <w:rPr>
                <w:sz w:val="20"/>
                <w:szCs w:val="20"/>
                <w:color w:val="auto"/>
              </w:rPr>
            </w:pPr>
            <w:r>
              <w:rPr>
                <w:rFonts w:ascii="Arial" w:cs="Arial" w:eastAsia="Arial" w:hAnsi="Arial"/>
                <w:sz w:val="17"/>
                <w:szCs w:val="17"/>
                <w:b w:val="1"/>
                <w:bCs w:val="1"/>
                <w:color w:val="C04C57"/>
              </w:rPr>
              <w:t>vesting provisions to equity awards</w:t>
            </w:r>
          </w:p>
        </w:tc>
        <w:tc>
          <w:tcPr>
            <w:tcW w:w="5000" w:type="dxa"/>
            <w:vAlign w:val="bottom"/>
            <w:gridSpan w:val="2"/>
          </w:tcPr>
          <w:p>
            <w:pPr>
              <w:spacing w:after="0" w:line="189" w:lineRule="exact"/>
              <w:rPr>
                <w:sz w:val="20"/>
                <w:szCs w:val="20"/>
                <w:color w:val="auto"/>
              </w:rPr>
            </w:pPr>
            <w:r>
              <w:rPr>
                <w:rFonts w:ascii="Arial" w:cs="Arial" w:eastAsia="Arial" w:hAnsi="Arial"/>
                <w:sz w:val="17"/>
                <w:szCs w:val="17"/>
                <w:b w:val="1"/>
                <w:bCs w:val="1"/>
                <w:color w:val="C04C57"/>
              </w:rPr>
              <w:t>shareholders on executive compensation</w:t>
            </w:r>
          </w:p>
        </w:tc>
      </w:tr>
      <w:tr>
        <w:trPr>
          <w:trHeight w:val="225"/>
        </w:trPr>
        <w:tc>
          <w:tcPr>
            <w:tcW w:w="15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matters</w:t>
            </w:r>
          </w:p>
        </w:tc>
      </w:tr>
      <w:tr>
        <w:trPr>
          <w:trHeight w:val="180"/>
        </w:trPr>
        <w:tc>
          <w:tcPr>
            <w:tcW w:w="15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7"/>
        </w:trPr>
        <w:tc>
          <w:tcPr>
            <w:tcW w:w="1580" w:type="dxa"/>
            <w:vAlign w:val="bottom"/>
          </w:tcPr>
          <w:p>
            <w:pPr>
              <w:spacing w:after="0"/>
              <w:rPr>
                <w:sz w:val="24"/>
                <w:szCs w:val="24"/>
                <w:color w:val="auto"/>
              </w:rPr>
            </w:pPr>
          </w:p>
        </w:tc>
        <w:tc>
          <w:tcPr>
            <w:tcW w:w="4660" w:type="dxa"/>
            <w:vAlign w:val="bottom"/>
            <w:tcBorders>
              <w:bottom w:val="single" w:sz="8" w:color="2952A4"/>
            </w:tcBorders>
            <w:shd w:val="clear" w:color="auto" w:fill="2952A4"/>
          </w:tcPr>
          <w:p>
            <w:pPr>
              <w:ind w:left="80"/>
              <w:spacing w:after="0"/>
              <w:rPr>
                <w:sz w:val="20"/>
                <w:szCs w:val="20"/>
                <w:color w:val="auto"/>
              </w:rPr>
            </w:pPr>
            <w:r>
              <w:rPr>
                <w:rFonts w:ascii="Arial" w:cs="Arial" w:eastAsia="Arial" w:hAnsi="Arial"/>
                <w:sz w:val="17"/>
                <w:szCs w:val="17"/>
                <w:b w:val="1"/>
                <w:bCs w:val="1"/>
                <w:color w:val="FFFFFF"/>
              </w:rPr>
              <w:t>WHAT WE DON’T DO</w:t>
            </w:r>
          </w:p>
        </w:tc>
        <w:tc>
          <w:tcPr>
            <w:tcW w:w="3440" w:type="dxa"/>
            <w:vAlign w:val="bottom"/>
            <w:tcBorders>
              <w:bottom w:val="single" w:sz="8" w:color="2952A4"/>
            </w:tcBorders>
            <w:shd w:val="clear" w:color="auto" w:fill="2952A4"/>
          </w:tcPr>
          <w:p>
            <w:pPr>
              <w:spacing w:after="0"/>
              <w:rPr>
                <w:sz w:val="24"/>
                <w:szCs w:val="24"/>
                <w:color w:val="auto"/>
              </w:rPr>
            </w:pPr>
          </w:p>
        </w:tc>
        <w:tc>
          <w:tcPr>
            <w:tcW w:w="1560" w:type="dxa"/>
            <w:vAlign w:val="bottom"/>
          </w:tcPr>
          <w:p>
            <w:pPr>
              <w:spacing w:after="0"/>
              <w:rPr>
                <w:sz w:val="24"/>
                <w:szCs w:val="24"/>
                <w:color w:val="auto"/>
              </w:rPr>
            </w:pPr>
          </w:p>
        </w:tc>
      </w:tr>
      <w:tr>
        <w:trPr>
          <w:trHeight w:val="352"/>
        </w:trPr>
        <w:tc>
          <w:tcPr>
            <w:tcW w:w="1580" w:type="dxa"/>
            <w:vAlign w:val="bottom"/>
          </w:tcPr>
          <w:p>
            <w:pPr>
              <w:spacing w:after="0"/>
              <w:rPr>
                <w:sz w:val="24"/>
                <w:szCs w:val="24"/>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Reprice or exchange stock options</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Provide excise tax gross-ups in any new</w:t>
            </w:r>
          </w:p>
        </w:tc>
      </w:tr>
      <w:tr>
        <w:trPr>
          <w:trHeight w:val="225"/>
        </w:trPr>
        <w:tc>
          <w:tcPr>
            <w:tcW w:w="15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compensation plans or arrangements</w:t>
            </w:r>
          </w:p>
        </w:tc>
      </w:tr>
      <w:tr>
        <w:trPr>
          <w:trHeight w:val="378"/>
        </w:trPr>
        <w:tc>
          <w:tcPr>
            <w:tcW w:w="1580" w:type="dxa"/>
            <w:vAlign w:val="bottom"/>
          </w:tcPr>
          <w:p>
            <w:pPr>
              <w:spacing w:after="0"/>
              <w:rPr>
                <w:sz w:val="24"/>
                <w:szCs w:val="24"/>
                <w:color w:val="auto"/>
              </w:rPr>
            </w:pPr>
          </w:p>
        </w:tc>
        <w:tc>
          <w:tcPr>
            <w:tcW w:w="4660" w:type="dxa"/>
            <w:vAlign w:val="bottom"/>
          </w:tcPr>
          <w:p>
            <w:pPr>
              <w:ind w:left="520"/>
              <w:spacing w:after="0"/>
              <w:rPr>
                <w:sz w:val="20"/>
                <w:szCs w:val="20"/>
                <w:color w:val="auto"/>
              </w:rPr>
            </w:pPr>
            <w:r>
              <w:rPr>
                <w:rFonts w:ascii="Arial" w:cs="Arial" w:eastAsia="Arial" w:hAnsi="Arial"/>
                <w:sz w:val="17"/>
                <w:szCs w:val="17"/>
                <w:b w:val="1"/>
                <w:bCs w:val="1"/>
                <w:color w:val="C04C57"/>
              </w:rPr>
              <w:t>Provide excessive perquisites</w:t>
            </w: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C04C57"/>
              </w:rPr>
              <w:t>Allow hedging or pledging of securities</w:t>
            </w:r>
          </w:p>
        </w:tc>
      </w:tr>
      <w:tr>
        <w:trPr>
          <w:trHeight w:val="438"/>
        </w:trPr>
        <w:tc>
          <w:tcPr>
            <w:tcW w:w="6240" w:type="dxa"/>
            <w:vAlign w:val="bottom"/>
            <w:gridSpan w:val="2"/>
          </w:tcPr>
          <w:p>
            <w:pPr>
              <w:ind w:left="1480"/>
              <w:spacing w:after="0"/>
              <w:rPr>
                <w:sz w:val="20"/>
                <w:szCs w:val="20"/>
                <w:color w:val="auto"/>
              </w:rPr>
            </w:pPr>
            <w:r>
              <w:rPr>
                <w:rFonts w:ascii="Arial" w:cs="Arial" w:eastAsia="Arial" w:hAnsi="Arial"/>
                <w:sz w:val="13"/>
                <w:szCs w:val="13"/>
                <w:b w:val="1"/>
                <w:bCs w:val="1"/>
                <w:color w:val="2952A4"/>
                <w:w w:val="96"/>
              </w:rPr>
              <w:t>2020 PROXY STATEMENT AND NOTICE OF ANNUAL SHAREHOLDER MEETING</w:t>
            </w:r>
          </w:p>
        </w:tc>
        <w:tc>
          <w:tcPr>
            <w:tcW w:w="5000" w:type="dxa"/>
            <w:vAlign w:val="bottom"/>
            <w:gridSpan w:val="2"/>
          </w:tcPr>
          <w:p>
            <w:pPr>
              <w:ind w:left="3880"/>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61</w:t>
            </w:r>
          </w:p>
        </w:tc>
      </w:tr>
      <w:tr>
        <w:trPr>
          <w:trHeight w:val="262"/>
        </w:trPr>
        <w:tc>
          <w:tcPr>
            <w:tcW w:w="1580" w:type="dxa"/>
            <w:vAlign w:val="bottom"/>
            <w:tcBorders>
              <w:bottom w:val="single" w:sz="8" w:color="C0C0C0"/>
            </w:tcBorders>
          </w:tcPr>
          <w:p>
            <w:pPr>
              <w:spacing w:after="0"/>
              <w:rPr>
                <w:sz w:val="22"/>
                <w:szCs w:val="22"/>
                <w:color w:val="auto"/>
              </w:rPr>
            </w:pPr>
          </w:p>
        </w:tc>
        <w:tc>
          <w:tcPr>
            <w:tcW w:w="4660" w:type="dxa"/>
            <w:vAlign w:val="bottom"/>
            <w:tcBorders>
              <w:bottom w:val="single" w:sz="8" w:color="C0C0C0"/>
            </w:tcBorders>
          </w:tcPr>
          <w:p>
            <w:pPr>
              <w:spacing w:after="0"/>
              <w:rPr>
                <w:sz w:val="22"/>
                <w:szCs w:val="22"/>
                <w:color w:val="auto"/>
              </w:rPr>
            </w:pPr>
          </w:p>
        </w:tc>
        <w:tc>
          <w:tcPr>
            <w:tcW w:w="344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-2811145</wp:posOffset>
            </wp:positionV>
            <wp:extent cx="188595" cy="1885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-2811145</wp:posOffset>
            </wp:positionV>
            <wp:extent cx="188595" cy="18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-2451100</wp:posOffset>
            </wp:positionV>
            <wp:extent cx="188595"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-2451100</wp:posOffset>
            </wp:positionV>
            <wp:extent cx="188595"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-2091055</wp:posOffset>
            </wp:positionV>
            <wp:extent cx="188595"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-2091055</wp:posOffset>
            </wp:positionV>
            <wp:extent cx="188595"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-1731010</wp:posOffset>
            </wp:positionV>
            <wp:extent cx="188595" cy="1885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188595"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-942340</wp:posOffset>
            </wp:positionV>
            <wp:extent cx="188595"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-942340</wp:posOffset>
            </wp:positionV>
            <wp:extent cx="188595"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-582295</wp:posOffset>
            </wp:positionV>
            <wp:extent cx="188595"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-582295</wp:posOffset>
            </wp:positionV>
            <wp:extent cx="188595"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-290830</wp:posOffset>
            </wp:positionV>
            <wp:extent cx="745490" cy="857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3" w:name="page74"/>
    <w:bookmarkEnd w:id="73"/>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166" w:lineRule="exact"/>
        <w:rPr>
          <w:sz w:val="20"/>
          <w:szCs w:val="20"/>
          <w:color w:val="auto"/>
        </w:rPr>
      </w:pPr>
    </w:p>
    <w:p>
      <w:pPr>
        <w:ind w:left="460" w:right="2279"/>
        <w:spacing w:after="0" w:line="265" w:lineRule="auto"/>
        <w:rPr>
          <w:sz w:val="20"/>
          <w:szCs w:val="20"/>
          <w:color w:val="auto"/>
        </w:rPr>
      </w:pPr>
      <w:r>
        <w:rPr>
          <w:rFonts w:ascii="Arial" w:cs="Arial" w:eastAsia="Arial" w:hAnsi="Arial"/>
          <w:sz w:val="58"/>
          <w:szCs w:val="58"/>
          <w:b w:val="1"/>
          <w:bCs w:val="1"/>
          <w:color w:val="2952A4"/>
        </w:rPr>
        <w:t>OUR COMPENSATION PHILOSOPHY AND OBJECTIVES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31F20"/>
        </w:rPr>
        <w:t>We consider the following objectives when determining compensation of our NEOs and other executives:</w:t>
      </w:r>
    </w:p>
    <w:p>
      <w:pPr>
        <w:spacing w:after="0" w:line="138"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5"/>
          <w:szCs w:val="15"/>
          <w:b w:val="1"/>
          <w:bCs w:val="1"/>
          <w:color w:val="2952A4"/>
        </w:rPr>
        <w:t xml:space="preserve">1 </w:t>
      </w:r>
      <w:r>
        <w:rPr>
          <w:rFonts w:ascii="Arial" w:cs="Arial" w:eastAsia="Arial" w:hAnsi="Arial"/>
          <w:sz w:val="15"/>
          <w:szCs w:val="15"/>
          <w:color w:val="231F20"/>
        </w:rPr>
        <w:t>Driving innovation through our ownership culture while</w:t>
      </w:r>
      <w:r>
        <w:rPr>
          <w:sz w:val="20"/>
          <w:szCs w:val="20"/>
          <w:color w:val="auto"/>
        </w:rPr>
        <w:tab/>
      </w:r>
      <w:r>
        <w:rPr>
          <w:rFonts w:ascii="Arial" w:cs="Arial" w:eastAsia="Arial" w:hAnsi="Arial"/>
          <w:sz w:val="15"/>
          <w:szCs w:val="15"/>
          <w:b w:val="1"/>
          <w:bCs w:val="1"/>
          <w:color w:val="2952A4"/>
        </w:rPr>
        <w:t xml:space="preserve">4 </w:t>
      </w:r>
      <w:r>
        <w:rPr>
          <w:rFonts w:ascii="Arial" w:cs="Arial" w:eastAsia="Arial" w:hAnsi="Arial"/>
          <w:sz w:val="15"/>
          <w:szCs w:val="15"/>
          <w:color w:val="231F20"/>
        </w:rPr>
        <w:t>Balancing year-over-year consistency and flexibility in</w:t>
      </w:r>
    </w:p>
    <w:p>
      <w:pPr>
        <w:spacing w:after="0" w:line="8" w:lineRule="exact"/>
        <w:rPr>
          <w:sz w:val="20"/>
          <w:szCs w:val="20"/>
          <w:color w:val="auto"/>
        </w:rPr>
      </w:pPr>
    </w:p>
    <w:p>
      <w:pPr>
        <w:ind w:left="620"/>
        <w:spacing w:after="0"/>
        <w:tabs>
          <w:tab w:leader="none" w:pos="4800" w:val="left"/>
        </w:tabs>
        <w:rPr>
          <w:sz w:val="20"/>
          <w:szCs w:val="20"/>
          <w:color w:val="auto"/>
        </w:rPr>
      </w:pPr>
      <w:r>
        <w:rPr>
          <w:rFonts w:ascii="Arial" w:cs="Arial" w:eastAsia="Arial" w:hAnsi="Arial"/>
          <w:sz w:val="15"/>
          <w:szCs w:val="15"/>
          <w:color w:val="231F20"/>
        </w:rPr>
        <w:t>managing the dilutive impact of equity grants</w:t>
      </w:r>
      <w:r>
        <w:rPr>
          <w:sz w:val="20"/>
          <w:szCs w:val="20"/>
          <w:color w:val="auto"/>
        </w:rPr>
        <w:tab/>
      </w:r>
      <w:r>
        <w:rPr>
          <w:rFonts w:ascii="Arial" w:cs="Arial" w:eastAsia="Arial" w:hAnsi="Arial"/>
          <w:sz w:val="15"/>
          <w:szCs w:val="15"/>
          <w:color w:val="231F20"/>
        </w:rPr>
        <w:t>making compensation decisions</w:t>
      </w:r>
    </w:p>
    <w:p>
      <w:pPr>
        <w:sectPr>
          <w:pgSz w:w="11900" w:h="16838" w:orient="portrait"/>
          <w:cols w:equalWidth="0" w:num="1">
            <w:col w:w="9019"/>
          </w:cols>
          <w:pgMar w:left="1440" w:top="405" w:right="1440" w:bottom="1440" w:gutter="0" w:footer="0" w:header="0"/>
          <w:type w:val="continuous"/>
        </w:sectPr>
      </w:pPr>
    </w:p>
    <w:p>
      <w:pPr>
        <w:spacing w:after="0" w:line="152" w:lineRule="exact"/>
        <w:rPr>
          <w:sz w:val="20"/>
          <w:szCs w:val="20"/>
          <w:color w:val="auto"/>
        </w:rPr>
      </w:pPr>
    </w:p>
    <w:p>
      <w:pPr>
        <w:ind w:left="620" w:right="20" w:hanging="166"/>
        <w:spacing w:after="0" w:line="235" w:lineRule="auto"/>
        <w:tabs>
          <w:tab w:leader="none" w:pos="620" w:val="left"/>
        </w:tabs>
        <w:numPr>
          <w:ilvl w:val="0"/>
          <w:numId w:val="101"/>
        </w:numPr>
        <w:rPr>
          <w:rFonts w:ascii="Arial" w:cs="Arial" w:eastAsia="Arial" w:hAnsi="Arial"/>
          <w:sz w:val="15"/>
          <w:szCs w:val="15"/>
          <w:b w:val="1"/>
          <w:bCs w:val="1"/>
          <w:color w:val="2952A4"/>
        </w:rPr>
      </w:pPr>
      <w:r>
        <w:rPr>
          <w:rFonts w:ascii="Arial" w:cs="Arial" w:eastAsia="Arial" w:hAnsi="Arial"/>
          <w:sz w:val="15"/>
          <w:szCs w:val="15"/>
          <w:color w:val="231F20"/>
        </w:rPr>
        <w:t>Providing at-risk, performance-based pay to all employees, with increased performance accountability as responsibility increases</w:t>
      </w:r>
    </w:p>
    <w:p>
      <w:pPr>
        <w:spacing w:after="0" w:line="141" w:lineRule="exact"/>
        <w:rPr>
          <w:sz w:val="20"/>
          <w:szCs w:val="20"/>
          <w:color w:val="auto"/>
        </w:rPr>
      </w:pPr>
    </w:p>
    <w:p>
      <w:pPr>
        <w:ind w:left="620" w:hanging="166"/>
        <w:spacing w:after="0" w:line="242" w:lineRule="auto"/>
        <w:tabs>
          <w:tab w:leader="none" w:pos="620" w:val="left"/>
        </w:tabs>
        <w:numPr>
          <w:ilvl w:val="0"/>
          <w:numId w:val="102"/>
        </w:numPr>
        <w:rPr>
          <w:rFonts w:ascii="Arial" w:cs="Arial" w:eastAsia="Arial" w:hAnsi="Arial"/>
          <w:sz w:val="15"/>
          <w:szCs w:val="15"/>
          <w:b w:val="1"/>
          <w:bCs w:val="1"/>
          <w:color w:val="2952A4"/>
        </w:rPr>
      </w:pPr>
      <w:r>
        <w:rPr>
          <w:rFonts w:ascii="Arial" w:cs="Arial" w:eastAsia="Arial" w:hAnsi="Arial"/>
          <w:sz w:val="15"/>
          <w:szCs w:val="15"/>
          <w:color w:val="231F20"/>
        </w:rPr>
        <w:t>Prioritizing design simplicity, long-term orientation, and avoiding too much emphasis on short-term metrics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left="168" w:right="519" w:hanging="168"/>
        <w:spacing w:after="0" w:line="235" w:lineRule="auto"/>
        <w:tabs>
          <w:tab w:leader="none" w:pos="168" w:val="left"/>
        </w:tabs>
        <w:numPr>
          <w:ilvl w:val="0"/>
          <w:numId w:val="103"/>
        </w:numPr>
        <w:rPr>
          <w:rFonts w:ascii="Arial" w:cs="Arial" w:eastAsia="Arial" w:hAnsi="Arial"/>
          <w:sz w:val="15"/>
          <w:szCs w:val="15"/>
          <w:b w:val="1"/>
          <w:bCs w:val="1"/>
          <w:color w:val="2952A4"/>
        </w:rPr>
      </w:pPr>
      <w:r>
        <w:rPr>
          <w:rFonts w:ascii="Arial" w:cs="Arial" w:eastAsia="Arial" w:hAnsi="Arial"/>
          <w:sz w:val="15"/>
          <w:szCs w:val="15"/>
          <w:color w:val="231F20"/>
        </w:rPr>
        <w:t>Aligning our executive compensation with shareholder interests by linking compensation to the core elements of our long-term performance</w:t>
      </w:r>
    </w:p>
    <w:p>
      <w:pPr>
        <w:spacing w:after="0" w:line="141" w:lineRule="exact"/>
        <w:rPr>
          <w:sz w:val="20"/>
          <w:szCs w:val="20"/>
          <w:color w:val="auto"/>
        </w:rPr>
      </w:pPr>
    </w:p>
    <w:p>
      <w:pPr>
        <w:ind w:left="168" w:right="979" w:hanging="168"/>
        <w:spacing w:after="0" w:line="242" w:lineRule="auto"/>
        <w:tabs>
          <w:tab w:leader="none" w:pos="168" w:val="left"/>
        </w:tabs>
        <w:numPr>
          <w:ilvl w:val="0"/>
          <w:numId w:val="104"/>
        </w:numPr>
        <w:rPr>
          <w:rFonts w:ascii="Arial" w:cs="Arial" w:eastAsia="Arial" w:hAnsi="Arial"/>
          <w:sz w:val="15"/>
          <w:szCs w:val="15"/>
          <w:b w:val="1"/>
          <w:bCs w:val="1"/>
          <w:color w:val="2952A4"/>
        </w:rPr>
      </w:pPr>
      <w:r>
        <w:rPr>
          <w:rFonts w:ascii="Arial" w:cs="Arial" w:eastAsia="Arial" w:hAnsi="Arial"/>
          <w:sz w:val="15"/>
          <w:szCs w:val="15"/>
          <w:color w:val="231F20"/>
        </w:rPr>
        <w:t>Using independent sources of expertise and comparative data to inform our decision-making</w:t>
      </w:r>
    </w:p>
    <w:p>
      <w:pPr>
        <w:spacing w:after="0" w:line="138" w:lineRule="exact"/>
        <w:rPr>
          <w:sz w:val="20"/>
          <w:szCs w:val="20"/>
          <w:color w:val="auto"/>
        </w:rPr>
      </w:pPr>
    </w:p>
    <w:p>
      <w:pPr>
        <w:ind w:left="168" w:right="859" w:hanging="168"/>
        <w:spacing w:after="0" w:line="242" w:lineRule="auto"/>
        <w:tabs>
          <w:tab w:leader="none" w:pos="168" w:val="left"/>
        </w:tabs>
        <w:numPr>
          <w:ilvl w:val="0"/>
          <w:numId w:val="105"/>
        </w:numPr>
        <w:rPr>
          <w:rFonts w:ascii="Arial" w:cs="Arial" w:eastAsia="Arial" w:hAnsi="Arial"/>
          <w:sz w:val="15"/>
          <w:szCs w:val="15"/>
          <w:b w:val="1"/>
          <w:bCs w:val="1"/>
          <w:color w:val="2952A4"/>
        </w:rPr>
      </w:pPr>
      <w:r>
        <w:rPr>
          <w:rFonts w:ascii="Arial" w:cs="Arial" w:eastAsia="Arial" w:hAnsi="Arial"/>
          <w:sz w:val="15"/>
          <w:szCs w:val="15"/>
          <w:color w:val="231F20"/>
        </w:rPr>
        <w:t>Assessing our compensation objectives in light of measurable results</w:t>
      </w:r>
    </w:p>
    <w:p>
      <w:pPr>
        <w:spacing w:after="0" w:line="159" w:lineRule="exact"/>
        <w:rPr>
          <w:sz w:val="20"/>
          <w:szCs w:val="20"/>
          <w:color w:val="auto"/>
        </w:rPr>
      </w:pPr>
    </w:p>
    <w:p>
      <w:pPr>
        <w:sectPr>
          <w:pgSz w:w="11900" w:h="16838" w:orient="portrait"/>
          <w:cols w:equalWidth="0" w:num="2">
            <w:col w:w="4320" w:space="332"/>
            <w:col w:w="4367"/>
          </w:cols>
          <w:pgMar w:left="1440" w:top="405" w:right="1440" w:bottom="1440" w:gutter="0" w:footer="0" w:header="0"/>
          <w:type w:val="continuous"/>
        </w:sectPr>
      </w:pPr>
    </w:p>
    <w:p>
      <w:pPr>
        <w:ind w:left="720" w:right="799" w:hanging="266"/>
        <w:spacing w:after="0" w:line="271" w:lineRule="auto"/>
        <w:tabs>
          <w:tab w:leader="none" w:pos="720" w:val="left"/>
        </w:tabs>
        <w:numPr>
          <w:ilvl w:val="0"/>
          <w:numId w:val="106"/>
        </w:numPr>
        <w:rPr>
          <w:rFonts w:ascii="Arial" w:cs="Arial" w:eastAsia="Arial" w:hAnsi="Arial"/>
          <w:sz w:val="18"/>
          <w:szCs w:val="18"/>
          <w:b w:val="1"/>
          <w:bCs w:val="1"/>
          <w:color w:val="2952A4"/>
        </w:rPr>
      </w:pPr>
      <w:r>
        <w:rPr>
          <w:rFonts w:ascii="Arial" w:cs="Arial" w:eastAsia="Arial" w:hAnsi="Arial"/>
          <w:sz w:val="18"/>
          <w:szCs w:val="18"/>
          <w:b w:val="1"/>
          <w:bCs w:val="1"/>
          <w:color w:val="2952A4"/>
        </w:rPr>
        <w:t>Driving innovation through our ownership culture while managing the dilutive impact of equity grants</w:t>
      </w:r>
    </w:p>
    <w:p>
      <w:pPr>
        <w:spacing w:after="0" w:line="119" w:lineRule="exact"/>
        <w:rPr>
          <w:sz w:val="20"/>
          <w:szCs w:val="20"/>
          <w:color w:val="auto"/>
        </w:rPr>
      </w:pPr>
    </w:p>
    <w:p>
      <w:pPr>
        <w:ind w:left="460" w:right="739"/>
        <w:spacing w:after="0" w:line="231" w:lineRule="auto"/>
        <w:rPr>
          <w:sz w:val="20"/>
          <w:szCs w:val="20"/>
          <w:color w:val="auto"/>
        </w:rPr>
      </w:pPr>
      <w:r>
        <w:rPr>
          <w:rFonts w:ascii="Arial" w:cs="Arial" w:eastAsia="Arial" w:hAnsi="Arial"/>
          <w:sz w:val="15"/>
          <w:szCs w:val="15"/>
          <w:color w:val="231F20"/>
        </w:rPr>
        <w:t>We focus on the number of shares underlying equity awards as a percentage of basic shares of capital stock outstanding when making decisions on equity-based pay for our NEOs. We believe this dilution-based approach allows us to evaluate stock option and other equity grants on a consistent basis year-over-year, without regard to fluctuations in the share price, and is aligned more closely with shareholder interests. We also believe this approach allows for a more meaningful comparison to industry peers.</w:t>
      </w:r>
    </w:p>
    <w:p>
      <w:pPr>
        <w:spacing w:after="0" w:line="142" w:lineRule="exact"/>
        <w:rPr>
          <w:sz w:val="20"/>
          <w:szCs w:val="20"/>
          <w:color w:val="auto"/>
        </w:rPr>
      </w:pPr>
    </w:p>
    <w:p>
      <w:pPr>
        <w:ind w:left="460" w:right="639"/>
        <w:spacing w:after="0" w:line="229" w:lineRule="auto"/>
        <w:rPr>
          <w:sz w:val="20"/>
          <w:szCs w:val="20"/>
          <w:color w:val="auto"/>
        </w:rPr>
      </w:pPr>
      <w:r>
        <w:rPr>
          <w:rFonts w:ascii="Arial" w:cs="Arial" w:eastAsia="Arial" w:hAnsi="Arial"/>
          <w:sz w:val="15"/>
          <w:szCs w:val="15"/>
          <w:color w:val="231F20"/>
        </w:rPr>
        <w:t>The 2019 CEO equity grant as a percentage of basic shares outstanding was below the 75th percentile of the market composite data prepared by Radford from the 2019 Radford Global Life Sciences Survey (U.S. public biotechnology and pharmaceutical companies with between 1,500 and 20,000 employees) and our Peer Group data (we refer to the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composite data below as the “Market Composite Data”).</w:t>
      </w:r>
      <w:r>
        <w:rPr>
          <w:rFonts w:ascii="Arial" w:cs="Arial" w:eastAsia="Arial" w:hAnsi="Arial"/>
          <w:sz w:val="25"/>
          <w:szCs w:val="25"/>
          <w:color w:val="231F20"/>
          <w:vertAlign w:val="superscript"/>
        </w:rPr>
        <w:t>10</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C04C57"/>
        </w:rPr>
        <w:t>CEO Grant as a Percentage of Basic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1423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0" w:right="1079" w:hanging="126"/>
        <w:spacing w:after="0" w:line="242" w:lineRule="auto"/>
        <w:tabs>
          <w:tab w:leader="none" w:pos="580" w:val="left"/>
        </w:tabs>
        <w:numPr>
          <w:ilvl w:val="0"/>
          <w:numId w:val="107"/>
        </w:numPr>
        <w:rPr>
          <w:rFonts w:ascii="Arial" w:cs="Arial" w:eastAsia="Arial" w:hAnsi="Arial"/>
          <w:sz w:val="13"/>
          <w:szCs w:val="13"/>
          <w:color w:val="231F20"/>
        </w:rPr>
      </w:pPr>
      <w:r>
        <w:rPr>
          <w:rFonts w:ascii="Arial" w:cs="Arial" w:eastAsia="Arial" w:hAnsi="Arial"/>
          <w:sz w:val="15"/>
          <w:szCs w:val="15"/>
          <w:color w:val="231F20"/>
        </w:rPr>
        <w:t>Based on 2019 equity award information reported in the Summary Compensation Table included in this proxy statement for Regeneron and on the Market Composite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94" w:lineRule="exact"/>
        <w:rPr>
          <w:sz w:val="20"/>
          <w:szCs w:val="20"/>
          <w:color w:val="auto"/>
        </w:rPr>
      </w:pPr>
    </w:p>
    <w:p>
      <w:pPr>
        <w:ind w:left="680" w:right="519" w:hanging="226"/>
        <w:spacing w:after="0" w:line="235" w:lineRule="auto"/>
        <w:tabs>
          <w:tab w:leader="none" w:pos="680" w:val="left"/>
        </w:tabs>
        <w:numPr>
          <w:ilvl w:val="0"/>
          <w:numId w:val="108"/>
        </w:numPr>
        <w:rPr>
          <w:rFonts w:ascii="Arial" w:cs="Arial" w:eastAsia="Arial" w:hAnsi="Arial"/>
          <w:sz w:val="13"/>
          <w:szCs w:val="13"/>
          <w:b w:val="1"/>
          <w:bCs w:val="1"/>
          <w:color w:val="2952A4"/>
        </w:rPr>
      </w:pPr>
      <w:r>
        <w:rPr>
          <w:rFonts w:ascii="Arial" w:cs="Arial" w:eastAsia="Arial" w:hAnsi="Arial"/>
          <w:sz w:val="15"/>
          <w:szCs w:val="15"/>
          <w:color w:val="231F20"/>
        </w:rPr>
        <w:t>Unless otherwise noted, award percentages in this section are based on the number of underlying shares (on an options-equivalent basis), with RSAs/RSUs and PSUs (PSUs at target) converted into options-equivalents based on a ratio of 4 to 1 and approximately 3 to 1, respectively.</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62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74" w:name="page75"/>
    <w:bookmarkEnd w:id="74"/>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36" w:lineRule="exact"/>
        <w:rPr>
          <w:sz w:val="20"/>
          <w:szCs w:val="20"/>
          <w:color w:val="auto"/>
        </w:rPr>
      </w:pPr>
    </w:p>
    <w:p>
      <w:pPr>
        <w:ind w:left="1580" w:right="1720"/>
        <w:spacing w:after="0" w:line="231" w:lineRule="auto"/>
        <w:rPr>
          <w:sz w:val="20"/>
          <w:szCs w:val="20"/>
          <w:color w:val="auto"/>
        </w:rPr>
      </w:pPr>
      <w:r>
        <w:rPr>
          <w:rFonts w:ascii="Arial" w:cs="Arial" w:eastAsia="Arial" w:hAnsi="Arial"/>
          <w:sz w:val="15"/>
          <w:szCs w:val="15"/>
          <w:color w:val="231F20"/>
        </w:rPr>
        <w:t>Focusing on the number of shares, rather than targeting a specific grant date fair value, avoids rewarding executives with larger grant sizes following a decline in stock price. In line with this approach, when our stock price declined or remained relatively flat in each of 2016, 2017, 2018, and 2019 compared to the prior year, we continued to reduce the number of stock options awarded to our CEO. In 2019, the number of shares underlying our CEO’s award was reduced by 10%, which contributed to a 22% reduction in the aggregate grant date fair value of his award.</w:t>
      </w:r>
    </w:p>
    <w:p>
      <w:pPr>
        <w:spacing w:after="0" w:line="110"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C04C57"/>
        </w:rPr>
        <w:t>CEO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99060</wp:posOffset>
            </wp:positionV>
            <wp:extent cx="5143500" cy="23920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60" w:right="3680" w:hanging="86"/>
        <w:spacing w:after="0" w:line="241" w:lineRule="auto"/>
        <w:tabs>
          <w:tab w:leader="none" w:pos="1660" w:val="left"/>
        </w:tabs>
        <w:numPr>
          <w:ilvl w:val="0"/>
          <w:numId w:val="109"/>
        </w:numPr>
        <w:rPr>
          <w:rFonts w:ascii="Arial" w:cs="Arial" w:eastAsia="Arial" w:hAnsi="Arial"/>
          <w:sz w:val="13"/>
          <w:szCs w:val="13"/>
          <w:color w:val="231F20"/>
        </w:rPr>
      </w:pPr>
      <w:r>
        <w:rPr>
          <w:rFonts w:ascii="Arial" w:cs="Arial" w:eastAsia="Arial" w:hAnsi="Arial"/>
          <w:sz w:val="13"/>
          <w:szCs w:val="13"/>
          <w:color w:val="231F20"/>
        </w:rPr>
        <w:t>Share percentages are based on 96.6 million, 99.4 million, 101.7 million, 104.1 million, 105.5 million, 107.4 million, 108.2 million and 109.8 million shares (in each case consisting of common stock and Class A stock) outstanding as of October 12, 2012, October 28, 2013, October 16, 2014, October 16, 2015, October 20, 2016, October 20, 2017, October 19, 2018, and October 24, 2019, respectively, as reported in Regeneron’s Quarterly Report on Form 10-Q for the third quarter of the applicable year. The number of shares underlying PSUs (at target) is converted into options-equivalents based on a ratio of approximately 3 to 1.</w:t>
      </w:r>
    </w:p>
    <w:p>
      <w:pPr>
        <w:spacing w:after="0" w:line="128" w:lineRule="exact"/>
        <w:rPr>
          <w:sz w:val="20"/>
          <w:szCs w:val="20"/>
          <w:color w:val="auto"/>
        </w:rPr>
      </w:pPr>
    </w:p>
    <w:p>
      <w:pPr>
        <w:ind w:left="1840" w:right="1900" w:hanging="266"/>
        <w:spacing w:after="0" w:line="271" w:lineRule="auto"/>
        <w:tabs>
          <w:tab w:leader="none" w:pos="1840" w:val="left"/>
        </w:tabs>
        <w:numPr>
          <w:ilvl w:val="0"/>
          <w:numId w:val="110"/>
        </w:numPr>
        <w:rPr>
          <w:rFonts w:ascii="Arial" w:cs="Arial" w:eastAsia="Arial" w:hAnsi="Arial"/>
          <w:sz w:val="18"/>
          <w:szCs w:val="18"/>
          <w:b w:val="1"/>
          <w:bCs w:val="1"/>
          <w:color w:val="2952A4"/>
        </w:rPr>
      </w:pPr>
      <w:r>
        <w:rPr>
          <w:rFonts w:ascii="Arial" w:cs="Arial" w:eastAsia="Arial" w:hAnsi="Arial"/>
          <w:sz w:val="18"/>
          <w:szCs w:val="18"/>
          <w:b w:val="1"/>
          <w:bCs w:val="1"/>
          <w:color w:val="2952A4"/>
        </w:rPr>
        <w:t>Providing at-risk, performance-based pay to all employees, with increased performance accountability as responsibility increases</w:t>
      </w:r>
    </w:p>
    <w:p>
      <w:pPr>
        <w:spacing w:after="0" w:line="119" w:lineRule="exact"/>
        <w:rPr>
          <w:sz w:val="20"/>
          <w:szCs w:val="20"/>
          <w:color w:val="auto"/>
        </w:rPr>
      </w:pPr>
    </w:p>
    <w:p>
      <w:pPr>
        <w:ind w:left="1580" w:right="1740"/>
        <w:spacing w:after="0" w:line="233" w:lineRule="auto"/>
        <w:rPr>
          <w:sz w:val="20"/>
          <w:szCs w:val="20"/>
          <w:color w:val="auto"/>
        </w:rPr>
      </w:pPr>
      <w:r>
        <w:rPr>
          <w:rFonts w:ascii="Arial" w:cs="Arial" w:eastAsia="Arial" w:hAnsi="Arial"/>
          <w:sz w:val="15"/>
          <w:szCs w:val="15"/>
          <w:color w:val="231F20"/>
        </w:rPr>
        <w:t>All of our CEO’s direct pay, except for base salary, is “at-risk.” At-risk pay comprised 93% of our CEO’s direct pay in 2019 (the breakdown was similar in recent prior years). This is significantly higher than the percentage of at-risk compensation for CEOs in our Peer Group (based on the Peer Group median for each compensation component), as shown in the charts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82550</wp:posOffset>
            </wp:positionV>
            <wp:extent cx="5143500" cy="1697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700" w:right="1580" w:hanging="126"/>
        <w:spacing w:after="0" w:line="243" w:lineRule="auto"/>
        <w:tabs>
          <w:tab w:leader="none" w:pos="1700" w:val="left"/>
        </w:tabs>
        <w:numPr>
          <w:ilvl w:val="0"/>
          <w:numId w:val="111"/>
        </w:numPr>
        <w:rPr>
          <w:rFonts w:ascii="Arial" w:cs="Arial" w:eastAsia="Arial" w:hAnsi="Arial"/>
          <w:sz w:val="13"/>
          <w:szCs w:val="13"/>
          <w:color w:val="231F20"/>
        </w:rPr>
      </w:pPr>
      <w:r>
        <w:rPr>
          <w:rFonts w:ascii="Arial" w:cs="Arial" w:eastAsia="Arial" w:hAnsi="Arial"/>
          <w:sz w:val="13"/>
          <w:szCs w:val="13"/>
          <w:color w:val="231F20"/>
        </w:rPr>
        <w:t>“At-risk Equity” consists of stock options and any equity awards with performance-based vesting conditions (such as PSUs).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060" w:type="dxa"/>
            <w:vAlign w:val="bottom"/>
          </w:tcPr>
          <w:p>
            <w:pPr>
              <w:jc w:val="right"/>
              <w:ind w:right="7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63</w:t>
            </w:r>
          </w:p>
        </w:tc>
      </w:tr>
      <w:tr>
        <w:trPr>
          <w:trHeight w:val="262"/>
        </w:trPr>
        <w:tc>
          <w:tcPr>
            <w:tcW w:w="8180" w:type="dxa"/>
            <w:vAlign w:val="bottom"/>
            <w:tcBorders>
              <w:bottom w:val="single" w:sz="8" w:color="C0C0C0"/>
            </w:tcBorders>
          </w:tcPr>
          <w:p>
            <w:pPr>
              <w:spacing w:after="0"/>
              <w:rPr>
                <w:sz w:val="22"/>
                <w:szCs w:val="22"/>
                <w:color w:val="auto"/>
              </w:rPr>
            </w:pPr>
          </w:p>
        </w:tc>
        <w:tc>
          <w:tcPr>
            <w:tcW w:w="30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-290830</wp:posOffset>
            </wp:positionV>
            <wp:extent cx="745490" cy="857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5" w:name="page76"/>
    <w:bookmarkEnd w:id="75"/>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36" w:lineRule="exact"/>
        <w:rPr>
          <w:sz w:val="20"/>
          <w:szCs w:val="20"/>
          <w:color w:val="auto"/>
        </w:rPr>
      </w:pPr>
    </w:p>
    <w:p>
      <w:pPr>
        <w:ind w:left="460" w:right="659"/>
        <w:spacing w:after="0" w:line="233" w:lineRule="auto"/>
        <w:rPr>
          <w:sz w:val="20"/>
          <w:szCs w:val="20"/>
          <w:color w:val="auto"/>
        </w:rPr>
      </w:pPr>
      <w:r>
        <w:rPr>
          <w:rFonts w:ascii="Arial" w:cs="Arial" w:eastAsia="Arial" w:hAnsi="Arial"/>
          <w:sz w:val="15"/>
          <w:szCs w:val="15"/>
          <w:color w:val="231F20"/>
        </w:rPr>
        <w:t>The “at-risk” design of our CEO’s compensation package is also demonstrated by the history of limited payouts in respect of periods with flat or negative TSR. See “Compensation-Related Matters – Introduction – Our Compensation Program Today: Aligning Pay and Performance” above for a comparison of our CEO’s reported versus realized/ realizable pay over the last five years.</w:t>
      </w:r>
    </w:p>
    <w:p>
      <w:pPr>
        <w:spacing w:after="0" w:line="107" w:lineRule="exact"/>
        <w:rPr>
          <w:sz w:val="20"/>
          <w:szCs w:val="20"/>
          <w:color w:val="auto"/>
        </w:rPr>
      </w:pPr>
    </w:p>
    <w:p>
      <w:pPr>
        <w:ind w:left="720" w:right="739" w:hanging="266"/>
        <w:spacing w:after="0" w:line="271" w:lineRule="auto"/>
        <w:tabs>
          <w:tab w:leader="none" w:pos="720" w:val="left"/>
        </w:tabs>
        <w:numPr>
          <w:ilvl w:val="0"/>
          <w:numId w:val="112"/>
        </w:numPr>
        <w:rPr>
          <w:rFonts w:ascii="Arial" w:cs="Arial" w:eastAsia="Arial" w:hAnsi="Arial"/>
          <w:sz w:val="18"/>
          <w:szCs w:val="18"/>
          <w:b w:val="1"/>
          <w:bCs w:val="1"/>
          <w:color w:val="2952A4"/>
        </w:rPr>
      </w:pPr>
      <w:r>
        <w:rPr>
          <w:rFonts w:ascii="Arial" w:cs="Arial" w:eastAsia="Arial" w:hAnsi="Arial"/>
          <w:sz w:val="18"/>
          <w:szCs w:val="18"/>
          <w:b w:val="1"/>
          <w:bCs w:val="1"/>
          <w:color w:val="2952A4"/>
        </w:rPr>
        <w:t>Prioritizing design simplicity, long-term orientation, and avoiding too much emphasis on short-term metrics</w:t>
      </w:r>
    </w:p>
    <w:p>
      <w:pPr>
        <w:spacing w:after="0" w:line="119" w:lineRule="exact"/>
        <w:rPr>
          <w:sz w:val="20"/>
          <w:szCs w:val="20"/>
          <w:color w:val="auto"/>
        </w:rPr>
      </w:pPr>
    </w:p>
    <w:p>
      <w:pPr>
        <w:ind w:left="460" w:right="719"/>
        <w:spacing w:after="0" w:line="229" w:lineRule="auto"/>
        <w:rPr>
          <w:sz w:val="20"/>
          <w:szCs w:val="20"/>
          <w:color w:val="auto"/>
        </w:rPr>
      </w:pPr>
      <w:r>
        <w:rPr>
          <w:rFonts w:ascii="Arial" w:cs="Arial" w:eastAsia="Arial" w:hAnsi="Arial"/>
          <w:sz w:val="15"/>
          <w:szCs w:val="15"/>
          <w:color w:val="231F20"/>
        </w:rPr>
        <w:t>We primarily rely on stock option grants for our NEOs’ equity-based pay because they are simple, do not deliver realizable compensation if shareholders fail to benefit from a stock price increase, are in sync with the time required for discovery, development, and commercialization of novel therapies, and would be difficult to “game,” unlike some pre-set short-term performance goals. In addition, in 2019 we introduced for our CEO and CSO (as well as the Chairman of the Board) PSUs with a long-term, five-year performance period (with an opportunity for an accelerated payout after four years if performance is strong) and straightforward TSR goals provided in an objective, fixed schedule.</w:t>
      </w:r>
    </w:p>
    <w:p>
      <w:pPr>
        <w:spacing w:after="0" w:line="130" w:lineRule="exact"/>
        <w:rPr>
          <w:sz w:val="20"/>
          <w:szCs w:val="20"/>
          <w:color w:val="auto"/>
        </w:rPr>
      </w:pPr>
    </w:p>
    <w:p>
      <w:pPr>
        <w:ind w:left="460" w:right="879"/>
        <w:spacing w:after="0" w:line="231" w:lineRule="auto"/>
        <w:rPr>
          <w:sz w:val="20"/>
          <w:szCs w:val="20"/>
          <w:color w:val="auto"/>
        </w:rPr>
      </w:pPr>
      <w:r>
        <w:rPr>
          <w:rFonts w:ascii="Arial" w:cs="Arial" w:eastAsia="Arial" w:hAnsi="Arial"/>
          <w:sz w:val="15"/>
          <w:szCs w:val="15"/>
          <w:color w:val="231F20"/>
        </w:rPr>
        <w:t>We believe that our long-term performance and our robust pipeline are evidence of providing our NEOs and other employees with the right incentives. Tying compensation to long-term, Company-wide success has enabled us to encourage decision-making that we believe is consistent with the long-term sustainability of our Company and our reputation. The types of equity awards we have utilized support our strategy of driving value creation through innovation, our pipeline, and demand for our products.</w:t>
      </w:r>
    </w:p>
    <w:p>
      <w:pPr>
        <w:spacing w:after="0" w:line="109"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8"/>
          <w:szCs w:val="18"/>
          <w:b w:val="1"/>
          <w:bCs w:val="1"/>
          <w:color w:val="2952A4"/>
        </w:rPr>
        <w:t>4</w:t>
      </w:r>
      <w:r>
        <w:rPr>
          <w:sz w:val="20"/>
          <w:szCs w:val="20"/>
          <w:color w:val="auto"/>
        </w:rPr>
        <w:tab/>
      </w:r>
      <w:r>
        <w:rPr>
          <w:rFonts w:ascii="Arial" w:cs="Arial" w:eastAsia="Arial" w:hAnsi="Arial"/>
          <w:sz w:val="17"/>
          <w:szCs w:val="17"/>
          <w:b w:val="1"/>
          <w:bCs w:val="1"/>
          <w:color w:val="2952A4"/>
        </w:rPr>
        <w:t>Balancing year-over-year consistency and flexibility in making compensation decisions</w:t>
      </w:r>
    </w:p>
    <w:p>
      <w:pPr>
        <w:spacing w:after="0" w:line="177" w:lineRule="exact"/>
        <w:rPr>
          <w:sz w:val="20"/>
          <w:szCs w:val="20"/>
          <w:color w:val="auto"/>
        </w:rPr>
      </w:pPr>
    </w:p>
    <w:p>
      <w:pPr>
        <w:ind w:left="460" w:right="579"/>
        <w:spacing w:after="0" w:line="229" w:lineRule="auto"/>
        <w:rPr>
          <w:sz w:val="20"/>
          <w:szCs w:val="20"/>
          <w:color w:val="auto"/>
        </w:rPr>
      </w:pPr>
      <w:r>
        <w:rPr>
          <w:rFonts w:ascii="Arial" w:cs="Arial" w:eastAsia="Arial" w:hAnsi="Arial"/>
          <w:sz w:val="15"/>
          <w:szCs w:val="15"/>
          <w:color w:val="231F20"/>
        </w:rPr>
        <w:t>The design and operation of our compensation plans (including our reliance on equity awards as a primary long-term employee incentive) for our NEOs have been consistent since the Company’s inception. Our decision-making process for setting NEO compensation, including their annual salaries, year-end cash incentives, and equity awards, has been similarly consistent in recent years. However, when warranted by the circumstances, we adapt and make adjustments. Based on shareholder feedback and other relevant considerations, in 2019 we introduced PSUs as a component of the annual equity awards for our CEO and CSO and RSAs as a component of the annual equity awards for our other NEOs. See the subsection “Our Compensation Processes” below for further information regarding our compensation decision-making.</w:t>
      </w:r>
    </w:p>
    <w:p>
      <w:pPr>
        <w:spacing w:after="0" w:line="108" w:lineRule="exact"/>
        <w:rPr>
          <w:sz w:val="20"/>
          <w:szCs w:val="20"/>
          <w:color w:val="auto"/>
        </w:rPr>
      </w:pPr>
    </w:p>
    <w:p>
      <w:pPr>
        <w:ind w:left="720" w:right="639" w:hanging="266"/>
        <w:spacing w:after="0" w:line="271" w:lineRule="auto"/>
        <w:tabs>
          <w:tab w:leader="none" w:pos="720" w:val="left"/>
        </w:tabs>
        <w:numPr>
          <w:ilvl w:val="0"/>
          <w:numId w:val="113"/>
        </w:numPr>
        <w:rPr>
          <w:rFonts w:ascii="Arial" w:cs="Arial" w:eastAsia="Arial" w:hAnsi="Arial"/>
          <w:sz w:val="18"/>
          <w:szCs w:val="18"/>
          <w:b w:val="1"/>
          <w:bCs w:val="1"/>
          <w:color w:val="2952A4"/>
        </w:rPr>
      </w:pPr>
      <w:r>
        <w:rPr>
          <w:rFonts w:ascii="Arial" w:cs="Arial" w:eastAsia="Arial" w:hAnsi="Arial"/>
          <w:sz w:val="18"/>
          <w:szCs w:val="18"/>
          <w:b w:val="1"/>
          <w:bCs w:val="1"/>
          <w:color w:val="2952A4"/>
        </w:rPr>
        <w:t>Aligning our executive compensation with shareholder interests by linking compensation to the core elements of our long-term performance</w:t>
      </w:r>
    </w:p>
    <w:p>
      <w:pPr>
        <w:spacing w:after="0" w:line="119" w:lineRule="exact"/>
        <w:rPr>
          <w:sz w:val="20"/>
          <w:szCs w:val="20"/>
          <w:color w:val="auto"/>
        </w:rPr>
      </w:pPr>
    </w:p>
    <w:p>
      <w:pPr>
        <w:ind w:left="460" w:right="559"/>
        <w:spacing w:after="0"/>
        <w:rPr>
          <w:sz w:val="20"/>
          <w:szCs w:val="20"/>
          <w:color w:val="auto"/>
        </w:rPr>
      </w:pPr>
      <w:r>
        <w:rPr>
          <w:rFonts w:ascii="Arial" w:cs="Arial" w:eastAsia="Arial" w:hAnsi="Arial"/>
          <w:sz w:val="15"/>
          <w:szCs w:val="15"/>
          <w:color w:val="231F20"/>
        </w:rPr>
        <w:t>Our NEOs’ direct pay, except for base salary, depends on performance. We do this to align these senior executives’ at-risk pay with their levels of authority and with shareholders’ interests. In addition, our NEOs receive no value from their stock option or PSU awards if shareholders do not benefit, which results in a complete alignment of such compensation with shareholder interests. No amount of time will make a stock option deliver any value unless the company’s stock price increases. In addition, stock options reward our NEOs for increasing shareholder value over the entire 10-year option term, which we believe is consistent with the drug discovery and development cycle. Similarly, any PSU vesting is determined over a long-term, five-year performance period (with an opportunity for an accelerated payout after four years if performance is strong). We also believe that the performance-based nature of equity awards such as stock options and PSUs is enhanced for companies like Regeneron whose stock price is directly impacted by pipeline developments. We further link our NEOs’ and other executives’ pay to their decisions that affect our performance by incorporating an assessment of the caliber of our drug-development pipeline into our compensation decisions.</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64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76" w:name="page77"/>
    <w:bookmarkEnd w:id="76"/>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1840" w:right="2060" w:hanging="266"/>
        <w:spacing w:after="0" w:line="271" w:lineRule="auto"/>
        <w:tabs>
          <w:tab w:leader="none" w:pos="1840" w:val="left"/>
        </w:tabs>
        <w:numPr>
          <w:ilvl w:val="0"/>
          <w:numId w:val="114"/>
        </w:numPr>
        <w:rPr>
          <w:rFonts w:ascii="Arial" w:cs="Arial" w:eastAsia="Arial" w:hAnsi="Arial"/>
          <w:sz w:val="18"/>
          <w:szCs w:val="18"/>
          <w:b w:val="1"/>
          <w:bCs w:val="1"/>
          <w:color w:val="2952A4"/>
        </w:rPr>
      </w:pPr>
      <w:r>
        <w:rPr>
          <w:rFonts w:ascii="Arial" w:cs="Arial" w:eastAsia="Arial" w:hAnsi="Arial"/>
          <w:sz w:val="18"/>
          <w:szCs w:val="18"/>
          <w:b w:val="1"/>
          <w:bCs w:val="1"/>
          <w:color w:val="2952A4"/>
        </w:rPr>
        <w:t>Using independent sources of expertise and comparative data to inform our decision-making</w:t>
      </w:r>
    </w:p>
    <w:p>
      <w:pPr>
        <w:spacing w:after="0" w:line="119" w:lineRule="exact"/>
        <w:rPr>
          <w:sz w:val="20"/>
          <w:szCs w:val="20"/>
          <w:color w:val="auto"/>
        </w:rPr>
      </w:pPr>
    </w:p>
    <w:p>
      <w:pPr>
        <w:ind w:left="1580" w:right="1680"/>
        <w:spacing w:after="0" w:line="229" w:lineRule="auto"/>
        <w:rPr>
          <w:sz w:val="20"/>
          <w:szCs w:val="20"/>
          <w:color w:val="auto"/>
        </w:rPr>
      </w:pPr>
      <w:r>
        <w:rPr>
          <w:rFonts w:ascii="Arial" w:cs="Arial" w:eastAsia="Arial" w:hAnsi="Arial"/>
          <w:sz w:val="15"/>
          <w:szCs w:val="15"/>
          <w:color w:val="231F20"/>
        </w:rPr>
        <w:t>The Compensation Committee retains its independent compensation consultant, Frederic W. Cook &amp; Co., to perform projects at its direction and to provide professional expertise. We also use data compiled by management’s consultant, Radford. Comparative compensation data are used to review each component of our NEOs’ compensation against the Peer Group as well as their total annual compensation in relation to the Peer Group, while taking into account various factors such as the executive’s performance, past compensation history, experience, and the role in the Company’s success. We also look at survey data for companies in our area, in our industry, and in our size range to inform our compensation deliberations.</w:t>
      </w:r>
    </w:p>
    <w:p>
      <w:pPr>
        <w:spacing w:after="0" w:line="144" w:lineRule="exact"/>
        <w:rPr>
          <w:sz w:val="20"/>
          <w:szCs w:val="20"/>
          <w:color w:val="auto"/>
        </w:rPr>
      </w:pPr>
    </w:p>
    <w:p>
      <w:pPr>
        <w:ind w:left="1580" w:right="1680"/>
        <w:spacing w:after="0" w:line="231" w:lineRule="auto"/>
        <w:rPr>
          <w:sz w:val="20"/>
          <w:szCs w:val="20"/>
          <w:color w:val="auto"/>
        </w:rPr>
      </w:pPr>
      <w:r>
        <w:rPr>
          <w:rFonts w:ascii="Arial" w:cs="Arial" w:eastAsia="Arial" w:hAnsi="Arial"/>
          <w:sz w:val="15"/>
          <w:szCs w:val="15"/>
          <w:color w:val="231F20"/>
        </w:rPr>
        <w:t>We use Peer Group data as a point of reference, but Peer Group data do not represent the only factor considered and we do not peg compensation to a specific percentile of our Peer Group. We also consider the practices of our “Biotech R&amp;D Peers”—the 10-company sub-group of peers viewed as having businesses and drug discovery and development cultures that are most similar to Regeneron’s, with similarly-sized employee bases. See the subsection “Our Compensation Processes—Peer Data” below for additional information.</w:t>
      </w:r>
    </w:p>
    <w:p>
      <w:pPr>
        <w:spacing w:after="0" w:line="142" w:lineRule="exact"/>
        <w:rPr>
          <w:sz w:val="20"/>
          <w:szCs w:val="20"/>
          <w:color w:val="auto"/>
        </w:rPr>
      </w:pPr>
    </w:p>
    <w:p>
      <w:pPr>
        <w:ind w:left="1580" w:right="1900"/>
        <w:spacing w:after="0" w:line="233" w:lineRule="auto"/>
        <w:rPr>
          <w:sz w:val="20"/>
          <w:szCs w:val="20"/>
          <w:color w:val="auto"/>
        </w:rPr>
      </w:pPr>
      <w:r>
        <w:rPr>
          <w:rFonts w:ascii="Arial" w:cs="Arial" w:eastAsia="Arial" w:hAnsi="Arial"/>
          <w:sz w:val="15"/>
          <w:szCs w:val="15"/>
          <w:color w:val="231F20"/>
        </w:rPr>
        <w:t>The Compensation Committee’s consultant does not perform any other services for the Company (other than those provided to the Corporate Governance and Compliance Committee with respect to non-employee director compensation matters, as discussed under “Board of Directors—Compensation of Directors” above) and has been determined by the Committee to be independent.</w:t>
      </w:r>
    </w:p>
    <w:p>
      <w:pPr>
        <w:spacing w:after="0" w:line="121" w:lineRule="exact"/>
        <w:rPr>
          <w:sz w:val="20"/>
          <w:szCs w:val="20"/>
          <w:color w:val="auto"/>
        </w:rPr>
      </w:pPr>
    </w:p>
    <w:p>
      <w:pPr>
        <w:ind w:left="1580"/>
        <w:spacing w:after="0"/>
        <w:tabs>
          <w:tab w:leader="none" w:pos="1820" w:val="left"/>
        </w:tabs>
        <w:rPr>
          <w:sz w:val="20"/>
          <w:szCs w:val="20"/>
          <w:color w:val="auto"/>
        </w:rPr>
      </w:pPr>
      <w:r>
        <w:rPr>
          <w:rFonts w:ascii="Arial" w:cs="Arial" w:eastAsia="Arial" w:hAnsi="Arial"/>
          <w:sz w:val="18"/>
          <w:szCs w:val="18"/>
          <w:b w:val="1"/>
          <w:bCs w:val="1"/>
          <w:color w:val="2952A4"/>
        </w:rPr>
        <w:t>7</w:t>
        <w:tab/>
        <w:t>Assessing our compensation objectives in light of measurable results</w:t>
      </w:r>
    </w:p>
    <w:p>
      <w:pPr>
        <w:spacing w:after="0" w:line="177" w:lineRule="exact"/>
        <w:rPr>
          <w:sz w:val="20"/>
          <w:szCs w:val="20"/>
          <w:color w:val="auto"/>
        </w:rPr>
      </w:pPr>
    </w:p>
    <w:p>
      <w:pPr>
        <w:ind w:left="1580" w:right="1820"/>
        <w:spacing w:after="0" w:line="229" w:lineRule="auto"/>
        <w:rPr>
          <w:sz w:val="20"/>
          <w:szCs w:val="20"/>
          <w:color w:val="auto"/>
        </w:rPr>
      </w:pPr>
      <w:r>
        <w:rPr>
          <w:rFonts w:ascii="Arial" w:cs="Arial" w:eastAsia="Arial" w:hAnsi="Arial"/>
          <w:sz w:val="15"/>
          <w:szCs w:val="15"/>
          <w:color w:val="231F20"/>
        </w:rPr>
        <w:t>As a science-focused company, we believe in assessing our compensation philosophy and objectives, as they relate to our NEOs and other employees, in light of measurable results. Those include our pipeline productivity and sustaining an engaging employee culture that drives innovation, which we assess based on relevant metrics. For example, we review our attrition rate (which in each of the last five years was at less than half the industry average) and the number of regulatory approvals for our products (approvals for six products and eight additional key indications in the last 10 years). We periodically review our compensation program, seek shareholder feedback, and have an open discussion about our approach to compensation and approaches utilized by other companies in our industry – and make changes based on these considerations.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060" w:type="dxa"/>
            <w:vAlign w:val="bottom"/>
          </w:tcPr>
          <w:p>
            <w:pPr>
              <w:jc w:val="right"/>
              <w:ind w:right="7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65</w:t>
            </w:r>
          </w:p>
        </w:tc>
      </w:tr>
      <w:tr>
        <w:trPr>
          <w:trHeight w:val="262"/>
        </w:trPr>
        <w:tc>
          <w:tcPr>
            <w:tcW w:w="8180" w:type="dxa"/>
            <w:vAlign w:val="bottom"/>
            <w:tcBorders>
              <w:bottom w:val="single" w:sz="8" w:color="C0C0C0"/>
            </w:tcBorders>
          </w:tcPr>
          <w:p>
            <w:pPr>
              <w:spacing w:after="0"/>
              <w:rPr>
                <w:sz w:val="22"/>
                <w:szCs w:val="22"/>
                <w:color w:val="auto"/>
              </w:rPr>
            </w:pPr>
          </w:p>
        </w:tc>
        <w:tc>
          <w:tcPr>
            <w:tcW w:w="30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-290830</wp:posOffset>
            </wp:positionV>
            <wp:extent cx="745490" cy="857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7" w:name="page78"/>
    <w:bookmarkEnd w:id="77"/>
    <w:p>
      <w:pPr>
        <w:ind w:left="158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43"/>
          <w:szCs w:val="43"/>
          <w:b w:val="1"/>
          <w:bCs w:val="1"/>
          <w:color w:val="2952A4"/>
        </w:rPr>
        <w:t>COMPONENTS OF EXECUTIVE PAY:</w:t>
      </w:r>
    </w:p>
    <w:p>
      <w:pPr>
        <w:spacing w:after="0" w:line="59" w:lineRule="exact"/>
        <w:rPr>
          <w:sz w:val="20"/>
          <w:szCs w:val="20"/>
          <w:color w:val="auto"/>
        </w:rPr>
      </w:pPr>
    </w:p>
    <w:p>
      <w:pPr>
        <w:ind w:left="1580"/>
        <w:spacing w:after="0"/>
        <w:rPr>
          <w:sz w:val="20"/>
          <w:szCs w:val="20"/>
          <w:color w:val="auto"/>
        </w:rPr>
      </w:pPr>
      <w:r>
        <w:rPr>
          <w:rFonts w:ascii="Arial" w:cs="Arial" w:eastAsia="Arial" w:hAnsi="Arial"/>
          <w:sz w:val="43"/>
          <w:szCs w:val="43"/>
          <w:b w:val="1"/>
          <w:bCs w:val="1"/>
          <w:color w:val="2952A4"/>
        </w:rPr>
        <w:t>WHAT WE PAY AND WHY WE PAY IT</w:t>
      </w:r>
    </w:p>
    <w:p>
      <w:pPr>
        <w:spacing w:after="0" w:line="153" w:lineRule="exact"/>
        <w:rPr>
          <w:sz w:val="20"/>
          <w:szCs w:val="20"/>
          <w:color w:val="auto"/>
        </w:rPr>
      </w:pPr>
    </w:p>
    <w:p>
      <w:pPr>
        <w:ind w:left="1580" w:right="2900"/>
        <w:spacing w:after="0" w:line="278" w:lineRule="auto"/>
        <w:rPr>
          <w:sz w:val="20"/>
          <w:szCs w:val="20"/>
          <w:color w:val="auto"/>
        </w:rPr>
      </w:pPr>
      <w:r>
        <w:rPr>
          <w:rFonts w:ascii="Arial" w:cs="Arial" w:eastAsia="Arial" w:hAnsi="Arial"/>
          <w:sz w:val="29"/>
          <w:szCs w:val="29"/>
          <w:b w:val="1"/>
          <w:bCs w:val="1"/>
          <w:color w:val="C24D5C"/>
        </w:rPr>
        <w:t>OUR NEO COMPENSATION HAS FIVE PRINCIPAL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83185</wp:posOffset>
            </wp:positionV>
            <wp:extent cx="5143500" cy="676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C24D5C"/>
        </w:rPr>
        <w:t>We use these pay components to achieve the following objectives:</w:t>
      </w: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40" w:type="dxa"/>
            <w:vAlign w:val="bottom"/>
            <w:tcBorders>
              <w:bottom w:val="single" w:sz="8" w:color="2952A4"/>
            </w:tcBorders>
          </w:tcPr>
          <w:p>
            <w:pPr>
              <w:spacing w:after="0"/>
              <w:rPr>
                <w:sz w:val="14"/>
                <w:szCs w:val="14"/>
                <w:color w:val="auto"/>
              </w:rPr>
            </w:pPr>
          </w:p>
        </w:tc>
        <w:tc>
          <w:tcPr>
            <w:tcW w:w="3140" w:type="dxa"/>
            <w:vAlign w:val="bottom"/>
            <w:tcBorders>
              <w:bottom w:val="single" w:sz="8" w:color="2952A4"/>
            </w:tcBorders>
            <w:gridSpan w:val="3"/>
          </w:tcPr>
          <w:p>
            <w:pPr>
              <w:ind w:left="580"/>
              <w:spacing w:after="0"/>
              <w:rPr>
                <w:sz w:val="20"/>
                <w:szCs w:val="20"/>
                <w:color w:val="auto"/>
              </w:rPr>
            </w:pPr>
            <w:r>
              <w:rPr>
                <w:rFonts w:ascii="Arial" w:cs="Arial" w:eastAsia="Arial" w:hAnsi="Arial"/>
                <w:sz w:val="13"/>
                <w:szCs w:val="13"/>
                <w:b w:val="1"/>
                <w:bCs w:val="1"/>
                <w:color w:val="2952A4"/>
              </w:rPr>
              <w:t>COMPENSATION COMPONENTS</w:t>
            </w:r>
          </w:p>
        </w:tc>
        <w:tc>
          <w:tcPr>
            <w:tcW w:w="880" w:type="dxa"/>
            <w:vAlign w:val="bottom"/>
            <w:tcBorders>
              <w:bottom w:val="single" w:sz="8" w:color="2952A4"/>
            </w:tcBorders>
          </w:tcPr>
          <w:p>
            <w:pPr>
              <w:spacing w:after="0"/>
              <w:rPr>
                <w:sz w:val="14"/>
                <w:szCs w:val="14"/>
                <w:color w:val="auto"/>
              </w:rPr>
            </w:pPr>
          </w:p>
        </w:tc>
      </w:tr>
      <w:tr>
        <w:trPr>
          <w:trHeight w:val="129"/>
        </w:trPr>
        <w:tc>
          <w:tcPr>
            <w:tcW w:w="3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jc w:val="center"/>
              <w:ind w:right="15"/>
              <w:spacing w:after="0" w:line="129" w:lineRule="exact"/>
              <w:rPr>
                <w:sz w:val="20"/>
                <w:szCs w:val="20"/>
                <w:color w:val="auto"/>
              </w:rPr>
            </w:pPr>
            <w:r>
              <w:rPr>
                <w:rFonts w:ascii="Arial" w:cs="Arial" w:eastAsia="Arial" w:hAnsi="Arial"/>
                <w:sz w:val="13"/>
                <w:szCs w:val="13"/>
                <w:b w:val="1"/>
                <w:bCs w:val="1"/>
                <w:color w:val="2952A4"/>
              </w:rPr>
              <w:t>Potential</w:t>
            </w:r>
          </w:p>
        </w:tc>
      </w:tr>
      <w:tr>
        <w:trPr>
          <w:trHeight w:val="148"/>
        </w:trPr>
        <w:tc>
          <w:tcPr>
            <w:tcW w:w="3240" w:type="dxa"/>
            <w:vAlign w:val="bottom"/>
          </w:tcPr>
          <w:p>
            <w:pPr>
              <w:spacing w:after="0"/>
              <w:rPr>
                <w:sz w:val="12"/>
                <w:szCs w:val="12"/>
                <w:color w:val="auto"/>
              </w:rPr>
            </w:pPr>
          </w:p>
        </w:tc>
        <w:tc>
          <w:tcPr>
            <w:tcW w:w="840" w:type="dxa"/>
            <w:vAlign w:val="bottom"/>
          </w:tcPr>
          <w:p>
            <w:pPr>
              <w:jc w:val="center"/>
              <w:ind w:left="35"/>
              <w:spacing w:after="0"/>
              <w:rPr>
                <w:sz w:val="20"/>
                <w:szCs w:val="20"/>
                <w:color w:val="auto"/>
              </w:rPr>
            </w:pPr>
            <w:r>
              <w:rPr>
                <w:rFonts w:ascii="Arial" w:cs="Arial" w:eastAsia="Arial" w:hAnsi="Arial"/>
                <w:sz w:val="13"/>
                <w:szCs w:val="13"/>
                <w:b w:val="1"/>
                <w:bCs w:val="1"/>
                <w:color w:val="2952A4"/>
                <w:w w:val="96"/>
              </w:rPr>
              <w:t>Base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2952A4"/>
              </w:rPr>
              <w:t>Annual Cash</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2952A4"/>
                <w:w w:val="98"/>
              </w:rPr>
              <w:t>Annual Equity</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2952A4"/>
                <w:w w:val="99"/>
              </w:rPr>
              <w:t>Perquisites and</w:t>
            </w:r>
          </w:p>
        </w:tc>
        <w:tc>
          <w:tcPr>
            <w:tcW w:w="880" w:type="dxa"/>
            <w:vAlign w:val="bottom"/>
          </w:tcPr>
          <w:p>
            <w:pPr>
              <w:jc w:val="center"/>
              <w:ind w:right="35"/>
              <w:spacing w:after="0"/>
              <w:rPr>
                <w:sz w:val="20"/>
                <w:szCs w:val="20"/>
                <w:color w:val="auto"/>
              </w:rPr>
            </w:pPr>
            <w:r>
              <w:rPr>
                <w:rFonts w:ascii="Arial" w:cs="Arial" w:eastAsia="Arial" w:hAnsi="Arial"/>
                <w:sz w:val="13"/>
                <w:szCs w:val="13"/>
                <w:b w:val="1"/>
                <w:bCs w:val="1"/>
                <w:color w:val="2952A4"/>
              </w:rPr>
              <w:t>Severance</w:t>
            </w:r>
          </w:p>
        </w:tc>
      </w:tr>
      <w:tr>
        <w:trPr>
          <w:trHeight w:val="168"/>
        </w:trPr>
        <w:tc>
          <w:tcPr>
            <w:tcW w:w="3240" w:type="dxa"/>
            <w:vAlign w:val="bottom"/>
            <w:tcBorders>
              <w:bottom w:val="single" w:sz="8" w:color="2952A4"/>
            </w:tcBorders>
          </w:tcPr>
          <w:p>
            <w:pPr>
              <w:ind w:left="40"/>
              <w:spacing w:after="0"/>
              <w:rPr>
                <w:sz w:val="20"/>
                <w:szCs w:val="20"/>
                <w:color w:val="auto"/>
              </w:rPr>
            </w:pPr>
            <w:r>
              <w:rPr>
                <w:rFonts w:ascii="Arial" w:cs="Arial" w:eastAsia="Arial" w:hAnsi="Arial"/>
                <w:sz w:val="13"/>
                <w:szCs w:val="13"/>
                <w:b w:val="1"/>
                <w:bCs w:val="1"/>
                <w:color w:val="2952A4"/>
              </w:rPr>
              <w:t>Objective</w:t>
            </w:r>
          </w:p>
        </w:tc>
        <w:tc>
          <w:tcPr>
            <w:tcW w:w="840" w:type="dxa"/>
            <w:vAlign w:val="bottom"/>
            <w:tcBorders>
              <w:bottom w:val="single" w:sz="8" w:color="2952A4"/>
            </w:tcBorders>
          </w:tcPr>
          <w:p>
            <w:pPr>
              <w:jc w:val="center"/>
              <w:ind w:left="35"/>
              <w:spacing w:after="0"/>
              <w:rPr>
                <w:sz w:val="20"/>
                <w:szCs w:val="20"/>
                <w:color w:val="auto"/>
              </w:rPr>
            </w:pPr>
            <w:r>
              <w:rPr>
                <w:rFonts w:ascii="Arial" w:cs="Arial" w:eastAsia="Arial" w:hAnsi="Arial"/>
                <w:sz w:val="13"/>
                <w:szCs w:val="13"/>
                <w:b w:val="1"/>
                <w:bCs w:val="1"/>
                <w:color w:val="2952A4"/>
              </w:rPr>
              <w:t>Salaries</w:t>
            </w:r>
          </w:p>
        </w:tc>
        <w:tc>
          <w:tcPr>
            <w:tcW w:w="940" w:type="dxa"/>
            <w:vAlign w:val="bottom"/>
            <w:tcBorders>
              <w:bottom w:val="single" w:sz="8" w:color="2952A4"/>
            </w:tcBorders>
          </w:tcPr>
          <w:p>
            <w:pPr>
              <w:jc w:val="center"/>
              <w:spacing w:after="0"/>
              <w:rPr>
                <w:sz w:val="20"/>
                <w:szCs w:val="20"/>
                <w:color w:val="auto"/>
              </w:rPr>
            </w:pPr>
            <w:r>
              <w:rPr>
                <w:rFonts w:ascii="Arial" w:cs="Arial" w:eastAsia="Arial" w:hAnsi="Arial"/>
                <w:sz w:val="13"/>
                <w:szCs w:val="13"/>
                <w:b w:val="1"/>
                <w:bCs w:val="1"/>
                <w:color w:val="2952A4"/>
              </w:rPr>
              <w:t>Incentives</w:t>
            </w:r>
          </w:p>
        </w:tc>
        <w:tc>
          <w:tcPr>
            <w:tcW w:w="960" w:type="dxa"/>
            <w:vAlign w:val="bottom"/>
            <w:tcBorders>
              <w:bottom w:val="single" w:sz="8" w:color="2952A4"/>
            </w:tcBorders>
          </w:tcPr>
          <w:p>
            <w:pPr>
              <w:jc w:val="center"/>
              <w:spacing w:after="0"/>
              <w:rPr>
                <w:sz w:val="20"/>
                <w:szCs w:val="20"/>
                <w:color w:val="auto"/>
              </w:rPr>
            </w:pPr>
            <w:r>
              <w:rPr>
                <w:rFonts w:ascii="Arial" w:cs="Arial" w:eastAsia="Arial" w:hAnsi="Arial"/>
                <w:sz w:val="13"/>
                <w:szCs w:val="13"/>
                <w:b w:val="1"/>
                <w:bCs w:val="1"/>
                <w:color w:val="2952A4"/>
                <w:w w:val="97"/>
              </w:rPr>
              <w:t>Awards</w:t>
            </w:r>
          </w:p>
        </w:tc>
        <w:tc>
          <w:tcPr>
            <w:tcW w:w="1240" w:type="dxa"/>
            <w:vAlign w:val="bottom"/>
            <w:tcBorders>
              <w:bottom w:val="single" w:sz="8" w:color="2952A4"/>
            </w:tcBorders>
          </w:tcPr>
          <w:p>
            <w:pPr>
              <w:jc w:val="center"/>
              <w:spacing w:after="0"/>
              <w:rPr>
                <w:sz w:val="20"/>
                <w:szCs w:val="20"/>
                <w:color w:val="auto"/>
              </w:rPr>
            </w:pPr>
            <w:r>
              <w:rPr>
                <w:rFonts w:ascii="Arial" w:cs="Arial" w:eastAsia="Arial" w:hAnsi="Arial"/>
                <w:sz w:val="13"/>
                <w:szCs w:val="13"/>
                <w:b w:val="1"/>
                <w:bCs w:val="1"/>
                <w:color w:val="2952A4"/>
              </w:rPr>
              <w:t>Personal Benefits</w:t>
            </w:r>
          </w:p>
        </w:tc>
        <w:tc>
          <w:tcPr>
            <w:tcW w:w="880" w:type="dxa"/>
            <w:vAlign w:val="bottom"/>
            <w:tcBorders>
              <w:bottom w:val="single" w:sz="8" w:color="2952A4"/>
            </w:tcBorders>
          </w:tcPr>
          <w:p>
            <w:pPr>
              <w:jc w:val="center"/>
              <w:ind w:right="35"/>
              <w:spacing w:after="0"/>
              <w:rPr>
                <w:sz w:val="20"/>
                <w:szCs w:val="20"/>
                <w:color w:val="auto"/>
              </w:rPr>
            </w:pPr>
            <w:r>
              <w:rPr>
                <w:rFonts w:ascii="Arial" w:cs="Arial" w:eastAsia="Arial" w:hAnsi="Arial"/>
                <w:sz w:val="13"/>
                <w:szCs w:val="13"/>
                <w:b w:val="1"/>
                <w:bCs w:val="1"/>
                <w:color w:val="2952A4"/>
              </w:rPr>
              <w:t>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-8255</wp:posOffset>
            </wp:positionV>
            <wp:extent cx="5143500" cy="2489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248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3160" w:type="dxa"/>
            <w:vAlign w:val="bottom"/>
            <w:vMerge w:val="restart"/>
          </w:tcPr>
          <w:p>
            <w:pPr>
              <w:ind w:left="40"/>
              <w:spacing w:after="0"/>
              <w:rPr>
                <w:sz w:val="20"/>
                <w:szCs w:val="20"/>
                <w:color w:val="auto"/>
              </w:rPr>
            </w:pPr>
            <w:r>
              <w:rPr>
                <w:rFonts w:ascii="Arial" w:cs="Arial" w:eastAsia="Arial" w:hAnsi="Arial"/>
                <w:sz w:val="15"/>
                <w:szCs w:val="15"/>
                <w:color w:val="231F20"/>
              </w:rPr>
              <w:t>Attract and retain top talent</w:t>
            </w:r>
          </w:p>
        </w:tc>
        <w:tc>
          <w:tcPr>
            <w:tcW w:w="980" w:type="dxa"/>
            <w:vAlign w:val="bottom"/>
          </w:tcPr>
          <w:p>
            <w:pPr>
              <w:ind w:left="480"/>
              <w:spacing w:after="0" w:line="216" w:lineRule="exact"/>
              <w:rPr>
                <w:sz w:val="20"/>
                <w:szCs w:val="20"/>
                <w:color w:val="auto"/>
              </w:rPr>
            </w:pPr>
            <w:r>
              <w:rPr>
                <w:rFonts w:ascii="Arial" w:cs="Arial" w:eastAsia="Arial" w:hAnsi="Arial"/>
                <w:sz w:val="25"/>
                <w:szCs w:val="25"/>
                <w:color w:val="2952A4"/>
              </w:rPr>
              <w:t>•</w:t>
            </w:r>
          </w:p>
        </w:tc>
        <w:tc>
          <w:tcPr>
            <w:tcW w:w="900" w:type="dxa"/>
            <w:vAlign w:val="bottom"/>
          </w:tcPr>
          <w:p>
            <w:pPr>
              <w:ind w:left="380"/>
              <w:spacing w:after="0" w:line="216" w:lineRule="exact"/>
              <w:rPr>
                <w:sz w:val="20"/>
                <w:szCs w:val="20"/>
                <w:color w:val="auto"/>
              </w:rPr>
            </w:pPr>
            <w:r>
              <w:rPr>
                <w:rFonts w:ascii="Arial" w:cs="Arial" w:eastAsia="Arial" w:hAnsi="Arial"/>
                <w:sz w:val="25"/>
                <w:szCs w:val="25"/>
                <w:color w:val="2952A4"/>
              </w:rPr>
              <w:t>•</w:t>
            </w:r>
          </w:p>
        </w:tc>
        <w:tc>
          <w:tcPr>
            <w:tcW w:w="1000" w:type="dxa"/>
            <w:vAlign w:val="bottom"/>
          </w:tcPr>
          <w:p>
            <w:pPr>
              <w:ind w:left="420"/>
              <w:spacing w:after="0" w:line="216" w:lineRule="exact"/>
              <w:rPr>
                <w:sz w:val="20"/>
                <w:szCs w:val="20"/>
                <w:color w:val="auto"/>
              </w:rPr>
            </w:pPr>
            <w:r>
              <w:rPr>
                <w:rFonts w:ascii="Arial" w:cs="Arial" w:eastAsia="Arial" w:hAnsi="Arial"/>
                <w:sz w:val="25"/>
                <w:szCs w:val="25"/>
                <w:color w:val="2952A4"/>
              </w:rPr>
              <w:t>•</w:t>
            </w:r>
          </w:p>
        </w:tc>
        <w:tc>
          <w:tcPr>
            <w:tcW w:w="1060" w:type="dxa"/>
            <w:vAlign w:val="bottom"/>
          </w:tcPr>
          <w:p>
            <w:pPr>
              <w:ind w:left="480"/>
              <w:spacing w:after="0" w:line="216" w:lineRule="exact"/>
              <w:rPr>
                <w:sz w:val="20"/>
                <w:szCs w:val="20"/>
                <w:color w:val="auto"/>
              </w:rPr>
            </w:pPr>
            <w:r>
              <w:rPr>
                <w:rFonts w:ascii="Arial" w:cs="Arial" w:eastAsia="Arial" w:hAnsi="Arial"/>
                <w:sz w:val="25"/>
                <w:szCs w:val="25"/>
                <w:color w:val="2952A4"/>
              </w:rPr>
              <w:t>•</w:t>
            </w:r>
          </w:p>
        </w:tc>
        <w:tc>
          <w:tcPr>
            <w:tcW w:w="2560" w:type="dxa"/>
            <w:vAlign w:val="bottom"/>
            <w:gridSpan w:val="2"/>
          </w:tcPr>
          <w:p>
            <w:pPr>
              <w:ind w:left="460"/>
              <w:spacing w:after="0" w:line="216" w:lineRule="exact"/>
              <w:rPr>
                <w:sz w:val="20"/>
                <w:szCs w:val="20"/>
                <w:color w:val="auto"/>
              </w:rPr>
            </w:pPr>
            <w:r>
              <w:rPr>
                <w:rFonts w:ascii="Arial" w:cs="Arial" w:eastAsia="Arial" w:hAnsi="Arial"/>
                <w:sz w:val="25"/>
                <w:szCs w:val="25"/>
                <w:color w:val="2952A4"/>
              </w:rPr>
              <w:t>•</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3160" w:type="dxa"/>
            <w:vAlign w:val="bottom"/>
            <w:tcBorders>
              <w:bottom w:val="single" w:sz="8" w:color="58585A"/>
            </w:tcBorders>
          </w:tcPr>
          <w:p>
            <w:pPr>
              <w:spacing w:after="0"/>
              <w:rPr>
                <w:sz w:val="10"/>
                <w:szCs w:val="10"/>
                <w:color w:val="auto"/>
              </w:rPr>
            </w:pPr>
          </w:p>
        </w:tc>
        <w:tc>
          <w:tcPr>
            <w:tcW w:w="980" w:type="dxa"/>
            <w:vAlign w:val="bottom"/>
            <w:tcBorders>
              <w:bottom w:val="single" w:sz="8" w:color="58585A"/>
            </w:tcBorders>
          </w:tcPr>
          <w:p>
            <w:pPr>
              <w:spacing w:after="0"/>
              <w:rPr>
                <w:sz w:val="10"/>
                <w:szCs w:val="10"/>
                <w:color w:val="auto"/>
              </w:rPr>
            </w:pPr>
          </w:p>
        </w:tc>
        <w:tc>
          <w:tcPr>
            <w:tcW w:w="900" w:type="dxa"/>
            <w:vAlign w:val="bottom"/>
            <w:tcBorders>
              <w:bottom w:val="single" w:sz="8" w:color="58585A"/>
            </w:tcBorders>
          </w:tcPr>
          <w:p>
            <w:pPr>
              <w:spacing w:after="0"/>
              <w:rPr>
                <w:sz w:val="10"/>
                <w:szCs w:val="10"/>
                <w:color w:val="auto"/>
              </w:rPr>
            </w:pPr>
          </w:p>
        </w:tc>
        <w:tc>
          <w:tcPr>
            <w:tcW w:w="1000" w:type="dxa"/>
            <w:vAlign w:val="bottom"/>
            <w:tcBorders>
              <w:bottom w:val="single" w:sz="8" w:color="58585A"/>
            </w:tcBorders>
          </w:tcPr>
          <w:p>
            <w:pPr>
              <w:spacing w:after="0"/>
              <w:rPr>
                <w:sz w:val="10"/>
                <w:szCs w:val="10"/>
                <w:color w:val="auto"/>
              </w:rPr>
            </w:pPr>
          </w:p>
        </w:tc>
        <w:tc>
          <w:tcPr>
            <w:tcW w:w="1060" w:type="dxa"/>
            <w:vAlign w:val="bottom"/>
            <w:tcBorders>
              <w:bottom w:val="single" w:sz="8" w:color="58585A"/>
            </w:tcBorders>
          </w:tcPr>
          <w:p>
            <w:pPr>
              <w:spacing w:after="0"/>
              <w:rPr>
                <w:sz w:val="10"/>
                <w:szCs w:val="10"/>
                <w:color w:val="auto"/>
              </w:rPr>
            </w:pPr>
          </w:p>
        </w:tc>
        <w:tc>
          <w:tcPr>
            <w:tcW w:w="1000" w:type="dxa"/>
            <w:vAlign w:val="bottom"/>
            <w:tcBorders>
              <w:bottom w:val="single" w:sz="8" w:color="58585A"/>
            </w:tcBorders>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3160" w:type="dxa"/>
            <w:vAlign w:val="bottom"/>
            <w:vMerge w:val="restart"/>
          </w:tcPr>
          <w:p>
            <w:pPr>
              <w:ind w:left="40"/>
              <w:spacing w:after="0"/>
              <w:rPr>
                <w:sz w:val="20"/>
                <w:szCs w:val="20"/>
                <w:color w:val="auto"/>
              </w:rPr>
            </w:pPr>
            <w:r>
              <w:rPr>
                <w:rFonts w:ascii="Arial" w:cs="Arial" w:eastAsia="Arial" w:hAnsi="Arial"/>
                <w:sz w:val="15"/>
                <w:szCs w:val="15"/>
                <w:color w:val="231F20"/>
              </w:rPr>
              <w:t>Provide stability and manage risk</w:t>
            </w:r>
          </w:p>
        </w:tc>
        <w:tc>
          <w:tcPr>
            <w:tcW w:w="980" w:type="dxa"/>
            <w:vAlign w:val="bottom"/>
          </w:tcPr>
          <w:p>
            <w:pPr>
              <w:ind w:left="480"/>
              <w:spacing w:after="0" w:line="210" w:lineRule="exact"/>
              <w:rPr>
                <w:sz w:val="20"/>
                <w:szCs w:val="20"/>
                <w:color w:val="auto"/>
              </w:rPr>
            </w:pPr>
            <w:r>
              <w:rPr>
                <w:rFonts w:ascii="Arial" w:cs="Arial" w:eastAsia="Arial" w:hAnsi="Arial"/>
                <w:sz w:val="24"/>
                <w:szCs w:val="24"/>
                <w:color w:val="2952A4"/>
              </w:rPr>
              <w:t>•</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60" w:type="dxa"/>
            <w:vAlign w:val="bottom"/>
            <w:gridSpan w:val="2"/>
          </w:tcPr>
          <w:p>
            <w:pPr>
              <w:ind w:left="460"/>
              <w:spacing w:after="0" w:line="210" w:lineRule="exact"/>
              <w:rPr>
                <w:sz w:val="20"/>
                <w:szCs w:val="20"/>
                <w:color w:val="auto"/>
              </w:rPr>
            </w:pPr>
            <w:r>
              <w:rPr>
                <w:rFonts w:ascii="Arial" w:cs="Arial" w:eastAsia="Arial" w:hAnsi="Arial"/>
                <w:sz w:val="24"/>
                <w:szCs w:val="24"/>
                <w:color w:val="2952A4"/>
              </w:rPr>
              <w:t>•</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3160" w:type="dxa"/>
            <w:vAlign w:val="bottom"/>
            <w:tcBorders>
              <w:bottom w:val="single" w:sz="8" w:color="58585A"/>
            </w:tcBorders>
          </w:tcPr>
          <w:p>
            <w:pPr>
              <w:spacing w:after="0"/>
              <w:rPr>
                <w:sz w:val="10"/>
                <w:szCs w:val="10"/>
                <w:color w:val="auto"/>
              </w:rPr>
            </w:pPr>
          </w:p>
        </w:tc>
        <w:tc>
          <w:tcPr>
            <w:tcW w:w="980" w:type="dxa"/>
            <w:vAlign w:val="bottom"/>
            <w:tcBorders>
              <w:bottom w:val="single" w:sz="8" w:color="58585A"/>
            </w:tcBorders>
          </w:tcPr>
          <w:p>
            <w:pPr>
              <w:spacing w:after="0"/>
              <w:rPr>
                <w:sz w:val="10"/>
                <w:szCs w:val="10"/>
                <w:color w:val="auto"/>
              </w:rPr>
            </w:pPr>
          </w:p>
        </w:tc>
        <w:tc>
          <w:tcPr>
            <w:tcW w:w="900" w:type="dxa"/>
            <w:vAlign w:val="bottom"/>
            <w:tcBorders>
              <w:bottom w:val="single" w:sz="8" w:color="58585A"/>
            </w:tcBorders>
          </w:tcPr>
          <w:p>
            <w:pPr>
              <w:spacing w:after="0"/>
              <w:rPr>
                <w:sz w:val="10"/>
                <w:szCs w:val="10"/>
                <w:color w:val="auto"/>
              </w:rPr>
            </w:pPr>
          </w:p>
        </w:tc>
        <w:tc>
          <w:tcPr>
            <w:tcW w:w="1000" w:type="dxa"/>
            <w:vAlign w:val="bottom"/>
            <w:tcBorders>
              <w:bottom w:val="single" w:sz="8" w:color="58585A"/>
            </w:tcBorders>
          </w:tcPr>
          <w:p>
            <w:pPr>
              <w:spacing w:after="0"/>
              <w:rPr>
                <w:sz w:val="10"/>
                <w:szCs w:val="10"/>
                <w:color w:val="auto"/>
              </w:rPr>
            </w:pPr>
          </w:p>
        </w:tc>
        <w:tc>
          <w:tcPr>
            <w:tcW w:w="1060" w:type="dxa"/>
            <w:vAlign w:val="bottom"/>
            <w:tcBorders>
              <w:bottom w:val="single" w:sz="8" w:color="58585A"/>
            </w:tcBorders>
          </w:tcPr>
          <w:p>
            <w:pPr>
              <w:spacing w:after="0"/>
              <w:rPr>
                <w:sz w:val="10"/>
                <w:szCs w:val="10"/>
                <w:color w:val="auto"/>
              </w:rPr>
            </w:pPr>
          </w:p>
        </w:tc>
        <w:tc>
          <w:tcPr>
            <w:tcW w:w="1000" w:type="dxa"/>
            <w:vAlign w:val="bottom"/>
            <w:tcBorders>
              <w:bottom w:val="single" w:sz="8" w:color="58585A"/>
            </w:tcBorders>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3160" w:type="dxa"/>
            <w:vAlign w:val="bottom"/>
            <w:vMerge w:val="restart"/>
            <w:shd w:val="clear" w:color="auto" w:fill="ECEDED"/>
          </w:tcPr>
          <w:p>
            <w:pPr>
              <w:ind w:left="40"/>
              <w:spacing w:after="0"/>
              <w:rPr>
                <w:sz w:val="20"/>
                <w:szCs w:val="20"/>
                <w:color w:val="auto"/>
              </w:rPr>
            </w:pPr>
            <w:r>
              <w:rPr>
                <w:rFonts w:ascii="Arial" w:cs="Arial" w:eastAsia="Arial" w:hAnsi="Arial"/>
                <w:sz w:val="15"/>
                <w:szCs w:val="15"/>
                <w:color w:val="231F20"/>
              </w:rPr>
              <w:t>Reward annual performance</w:t>
            </w:r>
          </w:p>
        </w:tc>
        <w:tc>
          <w:tcPr>
            <w:tcW w:w="980" w:type="dxa"/>
            <w:vAlign w:val="bottom"/>
            <w:shd w:val="clear" w:color="auto" w:fill="ECEDED"/>
          </w:tcPr>
          <w:p>
            <w:pPr>
              <w:spacing w:after="0"/>
              <w:rPr>
                <w:sz w:val="18"/>
                <w:szCs w:val="18"/>
                <w:color w:val="auto"/>
              </w:rPr>
            </w:pPr>
          </w:p>
        </w:tc>
        <w:tc>
          <w:tcPr>
            <w:tcW w:w="900" w:type="dxa"/>
            <w:vAlign w:val="bottom"/>
            <w:shd w:val="clear" w:color="auto" w:fill="ECEDED"/>
          </w:tcPr>
          <w:p>
            <w:pPr>
              <w:ind w:left="380"/>
              <w:spacing w:after="0" w:line="210" w:lineRule="exact"/>
              <w:rPr>
                <w:sz w:val="20"/>
                <w:szCs w:val="20"/>
                <w:color w:val="auto"/>
              </w:rPr>
            </w:pPr>
            <w:r>
              <w:rPr>
                <w:rFonts w:ascii="Arial" w:cs="Arial" w:eastAsia="Arial" w:hAnsi="Arial"/>
                <w:sz w:val="24"/>
                <w:szCs w:val="24"/>
                <w:color w:val="2952A4"/>
              </w:rPr>
              <w:t>•</w:t>
            </w:r>
          </w:p>
        </w:tc>
        <w:tc>
          <w:tcPr>
            <w:tcW w:w="1000" w:type="dxa"/>
            <w:vAlign w:val="bottom"/>
            <w:shd w:val="clear" w:color="auto" w:fill="ECEDED"/>
          </w:tcPr>
          <w:p>
            <w:pPr>
              <w:spacing w:after="0"/>
              <w:rPr>
                <w:sz w:val="18"/>
                <w:szCs w:val="18"/>
                <w:color w:val="auto"/>
              </w:rPr>
            </w:pPr>
          </w:p>
        </w:tc>
        <w:tc>
          <w:tcPr>
            <w:tcW w:w="1060" w:type="dxa"/>
            <w:vAlign w:val="bottom"/>
            <w:shd w:val="clear" w:color="auto" w:fill="ECEDED"/>
          </w:tcPr>
          <w:p>
            <w:pPr>
              <w:spacing w:after="0"/>
              <w:rPr>
                <w:sz w:val="18"/>
                <w:szCs w:val="18"/>
                <w:color w:val="auto"/>
              </w:rPr>
            </w:pPr>
          </w:p>
        </w:tc>
        <w:tc>
          <w:tcPr>
            <w:tcW w:w="1000" w:type="dxa"/>
            <w:vAlign w:val="bottom"/>
            <w:shd w:val="clear" w:color="auto" w:fill="ECEDE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3160" w:type="dxa"/>
            <w:vAlign w:val="bottom"/>
            <w:vMerge w:val="continue"/>
            <w:shd w:val="clear" w:color="auto" w:fill="ECEDED"/>
          </w:tcPr>
          <w:p>
            <w:pPr>
              <w:spacing w:after="0"/>
              <w:rPr>
                <w:sz w:val="4"/>
                <w:szCs w:val="4"/>
                <w:color w:val="auto"/>
              </w:rPr>
            </w:pPr>
          </w:p>
        </w:tc>
        <w:tc>
          <w:tcPr>
            <w:tcW w:w="980" w:type="dxa"/>
            <w:vAlign w:val="bottom"/>
            <w:shd w:val="clear" w:color="auto" w:fill="ECEDED"/>
          </w:tcPr>
          <w:p>
            <w:pPr>
              <w:spacing w:after="0"/>
              <w:rPr>
                <w:sz w:val="4"/>
                <w:szCs w:val="4"/>
                <w:color w:val="auto"/>
              </w:rPr>
            </w:pPr>
          </w:p>
        </w:tc>
        <w:tc>
          <w:tcPr>
            <w:tcW w:w="900" w:type="dxa"/>
            <w:vAlign w:val="bottom"/>
            <w:shd w:val="clear" w:color="auto" w:fill="ECEDED"/>
          </w:tcPr>
          <w:p>
            <w:pPr>
              <w:spacing w:after="0"/>
              <w:rPr>
                <w:sz w:val="4"/>
                <w:szCs w:val="4"/>
                <w:color w:val="auto"/>
              </w:rPr>
            </w:pPr>
          </w:p>
        </w:tc>
        <w:tc>
          <w:tcPr>
            <w:tcW w:w="1000" w:type="dxa"/>
            <w:vAlign w:val="bottom"/>
            <w:shd w:val="clear" w:color="auto" w:fill="ECEDED"/>
          </w:tcPr>
          <w:p>
            <w:pPr>
              <w:spacing w:after="0"/>
              <w:rPr>
                <w:sz w:val="4"/>
                <w:szCs w:val="4"/>
                <w:color w:val="auto"/>
              </w:rPr>
            </w:pPr>
          </w:p>
        </w:tc>
        <w:tc>
          <w:tcPr>
            <w:tcW w:w="1060" w:type="dxa"/>
            <w:vAlign w:val="bottom"/>
            <w:shd w:val="clear" w:color="auto" w:fill="ECEDED"/>
          </w:tcPr>
          <w:p>
            <w:pPr>
              <w:spacing w:after="0"/>
              <w:rPr>
                <w:sz w:val="4"/>
                <w:szCs w:val="4"/>
                <w:color w:val="auto"/>
              </w:rPr>
            </w:pPr>
          </w:p>
        </w:tc>
        <w:tc>
          <w:tcPr>
            <w:tcW w:w="1000" w:type="dxa"/>
            <w:vAlign w:val="bottom"/>
            <w:shd w:val="clear" w:color="auto" w:fill="ECEDED"/>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3160" w:type="dxa"/>
            <w:vAlign w:val="bottom"/>
            <w:tcBorders>
              <w:bottom w:val="single" w:sz="8" w:color="58585A"/>
            </w:tcBorders>
            <w:shd w:val="clear" w:color="auto" w:fill="ECEDED"/>
          </w:tcPr>
          <w:p>
            <w:pPr>
              <w:spacing w:after="0"/>
              <w:rPr>
                <w:sz w:val="10"/>
                <w:szCs w:val="10"/>
                <w:color w:val="auto"/>
              </w:rPr>
            </w:pPr>
          </w:p>
        </w:tc>
        <w:tc>
          <w:tcPr>
            <w:tcW w:w="980" w:type="dxa"/>
            <w:vAlign w:val="bottom"/>
            <w:tcBorders>
              <w:bottom w:val="single" w:sz="8" w:color="58585A"/>
            </w:tcBorders>
            <w:shd w:val="clear" w:color="auto" w:fill="ECEDED"/>
          </w:tcPr>
          <w:p>
            <w:pPr>
              <w:spacing w:after="0"/>
              <w:rPr>
                <w:sz w:val="10"/>
                <w:szCs w:val="10"/>
                <w:color w:val="auto"/>
              </w:rPr>
            </w:pPr>
          </w:p>
        </w:tc>
        <w:tc>
          <w:tcPr>
            <w:tcW w:w="900" w:type="dxa"/>
            <w:vAlign w:val="bottom"/>
            <w:tcBorders>
              <w:bottom w:val="single" w:sz="8" w:color="58585A"/>
            </w:tcBorders>
            <w:shd w:val="clear" w:color="auto" w:fill="ECEDED"/>
          </w:tcPr>
          <w:p>
            <w:pPr>
              <w:spacing w:after="0"/>
              <w:rPr>
                <w:sz w:val="10"/>
                <w:szCs w:val="10"/>
                <w:color w:val="auto"/>
              </w:rPr>
            </w:pPr>
          </w:p>
        </w:tc>
        <w:tc>
          <w:tcPr>
            <w:tcW w:w="1000" w:type="dxa"/>
            <w:vAlign w:val="bottom"/>
            <w:tcBorders>
              <w:bottom w:val="single" w:sz="8" w:color="58585A"/>
            </w:tcBorders>
            <w:shd w:val="clear" w:color="auto" w:fill="ECEDED"/>
          </w:tcPr>
          <w:p>
            <w:pPr>
              <w:spacing w:after="0"/>
              <w:rPr>
                <w:sz w:val="10"/>
                <w:szCs w:val="10"/>
                <w:color w:val="auto"/>
              </w:rPr>
            </w:pPr>
          </w:p>
        </w:tc>
        <w:tc>
          <w:tcPr>
            <w:tcW w:w="1060" w:type="dxa"/>
            <w:vAlign w:val="bottom"/>
            <w:tcBorders>
              <w:bottom w:val="single" w:sz="8" w:color="58585A"/>
            </w:tcBorders>
            <w:shd w:val="clear" w:color="auto" w:fill="ECEDED"/>
          </w:tcPr>
          <w:p>
            <w:pPr>
              <w:spacing w:after="0"/>
              <w:rPr>
                <w:sz w:val="10"/>
                <w:szCs w:val="10"/>
                <w:color w:val="auto"/>
              </w:rPr>
            </w:pPr>
          </w:p>
        </w:tc>
        <w:tc>
          <w:tcPr>
            <w:tcW w:w="1000" w:type="dxa"/>
            <w:vAlign w:val="bottom"/>
            <w:tcBorders>
              <w:bottom w:val="single" w:sz="8" w:color="58585A"/>
            </w:tcBorders>
            <w:shd w:val="clear" w:color="auto" w:fill="ECEDED"/>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231F20"/>
              </w:rPr>
              <w:t>Balance immediate focus with pursuit of</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vMerge w:val="restart"/>
          </w:tcPr>
          <w:p>
            <w:pPr>
              <w:ind w:left="420"/>
              <w:spacing w:after="0"/>
              <w:rPr>
                <w:sz w:val="20"/>
                <w:szCs w:val="20"/>
                <w:color w:val="auto"/>
              </w:rPr>
            </w:pPr>
            <w:r>
              <w:rPr>
                <w:rFonts w:ascii="Arial" w:cs="Arial" w:eastAsia="Arial" w:hAnsi="Arial"/>
                <w:sz w:val="32"/>
                <w:szCs w:val="32"/>
                <w:color w:val="2952A4"/>
              </w:rPr>
              <w:t>•</w:t>
            </w:r>
          </w:p>
        </w:tc>
        <w:tc>
          <w:tcPr>
            <w:tcW w:w="1060" w:type="dxa"/>
            <w:vAlign w:val="bottom"/>
          </w:tcPr>
          <w:p>
            <w:pPr>
              <w:spacing w:after="0"/>
              <w:rPr>
                <w:sz w:val="20"/>
                <w:szCs w:val="20"/>
                <w:color w:val="auto"/>
              </w:rPr>
            </w:pPr>
          </w:p>
        </w:tc>
        <w:tc>
          <w:tcPr>
            <w:tcW w:w="2560" w:type="dxa"/>
            <w:vAlign w:val="bottom"/>
            <w:gridSpan w:val="2"/>
            <w:vMerge w:val="restart"/>
          </w:tcPr>
          <w:p>
            <w:pPr>
              <w:ind w:left="460"/>
              <w:spacing w:after="0"/>
              <w:rPr>
                <w:sz w:val="20"/>
                <w:szCs w:val="20"/>
                <w:color w:val="auto"/>
              </w:rPr>
            </w:pPr>
            <w:r>
              <w:rPr>
                <w:rFonts w:ascii="Arial" w:cs="Arial" w:eastAsia="Arial" w:hAnsi="Arial"/>
                <w:sz w:val="32"/>
                <w:szCs w:val="32"/>
                <w:color w:val="2952A4"/>
              </w:rPr>
              <w:t>•</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231F20"/>
              </w:rPr>
              <w:t>sustainable long-term performance</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160" w:type="dxa"/>
            <w:vAlign w:val="bottom"/>
            <w:tcBorders>
              <w:bottom w:val="single" w:sz="8" w:color="58585A"/>
            </w:tcBorders>
          </w:tcPr>
          <w:p>
            <w:pPr>
              <w:spacing w:after="0"/>
              <w:rPr>
                <w:sz w:val="5"/>
                <w:szCs w:val="5"/>
                <w:color w:val="auto"/>
              </w:rPr>
            </w:pPr>
          </w:p>
        </w:tc>
        <w:tc>
          <w:tcPr>
            <w:tcW w:w="980" w:type="dxa"/>
            <w:vAlign w:val="bottom"/>
            <w:tcBorders>
              <w:bottom w:val="single" w:sz="8" w:color="58585A"/>
            </w:tcBorders>
          </w:tcPr>
          <w:p>
            <w:pPr>
              <w:spacing w:after="0"/>
              <w:rPr>
                <w:sz w:val="5"/>
                <w:szCs w:val="5"/>
                <w:color w:val="auto"/>
              </w:rPr>
            </w:pPr>
          </w:p>
        </w:tc>
        <w:tc>
          <w:tcPr>
            <w:tcW w:w="900" w:type="dxa"/>
            <w:vAlign w:val="bottom"/>
            <w:tcBorders>
              <w:bottom w:val="single" w:sz="8" w:color="58585A"/>
            </w:tcBorders>
          </w:tcPr>
          <w:p>
            <w:pPr>
              <w:spacing w:after="0"/>
              <w:rPr>
                <w:sz w:val="5"/>
                <w:szCs w:val="5"/>
                <w:color w:val="auto"/>
              </w:rPr>
            </w:pPr>
          </w:p>
        </w:tc>
        <w:tc>
          <w:tcPr>
            <w:tcW w:w="1000" w:type="dxa"/>
            <w:vAlign w:val="bottom"/>
            <w:tcBorders>
              <w:bottom w:val="single" w:sz="8" w:color="58585A"/>
            </w:tcBorders>
          </w:tcPr>
          <w:p>
            <w:pPr>
              <w:spacing w:after="0"/>
              <w:rPr>
                <w:sz w:val="5"/>
                <w:szCs w:val="5"/>
                <w:color w:val="auto"/>
              </w:rPr>
            </w:pPr>
          </w:p>
        </w:tc>
        <w:tc>
          <w:tcPr>
            <w:tcW w:w="1060" w:type="dxa"/>
            <w:vAlign w:val="bottom"/>
            <w:tcBorders>
              <w:bottom w:val="single" w:sz="8" w:color="58585A"/>
            </w:tcBorders>
          </w:tcPr>
          <w:p>
            <w:pPr>
              <w:spacing w:after="0"/>
              <w:rPr>
                <w:sz w:val="5"/>
                <w:szCs w:val="5"/>
                <w:color w:val="auto"/>
              </w:rPr>
            </w:pPr>
          </w:p>
        </w:tc>
        <w:tc>
          <w:tcPr>
            <w:tcW w:w="1000" w:type="dxa"/>
            <w:vAlign w:val="bottom"/>
            <w:tcBorders>
              <w:bottom w:val="single" w:sz="8" w:color="58585A"/>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3160" w:type="dxa"/>
            <w:vAlign w:val="bottom"/>
            <w:shd w:val="clear" w:color="auto" w:fill="ECEDED"/>
          </w:tcPr>
          <w:p>
            <w:pPr>
              <w:ind w:left="40"/>
              <w:spacing w:after="0"/>
              <w:rPr>
                <w:sz w:val="20"/>
                <w:szCs w:val="20"/>
                <w:color w:val="auto"/>
              </w:rPr>
            </w:pPr>
            <w:r>
              <w:rPr>
                <w:rFonts w:ascii="Arial" w:cs="Arial" w:eastAsia="Arial" w:hAnsi="Arial"/>
                <w:sz w:val="15"/>
                <w:szCs w:val="15"/>
                <w:color w:val="231F20"/>
              </w:rPr>
              <w:t>Align our employees’ interests with those of</w:t>
            </w:r>
          </w:p>
        </w:tc>
        <w:tc>
          <w:tcPr>
            <w:tcW w:w="980" w:type="dxa"/>
            <w:vAlign w:val="bottom"/>
            <w:shd w:val="clear" w:color="auto" w:fill="ECEDED"/>
          </w:tcPr>
          <w:p>
            <w:pPr>
              <w:spacing w:after="0"/>
              <w:rPr>
                <w:sz w:val="20"/>
                <w:szCs w:val="20"/>
                <w:color w:val="auto"/>
              </w:rPr>
            </w:pPr>
          </w:p>
        </w:tc>
        <w:tc>
          <w:tcPr>
            <w:tcW w:w="900" w:type="dxa"/>
            <w:vAlign w:val="bottom"/>
            <w:vMerge w:val="restart"/>
            <w:shd w:val="clear" w:color="auto" w:fill="ECEDED"/>
          </w:tcPr>
          <w:p>
            <w:pPr>
              <w:ind w:left="380"/>
              <w:spacing w:after="0"/>
              <w:rPr>
                <w:sz w:val="20"/>
                <w:szCs w:val="20"/>
                <w:color w:val="auto"/>
              </w:rPr>
            </w:pPr>
            <w:r>
              <w:rPr>
                <w:rFonts w:ascii="Arial" w:cs="Arial" w:eastAsia="Arial" w:hAnsi="Arial"/>
                <w:sz w:val="32"/>
                <w:szCs w:val="32"/>
                <w:color w:val="2952A4"/>
              </w:rPr>
              <w:t>•</w:t>
            </w:r>
          </w:p>
        </w:tc>
        <w:tc>
          <w:tcPr>
            <w:tcW w:w="1000" w:type="dxa"/>
            <w:vAlign w:val="bottom"/>
            <w:vMerge w:val="restart"/>
            <w:shd w:val="clear" w:color="auto" w:fill="ECEDED"/>
          </w:tcPr>
          <w:p>
            <w:pPr>
              <w:ind w:left="420"/>
              <w:spacing w:after="0"/>
              <w:rPr>
                <w:sz w:val="20"/>
                <w:szCs w:val="20"/>
                <w:color w:val="auto"/>
              </w:rPr>
            </w:pPr>
            <w:r>
              <w:rPr>
                <w:rFonts w:ascii="Arial" w:cs="Arial" w:eastAsia="Arial" w:hAnsi="Arial"/>
                <w:sz w:val="32"/>
                <w:szCs w:val="32"/>
                <w:color w:val="2952A4"/>
              </w:rPr>
              <w:t>•</w:t>
            </w:r>
          </w:p>
        </w:tc>
        <w:tc>
          <w:tcPr>
            <w:tcW w:w="1060" w:type="dxa"/>
            <w:vAlign w:val="bottom"/>
            <w:shd w:val="clear" w:color="auto" w:fill="ECEDED"/>
          </w:tcPr>
          <w:p>
            <w:pPr>
              <w:spacing w:after="0"/>
              <w:rPr>
                <w:sz w:val="20"/>
                <w:szCs w:val="20"/>
                <w:color w:val="auto"/>
              </w:rPr>
            </w:pPr>
          </w:p>
        </w:tc>
        <w:tc>
          <w:tcPr>
            <w:tcW w:w="1000" w:type="dxa"/>
            <w:vAlign w:val="bottom"/>
            <w:shd w:val="clear" w:color="auto" w:fill="ECEDED"/>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3160" w:type="dxa"/>
            <w:vAlign w:val="bottom"/>
            <w:shd w:val="clear" w:color="auto" w:fill="ECEDED"/>
          </w:tcPr>
          <w:p>
            <w:pPr>
              <w:ind w:left="40"/>
              <w:spacing w:after="0" w:line="162" w:lineRule="exact"/>
              <w:rPr>
                <w:sz w:val="20"/>
                <w:szCs w:val="20"/>
                <w:color w:val="auto"/>
              </w:rPr>
            </w:pPr>
            <w:r>
              <w:rPr>
                <w:rFonts w:ascii="Arial" w:cs="Arial" w:eastAsia="Arial" w:hAnsi="Arial"/>
                <w:sz w:val="15"/>
                <w:szCs w:val="15"/>
                <w:color w:val="231F20"/>
              </w:rPr>
              <w:t>shareholders and reward exceptional</w:t>
            </w:r>
          </w:p>
        </w:tc>
        <w:tc>
          <w:tcPr>
            <w:tcW w:w="980" w:type="dxa"/>
            <w:vAlign w:val="bottom"/>
            <w:shd w:val="clear" w:color="auto" w:fill="ECEDED"/>
          </w:tcPr>
          <w:p>
            <w:pPr>
              <w:spacing w:after="0"/>
              <w:rPr>
                <w:sz w:val="14"/>
                <w:szCs w:val="14"/>
                <w:color w:val="auto"/>
              </w:rPr>
            </w:pPr>
          </w:p>
        </w:tc>
        <w:tc>
          <w:tcPr>
            <w:tcW w:w="900" w:type="dxa"/>
            <w:vAlign w:val="bottom"/>
            <w:vMerge w:val="continue"/>
            <w:shd w:val="clear" w:color="auto" w:fill="ECEDED"/>
          </w:tcPr>
          <w:p>
            <w:pPr>
              <w:spacing w:after="0"/>
              <w:rPr>
                <w:sz w:val="14"/>
                <w:szCs w:val="14"/>
                <w:color w:val="auto"/>
              </w:rPr>
            </w:pPr>
          </w:p>
        </w:tc>
        <w:tc>
          <w:tcPr>
            <w:tcW w:w="1000" w:type="dxa"/>
            <w:vAlign w:val="bottom"/>
            <w:vMerge w:val="continue"/>
            <w:shd w:val="clear" w:color="auto" w:fill="ECEDED"/>
          </w:tcPr>
          <w:p>
            <w:pPr>
              <w:spacing w:after="0"/>
              <w:rPr>
                <w:sz w:val="14"/>
                <w:szCs w:val="14"/>
                <w:color w:val="auto"/>
              </w:rPr>
            </w:pPr>
          </w:p>
        </w:tc>
        <w:tc>
          <w:tcPr>
            <w:tcW w:w="1060" w:type="dxa"/>
            <w:vAlign w:val="bottom"/>
            <w:shd w:val="clear" w:color="auto" w:fill="ECEDED"/>
          </w:tcPr>
          <w:p>
            <w:pPr>
              <w:spacing w:after="0"/>
              <w:rPr>
                <w:sz w:val="14"/>
                <w:szCs w:val="14"/>
                <w:color w:val="auto"/>
              </w:rPr>
            </w:pPr>
          </w:p>
        </w:tc>
        <w:tc>
          <w:tcPr>
            <w:tcW w:w="1000" w:type="dxa"/>
            <w:vAlign w:val="bottom"/>
            <w:shd w:val="clear" w:color="auto" w:fill="ECEDED"/>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3160" w:type="dxa"/>
            <w:vAlign w:val="bottom"/>
            <w:shd w:val="clear" w:color="auto" w:fill="ECEDED"/>
          </w:tcPr>
          <w:p>
            <w:pPr>
              <w:ind w:left="40"/>
              <w:spacing w:after="0"/>
              <w:rPr>
                <w:sz w:val="20"/>
                <w:szCs w:val="20"/>
                <w:color w:val="auto"/>
              </w:rPr>
            </w:pPr>
            <w:r>
              <w:rPr>
                <w:rFonts w:ascii="Arial" w:cs="Arial" w:eastAsia="Arial" w:hAnsi="Arial"/>
                <w:sz w:val="15"/>
                <w:szCs w:val="15"/>
                <w:color w:val="231F20"/>
              </w:rPr>
              <w:t>performance</w:t>
            </w:r>
          </w:p>
        </w:tc>
        <w:tc>
          <w:tcPr>
            <w:tcW w:w="980" w:type="dxa"/>
            <w:vAlign w:val="bottom"/>
            <w:shd w:val="clear" w:color="auto" w:fill="ECEDED"/>
          </w:tcPr>
          <w:p>
            <w:pPr>
              <w:spacing w:after="0"/>
              <w:rPr>
                <w:sz w:val="16"/>
                <w:szCs w:val="16"/>
                <w:color w:val="auto"/>
              </w:rPr>
            </w:pPr>
          </w:p>
        </w:tc>
        <w:tc>
          <w:tcPr>
            <w:tcW w:w="900" w:type="dxa"/>
            <w:vAlign w:val="bottom"/>
            <w:vMerge w:val="continue"/>
            <w:shd w:val="clear" w:color="auto" w:fill="ECEDED"/>
          </w:tcPr>
          <w:p>
            <w:pPr>
              <w:spacing w:after="0"/>
              <w:rPr>
                <w:sz w:val="16"/>
                <w:szCs w:val="16"/>
                <w:color w:val="auto"/>
              </w:rPr>
            </w:pPr>
          </w:p>
        </w:tc>
        <w:tc>
          <w:tcPr>
            <w:tcW w:w="1000" w:type="dxa"/>
            <w:vAlign w:val="bottom"/>
            <w:vMerge w:val="continue"/>
            <w:shd w:val="clear" w:color="auto" w:fill="ECEDED"/>
          </w:tcPr>
          <w:p>
            <w:pPr>
              <w:spacing w:after="0"/>
              <w:rPr>
                <w:sz w:val="16"/>
                <w:szCs w:val="16"/>
                <w:color w:val="auto"/>
              </w:rPr>
            </w:pPr>
          </w:p>
        </w:tc>
        <w:tc>
          <w:tcPr>
            <w:tcW w:w="1060" w:type="dxa"/>
            <w:vAlign w:val="bottom"/>
            <w:shd w:val="clear" w:color="auto" w:fill="ECEDED"/>
          </w:tcPr>
          <w:p>
            <w:pPr>
              <w:spacing w:after="0"/>
              <w:rPr>
                <w:sz w:val="16"/>
                <w:szCs w:val="16"/>
                <w:color w:val="auto"/>
              </w:rPr>
            </w:pPr>
          </w:p>
        </w:tc>
        <w:tc>
          <w:tcPr>
            <w:tcW w:w="1000" w:type="dxa"/>
            <w:vAlign w:val="bottom"/>
            <w:shd w:val="clear" w:color="auto" w:fill="ECEDED"/>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3160" w:type="dxa"/>
            <w:vAlign w:val="bottom"/>
            <w:tcBorders>
              <w:bottom w:val="single" w:sz="8" w:color="58585A"/>
            </w:tcBorders>
            <w:shd w:val="clear" w:color="auto" w:fill="ECEDED"/>
          </w:tcPr>
          <w:p>
            <w:pPr>
              <w:spacing w:after="0"/>
              <w:rPr>
                <w:sz w:val="10"/>
                <w:szCs w:val="10"/>
                <w:color w:val="auto"/>
              </w:rPr>
            </w:pPr>
          </w:p>
        </w:tc>
        <w:tc>
          <w:tcPr>
            <w:tcW w:w="980" w:type="dxa"/>
            <w:vAlign w:val="bottom"/>
            <w:tcBorders>
              <w:bottom w:val="single" w:sz="8" w:color="58585A"/>
            </w:tcBorders>
            <w:shd w:val="clear" w:color="auto" w:fill="ECEDED"/>
          </w:tcPr>
          <w:p>
            <w:pPr>
              <w:spacing w:after="0"/>
              <w:rPr>
                <w:sz w:val="10"/>
                <w:szCs w:val="10"/>
                <w:color w:val="auto"/>
              </w:rPr>
            </w:pPr>
          </w:p>
        </w:tc>
        <w:tc>
          <w:tcPr>
            <w:tcW w:w="900" w:type="dxa"/>
            <w:vAlign w:val="bottom"/>
            <w:tcBorders>
              <w:bottom w:val="single" w:sz="8" w:color="58585A"/>
            </w:tcBorders>
            <w:shd w:val="clear" w:color="auto" w:fill="ECEDED"/>
          </w:tcPr>
          <w:p>
            <w:pPr>
              <w:spacing w:after="0"/>
              <w:rPr>
                <w:sz w:val="10"/>
                <w:szCs w:val="10"/>
                <w:color w:val="auto"/>
              </w:rPr>
            </w:pPr>
          </w:p>
        </w:tc>
        <w:tc>
          <w:tcPr>
            <w:tcW w:w="1000" w:type="dxa"/>
            <w:vAlign w:val="bottom"/>
            <w:tcBorders>
              <w:bottom w:val="single" w:sz="8" w:color="58585A"/>
            </w:tcBorders>
            <w:shd w:val="clear" w:color="auto" w:fill="ECEDED"/>
          </w:tcPr>
          <w:p>
            <w:pPr>
              <w:spacing w:after="0"/>
              <w:rPr>
                <w:sz w:val="10"/>
                <w:szCs w:val="10"/>
                <w:color w:val="auto"/>
              </w:rPr>
            </w:pPr>
          </w:p>
        </w:tc>
        <w:tc>
          <w:tcPr>
            <w:tcW w:w="1060" w:type="dxa"/>
            <w:vAlign w:val="bottom"/>
            <w:tcBorders>
              <w:bottom w:val="single" w:sz="8" w:color="58585A"/>
            </w:tcBorders>
            <w:shd w:val="clear" w:color="auto" w:fill="ECEDED"/>
          </w:tcPr>
          <w:p>
            <w:pPr>
              <w:spacing w:after="0"/>
              <w:rPr>
                <w:sz w:val="10"/>
                <w:szCs w:val="10"/>
                <w:color w:val="auto"/>
              </w:rPr>
            </w:pPr>
          </w:p>
        </w:tc>
        <w:tc>
          <w:tcPr>
            <w:tcW w:w="1000" w:type="dxa"/>
            <w:vAlign w:val="bottom"/>
            <w:tcBorders>
              <w:bottom w:val="single" w:sz="8" w:color="58585A"/>
            </w:tcBorders>
            <w:shd w:val="clear" w:color="auto" w:fill="ECEDED"/>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231F20"/>
              </w:rPr>
              <w:t>Promote a culture of scientific innovation,</w:t>
            </w:r>
          </w:p>
        </w:tc>
        <w:tc>
          <w:tcPr>
            <w:tcW w:w="980" w:type="dxa"/>
            <w:vAlign w:val="bottom"/>
            <w:vMerge w:val="restart"/>
          </w:tcPr>
          <w:p>
            <w:pPr>
              <w:ind w:left="480"/>
              <w:spacing w:after="0"/>
              <w:rPr>
                <w:sz w:val="20"/>
                <w:szCs w:val="20"/>
                <w:color w:val="auto"/>
              </w:rPr>
            </w:pPr>
            <w:r>
              <w:rPr>
                <w:rFonts w:ascii="Arial" w:cs="Arial" w:eastAsia="Arial" w:hAnsi="Arial"/>
                <w:sz w:val="32"/>
                <w:szCs w:val="32"/>
                <w:color w:val="2952A4"/>
              </w:rPr>
              <w:t>•</w:t>
            </w:r>
          </w:p>
        </w:tc>
        <w:tc>
          <w:tcPr>
            <w:tcW w:w="900" w:type="dxa"/>
            <w:vAlign w:val="bottom"/>
            <w:vMerge w:val="restart"/>
          </w:tcPr>
          <w:p>
            <w:pPr>
              <w:ind w:left="380"/>
              <w:spacing w:after="0"/>
              <w:rPr>
                <w:sz w:val="20"/>
                <w:szCs w:val="20"/>
                <w:color w:val="auto"/>
              </w:rPr>
            </w:pPr>
            <w:r>
              <w:rPr>
                <w:rFonts w:ascii="Arial" w:cs="Arial" w:eastAsia="Arial" w:hAnsi="Arial"/>
                <w:sz w:val="32"/>
                <w:szCs w:val="32"/>
                <w:color w:val="2952A4"/>
              </w:rPr>
              <w:t>•</w:t>
            </w:r>
          </w:p>
        </w:tc>
        <w:tc>
          <w:tcPr>
            <w:tcW w:w="1000" w:type="dxa"/>
            <w:vAlign w:val="bottom"/>
            <w:vMerge w:val="restart"/>
          </w:tcPr>
          <w:p>
            <w:pPr>
              <w:ind w:left="420"/>
              <w:spacing w:after="0"/>
              <w:rPr>
                <w:sz w:val="20"/>
                <w:szCs w:val="20"/>
                <w:color w:val="auto"/>
              </w:rPr>
            </w:pPr>
            <w:r>
              <w:rPr>
                <w:rFonts w:ascii="Arial" w:cs="Arial" w:eastAsia="Arial" w:hAnsi="Arial"/>
                <w:sz w:val="32"/>
                <w:szCs w:val="32"/>
                <w:color w:val="2952A4"/>
              </w:rPr>
              <w:t>•</w:t>
            </w:r>
          </w:p>
        </w:tc>
        <w:tc>
          <w:tcPr>
            <w:tcW w:w="1060" w:type="dxa"/>
            <w:vAlign w:val="bottom"/>
            <w:vMerge w:val="restart"/>
          </w:tcPr>
          <w:p>
            <w:pPr>
              <w:ind w:left="480"/>
              <w:spacing w:after="0"/>
              <w:rPr>
                <w:sz w:val="20"/>
                <w:szCs w:val="20"/>
                <w:color w:val="auto"/>
              </w:rPr>
            </w:pPr>
            <w:r>
              <w:rPr>
                <w:rFonts w:ascii="Arial" w:cs="Arial" w:eastAsia="Arial" w:hAnsi="Arial"/>
                <w:sz w:val="32"/>
                <w:szCs w:val="32"/>
                <w:color w:val="2952A4"/>
              </w:rPr>
              <w:t>•</w:t>
            </w:r>
          </w:p>
        </w:tc>
        <w:tc>
          <w:tcPr>
            <w:tcW w:w="2560" w:type="dxa"/>
            <w:vAlign w:val="bottom"/>
            <w:gridSpan w:val="2"/>
            <w:vMerge w:val="restart"/>
          </w:tcPr>
          <w:p>
            <w:pPr>
              <w:ind w:left="460"/>
              <w:spacing w:after="0"/>
              <w:rPr>
                <w:sz w:val="20"/>
                <w:szCs w:val="20"/>
                <w:color w:val="auto"/>
              </w:rPr>
            </w:pPr>
            <w:r>
              <w:rPr>
                <w:rFonts w:ascii="Arial" w:cs="Arial" w:eastAsia="Arial" w:hAnsi="Arial"/>
                <w:sz w:val="32"/>
                <w:szCs w:val="32"/>
                <w:color w:val="2952A4"/>
              </w:rPr>
              <w:t>•</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231F20"/>
              </w:rPr>
              <w:t>teamwork, and ethical behavior</w:t>
            </w:r>
          </w:p>
        </w:tc>
        <w:tc>
          <w:tcPr>
            <w:tcW w:w="9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00A5EC"/>
              </w:rPr>
              <w:t xml:space="preserve">66  </w:t>
            </w:r>
            <w:r>
              <w:rPr>
                <w:rFonts w:ascii="Arial" w:cs="Arial" w:eastAsia="Arial" w:hAnsi="Arial"/>
                <w:sz w:val="14"/>
                <w:szCs w:val="14"/>
                <w:color w:val="00A5EC"/>
              </w:rPr>
              <w:t>/</w:t>
            </w:r>
          </w:p>
        </w:tc>
        <w:tc>
          <w:tcPr>
            <w:tcW w:w="3160" w:type="dxa"/>
            <w:vAlign w:val="bottom"/>
            <w:tcBorders>
              <w:bottom w:val="single" w:sz="8" w:color="2952A4"/>
            </w:tcBorders>
          </w:tcPr>
          <w:p>
            <w:pPr>
              <w:spacing w:after="0"/>
              <w:rPr>
                <w:sz w:val="5"/>
                <w:szCs w:val="5"/>
                <w:color w:val="auto"/>
              </w:rPr>
            </w:pPr>
          </w:p>
        </w:tc>
        <w:tc>
          <w:tcPr>
            <w:tcW w:w="4940" w:type="dxa"/>
            <w:vAlign w:val="bottom"/>
            <w:tcBorders>
              <w:bottom w:val="single" w:sz="8" w:color="2952A4"/>
            </w:tcBorders>
            <w:gridSpan w:val="5"/>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158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6500" w:type="dxa"/>
            <w:vAlign w:val="bottom"/>
            <w:gridSpan w:val="6"/>
          </w:tcPr>
          <w:p>
            <w:pPr>
              <w:ind w:left="1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0" w:type="dxa"/>
            <w:vAlign w:val="bottom"/>
          </w:tcPr>
          <w:p>
            <w:pPr>
              <w:spacing w:after="0"/>
              <w:rPr>
                <w:sz w:val="1"/>
                <w:szCs w:val="1"/>
                <w:color w:val="auto"/>
              </w:rPr>
            </w:pPr>
          </w:p>
        </w:tc>
      </w:tr>
      <w:tr>
        <w:trPr>
          <w:trHeight w:val="262"/>
        </w:trPr>
        <w:tc>
          <w:tcPr>
            <w:tcW w:w="1580" w:type="dxa"/>
            <w:vAlign w:val="bottom"/>
            <w:tcBorders>
              <w:bottom w:val="single" w:sz="8" w:color="C0C0C0"/>
            </w:tcBorders>
          </w:tcPr>
          <w:p>
            <w:pPr>
              <w:spacing w:after="0"/>
              <w:rPr>
                <w:sz w:val="22"/>
                <w:szCs w:val="22"/>
                <w:color w:val="auto"/>
              </w:rPr>
            </w:pPr>
          </w:p>
        </w:tc>
        <w:tc>
          <w:tcPr>
            <w:tcW w:w="3160" w:type="dxa"/>
            <w:vAlign w:val="bottom"/>
            <w:tcBorders>
              <w:bottom w:val="single" w:sz="8" w:color="C0C0C0"/>
            </w:tcBorders>
          </w:tcPr>
          <w:p>
            <w:pPr>
              <w:spacing w:after="0"/>
              <w:rPr>
                <w:sz w:val="22"/>
                <w:szCs w:val="22"/>
                <w:color w:val="auto"/>
              </w:rPr>
            </w:pPr>
          </w:p>
        </w:tc>
        <w:tc>
          <w:tcPr>
            <w:tcW w:w="980" w:type="dxa"/>
            <w:vAlign w:val="bottom"/>
            <w:tcBorders>
              <w:bottom w:val="single" w:sz="8" w:color="C0C0C0"/>
            </w:tcBorders>
          </w:tcPr>
          <w:p>
            <w:pPr>
              <w:spacing w:after="0"/>
              <w:rPr>
                <w:sz w:val="22"/>
                <w:szCs w:val="22"/>
                <w:color w:val="auto"/>
              </w:rPr>
            </w:pPr>
          </w:p>
        </w:tc>
        <w:tc>
          <w:tcPr>
            <w:tcW w:w="90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106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-290830</wp:posOffset>
            </wp:positionV>
            <wp:extent cx="745490" cy="857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8" w:name="page79"/>
    <w:bookmarkEnd w:id="78"/>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34"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23" w:lineRule="exact"/>
        <w:rPr>
          <w:sz w:val="20"/>
          <w:szCs w:val="20"/>
          <w:color w:val="auto"/>
        </w:rPr>
      </w:pPr>
    </w:p>
    <w:p>
      <w:pPr>
        <w:ind w:left="1580" w:right="1860"/>
        <w:spacing w:after="0" w:line="242" w:lineRule="auto"/>
        <w:rPr>
          <w:sz w:val="20"/>
          <w:szCs w:val="20"/>
          <w:color w:val="auto"/>
        </w:rPr>
      </w:pPr>
      <w:r>
        <w:rPr>
          <w:rFonts w:ascii="Arial" w:cs="Arial" w:eastAsia="Arial" w:hAnsi="Arial"/>
          <w:sz w:val="15"/>
          <w:szCs w:val="15"/>
          <w:color w:val="231F20"/>
        </w:rPr>
        <w:t>The base salary component of NEO pay generally comprises a steadily smaller percentage of overall compensation as executives’ level of responsibility rises.</w:t>
      </w:r>
    </w:p>
    <w:p>
      <w:pPr>
        <w:spacing w:after="0" w:line="165" w:lineRule="exact"/>
        <w:rPr>
          <w:sz w:val="20"/>
          <w:szCs w:val="20"/>
          <w:color w:val="auto"/>
        </w:rPr>
      </w:pPr>
    </w:p>
    <w:p>
      <w:pPr>
        <w:ind w:left="1580" w:right="1760"/>
        <w:spacing w:after="0" w:line="230" w:lineRule="auto"/>
        <w:rPr>
          <w:sz w:val="20"/>
          <w:szCs w:val="20"/>
          <w:color w:val="auto"/>
        </w:rPr>
      </w:pPr>
      <w:r>
        <w:rPr>
          <w:rFonts w:ascii="Arial" w:cs="Arial" w:eastAsia="Arial" w:hAnsi="Arial"/>
          <w:sz w:val="15"/>
          <w:szCs w:val="15"/>
          <w:color w:val="231F20"/>
        </w:rPr>
        <w:t>We consider factors including the executive’s scope of responsibilities, experience, and annual performance when setting base salaries. We also consider base salaries of comparable positions in the region, among our peers, and in the broader biopharmaceutical industry. Finally, while there is no target benchmark level for salaries, we generally position total target cash compensation (consisting of base salary and annual cash incentives) at or below the market median based on relevant comparative data. See the subsections “Our Compensation Processes—Independent Compensation Consultant” and “Our Compensation Processes—Peer Data” for further information.</w:t>
      </w:r>
    </w:p>
    <w:p>
      <w:pPr>
        <w:spacing w:after="0" w:line="142"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A chart of our NEOs’ base salaries follows.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160" w:type="dxa"/>
            <w:vAlign w:val="bottom"/>
          </w:tcPr>
          <w:p>
            <w:pPr>
              <w:jc w:val="right"/>
              <w:ind w:right="217"/>
              <w:spacing w:after="0"/>
              <w:rPr>
                <w:sz w:val="20"/>
                <w:szCs w:val="20"/>
                <w:color w:val="auto"/>
              </w:rPr>
            </w:pPr>
            <w:r>
              <w:rPr>
                <w:rFonts w:ascii="Arial" w:cs="Arial" w:eastAsia="Arial" w:hAnsi="Arial"/>
                <w:sz w:val="12"/>
                <w:szCs w:val="12"/>
                <w:b w:val="1"/>
                <w:bCs w:val="1"/>
                <w:color w:val="2952A4"/>
              </w:rPr>
              <w:t>2018 Base</w:t>
            </w:r>
          </w:p>
        </w:tc>
        <w:tc>
          <w:tcPr>
            <w:tcW w:w="1020" w:type="dxa"/>
            <w:vAlign w:val="bottom"/>
          </w:tcPr>
          <w:p>
            <w:pPr>
              <w:jc w:val="right"/>
              <w:ind w:right="237"/>
              <w:spacing w:after="0"/>
              <w:rPr>
                <w:sz w:val="20"/>
                <w:szCs w:val="20"/>
                <w:color w:val="auto"/>
              </w:rPr>
            </w:pPr>
            <w:r>
              <w:rPr>
                <w:rFonts w:ascii="Arial" w:cs="Arial" w:eastAsia="Arial" w:hAnsi="Arial"/>
                <w:sz w:val="12"/>
                <w:szCs w:val="12"/>
                <w:b w:val="1"/>
                <w:bCs w:val="1"/>
                <w:color w:val="2952A4"/>
              </w:rPr>
              <w:t>2019 Base</w:t>
            </w:r>
          </w:p>
        </w:tc>
        <w:tc>
          <w:tcPr>
            <w:tcW w:w="1120" w:type="dxa"/>
            <w:vAlign w:val="bottom"/>
            <w:shd w:val="clear" w:color="auto" w:fill="2952A4"/>
          </w:tcPr>
          <w:p>
            <w:pPr>
              <w:ind w:left="180"/>
              <w:spacing w:after="0"/>
              <w:rPr>
                <w:sz w:val="20"/>
                <w:szCs w:val="20"/>
                <w:color w:val="auto"/>
              </w:rPr>
            </w:pPr>
            <w:r>
              <w:rPr>
                <w:rFonts w:ascii="Arial" w:cs="Arial" w:eastAsia="Arial" w:hAnsi="Arial"/>
                <w:sz w:val="12"/>
                <w:szCs w:val="12"/>
                <w:b w:val="1"/>
                <w:bCs w:val="1"/>
                <w:color w:val="FFFFFF"/>
              </w:rPr>
              <w:t>2019 vs. 2018</w:t>
            </w:r>
          </w:p>
        </w:tc>
        <w:tc>
          <w:tcPr>
            <w:tcW w:w="1180" w:type="dxa"/>
            <w:vAlign w:val="bottom"/>
          </w:tcPr>
          <w:p>
            <w:pPr>
              <w:jc w:val="right"/>
              <w:ind w:right="257"/>
              <w:spacing w:after="0"/>
              <w:rPr>
                <w:sz w:val="20"/>
                <w:szCs w:val="20"/>
                <w:color w:val="auto"/>
              </w:rPr>
            </w:pPr>
            <w:r>
              <w:rPr>
                <w:rFonts w:ascii="Arial" w:cs="Arial" w:eastAsia="Arial" w:hAnsi="Arial"/>
                <w:sz w:val="12"/>
                <w:szCs w:val="12"/>
                <w:b w:val="1"/>
                <w:bCs w:val="1"/>
                <w:color w:val="2952A4"/>
              </w:rPr>
              <w:t>2020 Base</w:t>
            </w:r>
          </w:p>
        </w:tc>
        <w:tc>
          <w:tcPr>
            <w:tcW w:w="1120" w:type="dxa"/>
            <w:vAlign w:val="bottom"/>
            <w:shd w:val="clear" w:color="auto" w:fill="2952A4"/>
          </w:tcPr>
          <w:p>
            <w:pPr>
              <w:jc w:val="right"/>
              <w:ind w:right="137"/>
              <w:spacing w:after="0"/>
              <w:rPr>
                <w:sz w:val="20"/>
                <w:szCs w:val="20"/>
                <w:color w:val="auto"/>
              </w:rPr>
            </w:pPr>
            <w:r>
              <w:rPr>
                <w:rFonts w:ascii="Arial" w:cs="Arial" w:eastAsia="Arial" w:hAnsi="Arial"/>
                <w:sz w:val="12"/>
                <w:szCs w:val="12"/>
                <w:b w:val="1"/>
                <w:bCs w:val="1"/>
                <w:color w:val="FFFFFF"/>
              </w:rPr>
              <w:t>2020 vs. 2019</w:t>
            </w:r>
          </w:p>
        </w:tc>
      </w:tr>
      <w:tr>
        <w:trPr>
          <w:trHeight w:val="242"/>
        </w:trPr>
        <w:tc>
          <w:tcPr>
            <w:tcW w:w="2500" w:type="dxa"/>
            <w:vAlign w:val="bottom"/>
            <w:tcBorders>
              <w:bottom w:val="single" w:sz="8" w:color="2952A4"/>
            </w:tcBorders>
          </w:tcPr>
          <w:p>
            <w:pPr>
              <w:ind w:left="40"/>
              <w:spacing w:after="0"/>
              <w:rPr>
                <w:sz w:val="20"/>
                <w:szCs w:val="20"/>
                <w:color w:val="auto"/>
              </w:rPr>
            </w:pPr>
            <w:r>
              <w:rPr>
                <w:rFonts w:ascii="Arial" w:cs="Arial" w:eastAsia="Arial" w:hAnsi="Arial"/>
                <w:sz w:val="12"/>
                <w:szCs w:val="12"/>
                <w:b w:val="1"/>
                <w:bCs w:val="1"/>
                <w:color w:val="2952A4"/>
              </w:rPr>
              <w:t>Named Executive Officer</w:t>
            </w:r>
          </w:p>
        </w:tc>
        <w:tc>
          <w:tcPr>
            <w:tcW w:w="1160" w:type="dxa"/>
            <w:vAlign w:val="bottom"/>
            <w:tcBorders>
              <w:bottom w:val="single" w:sz="8" w:color="2952A4"/>
            </w:tcBorders>
          </w:tcPr>
          <w:p>
            <w:pPr>
              <w:jc w:val="right"/>
              <w:ind w:right="257"/>
              <w:spacing w:after="0"/>
              <w:rPr>
                <w:sz w:val="20"/>
                <w:szCs w:val="20"/>
                <w:color w:val="auto"/>
              </w:rPr>
            </w:pPr>
            <w:r>
              <w:rPr>
                <w:rFonts w:ascii="Arial" w:cs="Arial" w:eastAsia="Arial" w:hAnsi="Arial"/>
                <w:sz w:val="12"/>
                <w:szCs w:val="12"/>
                <w:b w:val="1"/>
                <w:bCs w:val="1"/>
                <w:color w:val="2952A4"/>
              </w:rPr>
              <w:t>Salary ($)</w:t>
            </w:r>
          </w:p>
        </w:tc>
        <w:tc>
          <w:tcPr>
            <w:tcW w:w="1020" w:type="dxa"/>
            <w:vAlign w:val="bottom"/>
            <w:tcBorders>
              <w:bottom w:val="single" w:sz="8" w:color="2952A4"/>
            </w:tcBorders>
          </w:tcPr>
          <w:p>
            <w:pPr>
              <w:jc w:val="right"/>
              <w:ind w:right="257"/>
              <w:spacing w:after="0"/>
              <w:rPr>
                <w:sz w:val="20"/>
                <w:szCs w:val="20"/>
                <w:color w:val="auto"/>
              </w:rPr>
            </w:pPr>
            <w:r>
              <w:rPr>
                <w:rFonts w:ascii="Arial" w:cs="Arial" w:eastAsia="Arial" w:hAnsi="Arial"/>
                <w:sz w:val="12"/>
                <w:szCs w:val="12"/>
                <w:b w:val="1"/>
                <w:bCs w:val="1"/>
                <w:color w:val="2952A4"/>
              </w:rPr>
              <w:t>Salary ($)</w:t>
            </w:r>
          </w:p>
        </w:tc>
        <w:tc>
          <w:tcPr>
            <w:tcW w:w="1120" w:type="dxa"/>
            <w:vAlign w:val="bottom"/>
            <w:tcBorders>
              <w:bottom w:val="single" w:sz="8" w:color="2952A4"/>
            </w:tcBorders>
            <w:shd w:val="clear" w:color="auto" w:fill="2952A4"/>
          </w:tcPr>
          <w:p>
            <w:pPr>
              <w:ind w:left="220"/>
              <w:spacing w:after="0"/>
              <w:rPr>
                <w:sz w:val="20"/>
                <w:szCs w:val="20"/>
                <w:color w:val="auto"/>
              </w:rPr>
            </w:pPr>
            <w:r>
              <w:rPr>
                <w:rFonts w:ascii="Arial" w:cs="Arial" w:eastAsia="Arial" w:hAnsi="Arial"/>
                <w:sz w:val="12"/>
                <w:szCs w:val="12"/>
                <w:b w:val="1"/>
                <w:bCs w:val="1"/>
                <w:color w:val="FFFFFF"/>
              </w:rPr>
              <w:t>Change (%)</w:t>
            </w:r>
            <w:r>
              <w:rPr>
                <w:rFonts w:ascii="Arial" w:cs="Arial" w:eastAsia="Arial" w:hAnsi="Arial"/>
                <w:sz w:val="19"/>
                <w:szCs w:val="19"/>
                <w:b w:val="1"/>
                <w:bCs w:val="1"/>
                <w:color w:val="FFFFFF"/>
                <w:vertAlign w:val="superscript"/>
              </w:rPr>
              <w:t>1</w:t>
            </w:r>
          </w:p>
        </w:tc>
        <w:tc>
          <w:tcPr>
            <w:tcW w:w="1180" w:type="dxa"/>
            <w:vAlign w:val="bottom"/>
            <w:tcBorders>
              <w:bottom w:val="single" w:sz="8" w:color="2952A4"/>
            </w:tcBorders>
          </w:tcPr>
          <w:p>
            <w:pPr>
              <w:jc w:val="right"/>
              <w:ind w:right="277"/>
              <w:spacing w:after="0"/>
              <w:rPr>
                <w:sz w:val="20"/>
                <w:szCs w:val="20"/>
                <w:color w:val="auto"/>
              </w:rPr>
            </w:pPr>
            <w:r>
              <w:rPr>
                <w:rFonts w:ascii="Arial" w:cs="Arial" w:eastAsia="Arial" w:hAnsi="Arial"/>
                <w:sz w:val="12"/>
                <w:szCs w:val="12"/>
                <w:b w:val="1"/>
                <w:bCs w:val="1"/>
                <w:color w:val="2952A4"/>
              </w:rPr>
              <w:t>Salary ($)</w:t>
            </w:r>
          </w:p>
        </w:tc>
        <w:tc>
          <w:tcPr>
            <w:tcW w:w="1120" w:type="dxa"/>
            <w:vAlign w:val="bottom"/>
            <w:tcBorders>
              <w:bottom w:val="single" w:sz="8" w:color="2952A4"/>
            </w:tcBorders>
            <w:shd w:val="clear" w:color="auto" w:fill="2952A4"/>
          </w:tcPr>
          <w:p>
            <w:pPr>
              <w:jc w:val="right"/>
              <w:ind w:right="157"/>
              <w:spacing w:after="0"/>
              <w:rPr>
                <w:sz w:val="20"/>
                <w:szCs w:val="20"/>
                <w:color w:val="auto"/>
              </w:rPr>
            </w:pPr>
            <w:r>
              <w:rPr>
                <w:rFonts w:ascii="Arial" w:cs="Arial" w:eastAsia="Arial" w:hAnsi="Arial"/>
                <w:sz w:val="12"/>
                <w:szCs w:val="12"/>
                <w:b w:val="1"/>
                <w:bCs w:val="1"/>
                <w:color w:val="FFFFFF"/>
              </w:rPr>
              <w:t>Change (%)</w:t>
            </w:r>
            <w:r>
              <w:rPr>
                <w:rFonts w:ascii="Arial" w:cs="Arial" w:eastAsia="Arial" w:hAnsi="Arial"/>
                <w:sz w:val="19"/>
                <w:szCs w:val="19"/>
                <w:b w:val="1"/>
                <w:bCs w:val="1"/>
                <w:color w:val="FFFFFF"/>
                <w:vertAlign w:val="superscript"/>
              </w:rPr>
              <w:t>1</w:t>
            </w:r>
          </w:p>
        </w:tc>
      </w:tr>
      <w:tr>
        <w:trPr>
          <w:trHeight w:val="256"/>
        </w:trPr>
        <w:tc>
          <w:tcPr>
            <w:tcW w:w="2500" w:type="dxa"/>
            <w:vAlign w:val="bottom"/>
          </w:tcPr>
          <w:p>
            <w:pPr>
              <w:ind w:left="40"/>
              <w:spacing w:after="0"/>
              <w:rPr>
                <w:sz w:val="20"/>
                <w:szCs w:val="20"/>
                <w:color w:val="auto"/>
              </w:rPr>
            </w:pPr>
            <w:r>
              <w:rPr>
                <w:rFonts w:ascii="Arial" w:cs="Arial" w:eastAsia="Arial" w:hAnsi="Arial"/>
                <w:sz w:val="13"/>
                <w:szCs w:val="13"/>
                <w:b w:val="1"/>
                <w:bCs w:val="1"/>
                <w:color w:val="C04C57"/>
              </w:rPr>
              <w:t>Leonard S. Schleifer, M.D., Ph.D.</w:t>
            </w:r>
          </w:p>
        </w:tc>
        <w:tc>
          <w:tcPr>
            <w:tcW w:w="1160" w:type="dxa"/>
            <w:vAlign w:val="bottom"/>
          </w:tcPr>
          <w:p>
            <w:pPr>
              <w:jc w:val="right"/>
              <w:ind w:right="77"/>
              <w:spacing w:after="0"/>
              <w:rPr>
                <w:sz w:val="20"/>
                <w:szCs w:val="20"/>
                <w:color w:val="auto"/>
              </w:rPr>
            </w:pPr>
            <w:r>
              <w:rPr>
                <w:rFonts w:ascii="Arial" w:cs="Arial" w:eastAsia="Arial" w:hAnsi="Arial"/>
                <w:sz w:val="13"/>
                <w:szCs w:val="13"/>
                <w:color w:val="231F20"/>
              </w:rPr>
              <w:t>1,330,500</w:t>
            </w:r>
          </w:p>
        </w:tc>
        <w:tc>
          <w:tcPr>
            <w:tcW w:w="1020" w:type="dxa"/>
            <w:vAlign w:val="bottom"/>
          </w:tcPr>
          <w:p>
            <w:pPr>
              <w:jc w:val="right"/>
              <w:ind w:right="77"/>
              <w:spacing w:after="0"/>
              <w:rPr>
                <w:sz w:val="20"/>
                <w:szCs w:val="20"/>
                <w:color w:val="auto"/>
              </w:rPr>
            </w:pPr>
            <w:r>
              <w:rPr>
                <w:rFonts w:ascii="Arial" w:cs="Arial" w:eastAsia="Arial" w:hAnsi="Arial"/>
                <w:sz w:val="13"/>
                <w:szCs w:val="13"/>
                <w:color w:val="231F20"/>
              </w:rPr>
              <w:t>1,377,100</w:t>
            </w:r>
          </w:p>
        </w:tc>
        <w:tc>
          <w:tcPr>
            <w:tcW w:w="1120" w:type="dxa"/>
            <w:vAlign w:val="bottom"/>
            <w:tcBorders>
              <w:bottom w:val="single" w:sz="8" w:color="E3E6F4"/>
            </w:tcBorders>
            <w:shd w:val="clear" w:color="auto" w:fill="E3E6F4"/>
          </w:tcPr>
          <w:p>
            <w:pPr>
              <w:ind w:left="760"/>
              <w:spacing w:after="0"/>
              <w:rPr>
                <w:sz w:val="20"/>
                <w:szCs w:val="20"/>
                <w:color w:val="auto"/>
              </w:rPr>
            </w:pPr>
            <w:r>
              <w:rPr>
                <w:rFonts w:ascii="Arial" w:cs="Arial" w:eastAsia="Arial" w:hAnsi="Arial"/>
                <w:sz w:val="13"/>
                <w:szCs w:val="13"/>
                <w:color w:val="231F20"/>
              </w:rPr>
              <w:t>3.5</w:t>
            </w:r>
          </w:p>
        </w:tc>
        <w:tc>
          <w:tcPr>
            <w:tcW w:w="1180" w:type="dxa"/>
            <w:vAlign w:val="bottom"/>
          </w:tcPr>
          <w:p>
            <w:pPr>
              <w:jc w:val="right"/>
              <w:ind w:right="97"/>
              <w:spacing w:after="0"/>
              <w:rPr>
                <w:sz w:val="20"/>
                <w:szCs w:val="20"/>
                <w:color w:val="auto"/>
              </w:rPr>
            </w:pPr>
            <w:r>
              <w:rPr>
                <w:rFonts w:ascii="Arial" w:cs="Arial" w:eastAsia="Arial" w:hAnsi="Arial"/>
                <w:sz w:val="13"/>
                <w:szCs w:val="13"/>
                <w:color w:val="231F20"/>
              </w:rPr>
              <w:t>1,425,300</w:t>
            </w:r>
          </w:p>
        </w:tc>
        <w:tc>
          <w:tcPr>
            <w:tcW w:w="1120" w:type="dxa"/>
            <w:vAlign w:val="bottom"/>
            <w:tcBorders>
              <w:bottom w:val="single" w:sz="8" w:color="E3E6F4"/>
            </w:tcBorders>
            <w:shd w:val="clear" w:color="auto" w:fill="E3E6F4"/>
          </w:tcPr>
          <w:p>
            <w:pPr>
              <w:jc w:val="right"/>
              <w:ind w:right="117"/>
              <w:spacing w:after="0"/>
              <w:rPr>
                <w:sz w:val="20"/>
                <w:szCs w:val="20"/>
                <w:color w:val="auto"/>
              </w:rPr>
            </w:pPr>
            <w:r>
              <w:rPr>
                <w:rFonts w:ascii="Arial" w:cs="Arial" w:eastAsia="Arial" w:hAnsi="Arial"/>
                <w:sz w:val="13"/>
                <w:szCs w:val="13"/>
                <w:color w:val="231F20"/>
              </w:rPr>
              <w:t>3.5</w:t>
            </w:r>
          </w:p>
        </w:tc>
      </w:tr>
      <w:tr>
        <w:trPr>
          <w:trHeight w:val="255"/>
        </w:trPr>
        <w:tc>
          <w:tcPr>
            <w:tcW w:w="2500" w:type="dxa"/>
            <w:vAlign w:val="bottom"/>
            <w:tcBorders>
              <w:top w:val="single" w:sz="8" w:color="58585A"/>
              <w:bottom w:val="single" w:sz="8" w:color="ECECED"/>
            </w:tcBorders>
            <w:shd w:val="clear" w:color="auto" w:fill="ECECED"/>
          </w:tcPr>
          <w:p>
            <w:pPr>
              <w:ind w:left="40"/>
              <w:spacing w:after="0"/>
              <w:rPr>
                <w:sz w:val="20"/>
                <w:szCs w:val="20"/>
                <w:color w:val="auto"/>
              </w:rPr>
            </w:pPr>
            <w:r>
              <w:rPr>
                <w:rFonts w:ascii="Arial" w:cs="Arial" w:eastAsia="Arial" w:hAnsi="Arial"/>
                <w:sz w:val="13"/>
                <w:szCs w:val="13"/>
                <w:b w:val="1"/>
                <w:bCs w:val="1"/>
                <w:color w:val="C04C57"/>
              </w:rPr>
              <w:t>George D. Yancopoulos, M.D., Ph.D.</w:t>
            </w:r>
          </w:p>
        </w:tc>
        <w:tc>
          <w:tcPr>
            <w:tcW w:w="1160" w:type="dxa"/>
            <w:vAlign w:val="bottom"/>
            <w:tcBorders>
              <w:top w:val="single" w:sz="8" w:color="58585A"/>
              <w:bottom w:val="single" w:sz="8" w:color="ECECED"/>
            </w:tcBorders>
            <w:shd w:val="clear" w:color="auto" w:fill="ECECED"/>
          </w:tcPr>
          <w:p>
            <w:pPr>
              <w:jc w:val="right"/>
              <w:ind w:right="77"/>
              <w:spacing w:after="0"/>
              <w:rPr>
                <w:sz w:val="20"/>
                <w:szCs w:val="20"/>
                <w:color w:val="auto"/>
              </w:rPr>
            </w:pPr>
            <w:r>
              <w:rPr>
                <w:rFonts w:ascii="Arial" w:cs="Arial" w:eastAsia="Arial" w:hAnsi="Arial"/>
                <w:sz w:val="13"/>
                <w:szCs w:val="13"/>
                <w:color w:val="231F20"/>
              </w:rPr>
              <w:t>1,130,900</w:t>
            </w:r>
          </w:p>
        </w:tc>
        <w:tc>
          <w:tcPr>
            <w:tcW w:w="1020" w:type="dxa"/>
            <w:vAlign w:val="bottom"/>
            <w:tcBorders>
              <w:top w:val="single" w:sz="8" w:color="58585A"/>
              <w:bottom w:val="single" w:sz="8" w:color="ECECED"/>
            </w:tcBorders>
            <w:shd w:val="clear" w:color="auto" w:fill="ECECED"/>
          </w:tcPr>
          <w:p>
            <w:pPr>
              <w:jc w:val="right"/>
              <w:ind w:right="77"/>
              <w:spacing w:after="0"/>
              <w:rPr>
                <w:sz w:val="20"/>
                <w:szCs w:val="20"/>
                <w:color w:val="auto"/>
              </w:rPr>
            </w:pPr>
            <w:r>
              <w:rPr>
                <w:rFonts w:ascii="Arial" w:cs="Arial" w:eastAsia="Arial" w:hAnsi="Arial"/>
                <w:sz w:val="13"/>
                <w:szCs w:val="13"/>
                <w:color w:val="231F20"/>
              </w:rPr>
              <w:t>1,170,500</w:t>
            </w:r>
          </w:p>
        </w:tc>
        <w:tc>
          <w:tcPr>
            <w:tcW w:w="1120" w:type="dxa"/>
            <w:vAlign w:val="bottom"/>
            <w:tcBorders>
              <w:top w:val="single" w:sz="8" w:color="58585A"/>
              <w:bottom w:val="single" w:sz="8" w:color="C8CCE5"/>
            </w:tcBorders>
            <w:shd w:val="clear" w:color="auto" w:fill="C8CCE5"/>
          </w:tcPr>
          <w:p>
            <w:pPr>
              <w:ind w:left="760"/>
              <w:spacing w:after="0"/>
              <w:rPr>
                <w:sz w:val="20"/>
                <w:szCs w:val="20"/>
                <w:color w:val="auto"/>
              </w:rPr>
            </w:pPr>
            <w:r>
              <w:rPr>
                <w:rFonts w:ascii="Arial" w:cs="Arial" w:eastAsia="Arial" w:hAnsi="Arial"/>
                <w:sz w:val="13"/>
                <w:szCs w:val="13"/>
                <w:color w:val="231F20"/>
              </w:rPr>
              <w:t>3.5</w:t>
            </w:r>
          </w:p>
        </w:tc>
        <w:tc>
          <w:tcPr>
            <w:tcW w:w="1180" w:type="dxa"/>
            <w:vAlign w:val="bottom"/>
            <w:tcBorders>
              <w:top w:val="single" w:sz="8" w:color="58585A"/>
              <w:bottom w:val="single" w:sz="8" w:color="ECECED"/>
            </w:tcBorders>
            <w:shd w:val="clear" w:color="auto" w:fill="ECECED"/>
          </w:tcPr>
          <w:p>
            <w:pPr>
              <w:jc w:val="right"/>
              <w:ind w:right="97"/>
              <w:spacing w:after="0"/>
              <w:rPr>
                <w:sz w:val="20"/>
                <w:szCs w:val="20"/>
                <w:color w:val="auto"/>
              </w:rPr>
            </w:pPr>
            <w:r>
              <w:rPr>
                <w:rFonts w:ascii="Arial" w:cs="Arial" w:eastAsia="Arial" w:hAnsi="Arial"/>
                <w:sz w:val="13"/>
                <w:szCs w:val="13"/>
                <w:color w:val="231F20"/>
              </w:rPr>
              <w:t>1,211,500</w:t>
            </w:r>
          </w:p>
        </w:tc>
        <w:tc>
          <w:tcPr>
            <w:tcW w:w="1120" w:type="dxa"/>
            <w:vAlign w:val="bottom"/>
            <w:tcBorders>
              <w:top w:val="single" w:sz="8" w:color="58585A"/>
              <w:bottom w:val="single" w:sz="8" w:color="C8CCE5"/>
            </w:tcBorders>
            <w:shd w:val="clear" w:color="auto" w:fill="C8CCE5"/>
          </w:tcPr>
          <w:p>
            <w:pPr>
              <w:jc w:val="right"/>
              <w:ind w:right="117"/>
              <w:spacing w:after="0"/>
              <w:rPr>
                <w:sz w:val="20"/>
                <w:szCs w:val="20"/>
                <w:color w:val="auto"/>
              </w:rPr>
            </w:pPr>
            <w:r>
              <w:rPr>
                <w:rFonts w:ascii="Arial" w:cs="Arial" w:eastAsia="Arial" w:hAnsi="Arial"/>
                <w:sz w:val="13"/>
                <w:szCs w:val="13"/>
                <w:color w:val="231F20"/>
              </w:rPr>
              <w:t>3.5</w:t>
            </w:r>
          </w:p>
        </w:tc>
      </w:tr>
      <w:tr>
        <w:trPr>
          <w:trHeight w:val="277"/>
        </w:trPr>
        <w:tc>
          <w:tcPr>
            <w:tcW w:w="2500" w:type="dxa"/>
            <w:vAlign w:val="bottom"/>
            <w:tcBorders>
              <w:top w:val="single" w:sz="8" w:color="58585A"/>
              <w:bottom w:val="single" w:sz="8" w:color="58585A"/>
            </w:tcBorders>
          </w:tcPr>
          <w:p>
            <w:pPr>
              <w:ind w:left="40"/>
              <w:spacing w:after="0"/>
              <w:rPr>
                <w:sz w:val="20"/>
                <w:szCs w:val="20"/>
                <w:color w:val="auto"/>
              </w:rPr>
            </w:pPr>
            <w:r>
              <w:rPr>
                <w:rFonts w:ascii="Arial" w:cs="Arial" w:eastAsia="Arial" w:hAnsi="Arial"/>
                <w:sz w:val="13"/>
                <w:szCs w:val="13"/>
                <w:b w:val="1"/>
                <w:bCs w:val="1"/>
                <w:color w:val="C04C57"/>
              </w:rPr>
              <w:t>Robert E. Landry</w:t>
            </w:r>
          </w:p>
        </w:tc>
        <w:tc>
          <w:tcPr>
            <w:tcW w:w="1160" w:type="dxa"/>
            <w:vAlign w:val="bottom"/>
            <w:tcBorders>
              <w:top w:val="single" w:sz="8" w:color="58585A"/>
              <w:bottom w:val="single" w:sz="8" w:color="58585A"/>
            </w:tcBorders>
          </w:tcPr>
          <w:p>
            <w:pPr>
              <w:jc w:val="right"/>
              <w:ind w:right="77"/>
              <w:spacing w:after="0"/>
              <w:rPr>
                <w:sz w:val="20"/>
                <w:szCs w:val="20"/>
                <w:color w:val="auto"/>
              </w:rPr>
            </w:pPr>
            <w:r>
              <w:rPr>
                <w:rFonts w:ascii="Arial" w:cs="Arial" w:eastAsia="Arial" w:hAnsi="Arial"/>
                <w:sz w:val="13"/>
                <w:szCs w:val="13"/>
                <w:color w:val="231F20"/>
              </w:rPr>
              <w:t>680,000</w:t>
            </w:r>
          </w:p>
        </w:tc>
        <w:tc>
          <w:tcPr>
            <w:tcW w:w="1020" w:type="dxa"/>
            <w:vAlign w:val="bottom"/>
            <w:tcBorders>
              <w:top w:val="single" w:sz="8" w:color="58585A"/>
              <w:bottom w:val="single" w:sz="8" w:color="58585A"/>
            </w:tcBorders>
          </w:tcPr>
          <w:p>
            <w:pPr>
              <w:jc w:val="right"/>
              <w:ind w:right="77"/>
              <w:spacing w:after="0"/>
              <w:rPr>
                <w:sz w:val="20"/>
                <w:szCs w:val="20"/>
                <w:color w:val="auto"/>
              </w:rPr>
            </w:pPr>
            <w:r>
              <w:rPr>
                <w:rFonts w:ascii="Arial" w:cs="Arial" w:eastAsia="Arial" w:hAnsi="Arial"/>
                <w:sz w:val="13"/>
                <w:szCs w:val="13"/>
                <w:color w:val="231F20"/>
              </w:rPr>
              <w:t>730,000</w:t>
            </w:r>
          </w:p>
        </w:tc>
        <w:tc>
          <w:tcPr>
            <w:tcW w:w="1120" w:type="dxa"/>
            <w:vAlign w:val="bottom"/>
            <w:tcBorders>
              <w:top w:val="single" w:sz="8" w:color="58585A"/>
              <w:bottom w:val="single" w:sz="8" w:color="58585A"/>
            </w:tcBorders>
            <w:shd w:val="clear" w:color="auto" w:fill="E3E6F4"/>
          </w:tcPr>
          <w:p>
            <w:pPr>
              <w:ind w:left="760"/>
              <w:spacing w:after="0"/>
              <w:rPr>
                <w:sz w:val="20"/>
                <w:szCs w:val="20"/>
                <w:color w:val="auto"/>
              </w:rPr>
            </w:pPr>
            <w:r>
              <w:rPr>
                <w:rFonts w:ascii="Arial" w:cs="Arial" w:eastAsia="Arial" w:hAnsi="Arial"/>
                <w:sz w:val="13"/>
                <w:szCs w:val="13"/>
                <w:color w:val="231F20"/>
              </w:rPr>
              <w:t>7.4</w:t>
            </w:r>
            <w:r>
              <w:rPr>
                <w:rFonts w:ascii="Arial" w:cs="Arial" w:eastAsia="Arial" w:hAnsi="Arial"/>
                <w:sz w:val="21"/>
                <w:szCs w:val="21"/>
                <w:color w:val="231F20"/>
                <w:vertAlign w:val="superscript"/>
              </w:rPr>
              <w:t>2</w:t>
            </w:r>
          </w:p>
        </w:tc>
        <w:tc>
          <w:tcPr>
            <w:tcW w:w="1180" w:type="dxa"/>
            <w:vAlign w:val="bottom"/>
            <w:tcBorders>
              <w:top w:val="single" w:sz="8" w:color="58585A"/>
              <w:bottom w:val="single" w:sz="8" w:color="58585A"/>
            </w:tcBorders>
          </w:tcPr>
          <w:p>
            <w:pPr>
              <w:jc w:val="right"/>
              <w:ind w:right="97"/>
              <w:spacing w:after="0"/>
              <w:rPr>
                <w:sz w:val="20"/>
                <w:szCs w:val="20"/>
                <w:color w:val="auto"/>
              </w:rPr>
            </w:pPr>
            <w:r>
              <w:rPr>
                <w:rFonts w:ascii="Arial" w:cs="Arial" w:eastAsia="Arial" w:hAnsi="Arial"/>
                <w:sz w:val="13"/>
                <w:szCs w:val="13"/>
                <w:color w:val="231F20"/>
              </w:rPr>
              <w:t>795,000</w:t>
            </w:r>
          </w:p>
        </w:tc>
        <w:tc>
          <w:tcPr>
            <w:tcW w:w="1120" w:type="dxa"/>
            <w:vAlign w:val="bottom"/>
            <w:tcBorders>
              <w:top w:val="single" w:sz="8" w:color="58585A"/>
              <w:bottom w:val="single" w:sz="8" w:color="58585A"/>
            </w:tcBorders>
            <w:shd w:val="clear" w:color="auto" w:fill="E3E6F4"/>
          </w:tcPr>
          <w:p>
            <w:pPr>
              <w:jc w:val="right"/>
              <w:ind w:right="77"/>
              <w:spacing w:after="0"/>
              <w:rPr>
                <w:sz w:val="20"/>
                <w:szCs w:val="20"/>
                <w:color w:val="auto"/>
              </w:rPr>
            </w:pPr>
            <w:r>
              <w:rPr>
                <w:rFonts w:ascii="Arial" w:cs="Arial" w:eastAsia="Arial" w:hAnsi="Arial"/>
                <w:sz w:val="13"/>
                <w:szCs w:val="13"/>
                <w:color w:val="231F20"/>
              </w:rPr>
              <w:t>8.9</w:t>
            </w:r>
            <w:r>
              <w:rPr>
                <w:rFonts w:ascii="Arial" w:cs="Arial" w:eastAsia="Arial" w:hAnsi="Arial"/>
                <w:sz w:val="21"/>
                <w:szCs w:val="21"/>
                <w:color w:val="231F20"/>
                <w:vertAlign w:val="superscript"/>
              </w:rPr>
              <w:t>3</w:t>
            </w:r>
          </w:p>
        </w:tc>
      </w:tr>
      <w:tr>
        <w:trPr>
          <w:trHeight w:val="277"/>
        </w:trPr>
        <w:tc>
          <w:tcPr>
            <w:tcW w:w="2500" w:type="dxa"/>
            <w:vAlign w:val="bottom"/>
            <w:tcBorders>
              <w:bottom w:val="single" w:sz="8" w:color="58585A"/>
            </w:tcBorders>
            <w:shd w:val="clear" w:color="auto" w:fill="ECECED"/>
          </w:tcPr>
          <w:p>
            <w:pPr>
              <w:ind w:left="40"/>
              <w:spacing w:after="0"/>
              <w:rPr>
                <w:sz w:val="20"/>
                <w:szCs w:val="20"/>
                <w:color w:val="auto"/>
              </w:rPr>
            </w:pPr>
            <w:r>
              <w:rPr>
                <w:rFonts w:ascii="Arial" w:cs="Arial" w:eastAsia="Arial" w:hAnsi="Arial"/>
                <w:sz w:val="13"/>
                <w:szCs w:val="13"/>
                <w:b w:val="1"/>
                <w:bCs w:val="1"/>
                <w:color w:val="C04C57"/>
              </w:rPr>
              <w:t>Daniel P. Van Plew</w:t>
            </w:r>
          </w:p>
        </w:tc>
        <w:tc>
          <w:tcPr>
            <w:tcW w:w="1160" w:type="dxa"/>
            <w:vAlign w:val="bottom"/>
            <w:tcBorders>
              <w:bottom w:val="single" w:sz="8" w:color="58585A"/>
            </w:tcBorders>
            <w:shd w:val="clear" w:color="auto" w:fill="ECECED"/>
          </w:tcPr>
          <w:p>
            <w:pPr>
              <w:jc w:val="right"/>
              <w:ind w:right="77"/>
              <w:spacing w:after="0"/>
              <w:rPr>
                <w:sz w:val="20"/>
                <w:szCs w:val="20"/>
                <w:color w:val="auto"/>
              </w:rPr>
            </w:pPr>
            <w:r>
              <w:rPr>
                <w:rFonts w:ascii="Arial" w:cs="Arial" w:eastAsia="Arial" w:hAnsi="Arial"/>
                <w:sz w:val="13"/>
                <w:szCs w:val="13"/>
                <w:color w:val="231F20"/>
              </w:rPr>
              <w:t>660,000</w:t>
            </w:r>
          </w:p>
        </w:tc>
        <w:tc>
          <w:tcPr>
            <w:tcW w:w="1020" w:type="dxa"/>
            <w:vAlign w:val="bottom"/>
            <w:tcBorders>
              <w:bottom w:val="single" w:sz="8" w:color="58585A"/>
            </w:tcBorders>
            <w:shd w:val="clear" w:color="auto" w:fill="ECECED"/>
          </w:tcPr>
          <w:p>
            <w:pPr>
              <w:jc w:val="right"/>
              <w:ind w:right="77"/>
              <w:spacing w:after="0"/>
              <w:rPr>
                <w:sz w:val="20"/>
                <w:szCs w:val="20"/>
                <w:color w:val="auto"/>
              </w:rPr>
            </w:pPr>
            <w:r>
              <w:rPr>
                <w:rFonts w:ascii="Arial" w:cs="Arial" w:eastAsia="Arial" w:hAnsi="Arial"/>
                <w:sz w:val="13"/>
                <w:szCs w:val="13"/>
                <w:color w:val="231F20"/>
              </w:rPr>
              <w:t>683,100</w:t>
            </w:r>
          </w:p>
        </w:tc>
        <w:tc>
          <w:tcPr>
            <w:tcW w:w="1120" w:type="dxa"/>
            <w:vAlign w:val="bottom"/>
            <w:tcBorders>
              <w:bottom w:val="single" w:sz="8" w:color="58585A"/>
            </w:tcBorders>
            <w:shd w:val="clear" w:color="auto" w:fill="C8CCE5"/>
          </w:tcPr>
          <w:p>
            <w:pPr>
              <w:ind w:left="760"/>
              <w:spacing w:after="0"/>
              <w:rPr>
                <w:sz w:val="20"/>
                <w:szCs w:val="20"/>
                <w:color w:val="auto"/>
              </w:rPr>
            </w:pPr>
            <w:r>
              <w:rPr>
                <w:rFonts w:ascii="Arial" w:cs="Arial" w:eastAsia="Arial" w:hAnsi="Arial"/>
                <w:sz w:val="13"/>
                <w:szCs w:val="13"/>
                <w:color w:val="231F20"/>
              </w:rPr>
              <w:t>3.5</w:t>
            </w:r>
          </w:p>
        </w:tc>
        <w:tc>
          <w:tcPr>
            <w:tcW w:w="1180" w:type="dxa"/>
            <w:vAlign w:val="bottom"/>
            <w:tcBorders>
              <w:bottom w:val="single" w:sz="8" w:color="58585A"/>
            </w:tcBorders>
            <w:shd w:val="clear" w:color="auto" w:fill="ECECED"/>
          </w:tcPr>
          <w:p>
            <w:pPr>
              <w:jc w:val="right"/>
              <w:ind w:right="97"/>
              <w:spacing w:after="0"/>
              <w:rPr>
                <w:sz w:val="20"/>
                <w:szCs w:val="20"/>
                <w:color w:val="auto"/>
              </w:rPr>
            </w:pPr>
            <w:r>
              <w:rPr>
                <w:rFonts w:ascii="Arial" w:cs="Arial" w:eastAsia="Arial" w:hAnsi="Arial"/>
                <w:sz w:val="13"/>
                <w:szCs w:val="13"/>
                <w:color w:val="231F20"/>
              </w:rPr>
              <w:t>795,000</w:t>
            </w:r>
          </w:p>
        </w:tc>
        <w:tc>
          <w:tcPr>
            <w:tcW w:w="1120" w:type="dxa"/>
            <w:vAlign w:val="bottom"/>
            <w:tcBorders>
              <w:bottom w:val="single" w:sz="8" w:color="58585A"/>
            </w:tcBorders>
            <w:shd w:val="clear" w:color="auto" w:fill="C8CCE5"/>
          </w:tcPr>
          <w:p>
            <w:pPr>
              <w:jc w:val="right"/>
              <w:ind w:right="77"/>
              <w:spacing w:after="0"/>
              <w:rPr>
                <w:sz w:val="20"/>
                <w:szCs w:val="20"/>
                <w:color w:val="auto"/>
              </w:rPr>
            </w:pPr>
            <w:r>
              <w:rPr>
                <w:rFonts w:ascii="Arial" w:cs="Arial" w:eastAsia="Arial" w:hAnsi="Arial"/>
                <w:sz w:val="13"/>
                <w:szCs w:val="13"/>
                <w:color w:val="231F20"/>
              </w:rPr>
              <w:t>16.4</w:t>
            </w:r>
            <w:r>
              <w:rPr>
                <w:rFonts w:ascii="Arial" w:cs="Arial" w:eastAsia="Arial" w:hAnsi="Arial"/>
                <w:sz w:val="21"/>
                <w:szCs w:val="21"/>
                <w:color w:val="231F20"/>
                <w:vertAlign w:val="superscript"/>
              </w:rPr>
              <w:t>3</w:t>
            </w:r>
          </w:p>
        </w:tc>
      </w:tr>
      <w:tr>
        <w:trPr>
          <w:trHeight w:val="277"/>
        </w:trPr>
        <w:tc>
          <w:tcPr>
            <w:tcW w:w="2500" w:type="dxa"/>
            <w:vAlign w:val="bottom"/>
            <w:tcBorders>
              <w:bottom w:val="single" w:sz="8" w:color="2952A4"/>
            </w:tcBorders>
          </w:tcPr>
          <w:p>
            <w:pPr>
              <w:ind w:left="40"/>
              <w:spacing w:after="0"/>
              <w:rPr>
                <w:sz w:val="20"/>
                <w:szCs w:val="20"/>
                <w:color w:val="auto"/>
              </w:rPr>
            </w:pPr>
            <w:r>
              <w:rPr>
                <w:rFonts w:ascii="Arial" w:cs="Arial" w:eastAsia="Arial" w:hAnsi="Arial"/>
                <w:sz w:val="13"/>
                <w:szCs w:val="13"/>
                <w:b w:val="1"/>
                <w:bCs w:val="1"/>
                <w:color w:val="C04C57"/>
              </w:rPr>
              <w:t>Andrew J. Murphy, Ph.D.</w:t>
            </w:r>
          </w:p>
        </w:tc>
        <w:tc>
          <w:tcPr>
            <w:tcW w:w="1160" w:type="dxa"/>
            <w:vAlign w:val="bottom"/>
            <w:tcBorders>
              <w:bottom w:val="single" w:sz="8" w:color="2952A4"/>
            </w:tcBorders>
          </w:tcPr>
          <w:p>
            <w:pPr>
              <w:jc w:val="right"/>
              <w:ind w:right="77"/>
              <w:spacing w:after="0"/>
              <w:rPr>
                <w:sz w:val="20"/>
                <w:szCs w:val="20"/>
                <w:color w:val="auto"/>
              </w:rPr>
            </w:pPr>
            <w:r>
              <w:rPr>
                <w:rFonts w:ascii="Arial" w:cs="Arial" w:eastAsia="Arial" w:hAnsi="Arial"/>
                <w:sz w:val="13"/>
                <w:szCs w:val="13"/>
                <w:color w:val="231F20"/>
              </w:rPr>
              <w:t>517,500</w:t>
            </w:r>
          </w:p>
        </w:tc>
        <w:tc>
          <w:tcPr>
            <w:tcW w:w="1020" w:type="dxa"/>
            <w:vAlign w:val="bottom"/>
            <w:tcBorders>
              <w:bottom w:val="single" w:sz="8" w:color="2952A4"/>
            </w:tcBorders>
          </w:tcPr>
          <w:p>
            <w:pPr>
              <w:jc w:val="right"/>
              <w:ind w:right="77"/>
              <w:spacing w:after="0"/>
              <w:rPr>
                <w:sz w:val="20"/>
                <w:szCs w:val="20"/>
                <w:color w:val="auto"/>
              </w:rPr>
            </w:pPr>
            <w:r>
              <w:rPr>
                <w:rFonts w:ascii="Arial" w:cs="Arial" w:eastAsia="Arial" w:hAnsi="Arial"/>
                <w:sz w:val="13"/>
                <w:szCs w:val="13"/>
                <w:color w:val="231F20"/>
              </w:rPr>
              <w:t>600,000</w:t>
            </w:r>
          </w:p>
        </w:tc>
        <w:tc>
          <w:tcPr>
            <w:tcW w:w="1120" w:type="dxa"/>
            <w:vAlign w:val="bottom"/>
            <w:tcBorders>
              <w:bottom w:val="single" w:sz="8" w:color="2952A4"/>
            </w:tcBorders>
            <w:shd w:val="clear" w:color="auto" w:fill="E3E6F4"/>
          </w:tcPr>
          <w:p>
            <w:pPr>
              <w:ind w:left="680"/>
              <w:spacing w:after="0"/>
              <w:rPr>
                <w:sz w:val="20"/>
                <w:szCs w:val="20"/>
                <w:color w:val="auto"/>
              </w:rPr>
            </w:pPr>
            <w:r>
              <w:rPr>
                <w:rFonts w:ascii="Arial" w:cs="Arial" w:eastAsia="Arial" w:hAnsi="Arial"/>
                <w:sz w:val="13"/>
                <w:szCs w:val="13"/>
                <w:color w:val="231F20"/>
              </w:rPr>
              <w:t>15.9</w:t>
            </w:r>
            <w:r>
              <w:rPr>
                <w:rFonts w:ascii="Arial" w:cs="Arial" w:eastAsia="Arial" w:hAnsi="Arial"/>
                <w:sz w:val="21"/>
                <w:szCs w:val="21"/>
                <w:color w:val="231F20"/>
                <w:vertAlign w:val="superscript"/>
              </w:rPr>
              <w:t>2</w:t>
            </w:r>
          </w:p>
        </w:tc>
        <w:tc>
          <w:tcPr>
            <w:tcW w:w="1180" w:type="dxa"/>
            <w:vAlign w:val="bottom"/>
            <w:tcBorders>
              <w:bottom w:val="single" w:sz="8" w:color="2952A4"/>
            </w:tcBorders>
          </w:tcPr>
          <w:p>
            <w:pPr>
              <w:jc w:val="right"/>
              <w:ind w:right="97"/>
              <w:spacing w:after="0"/>
              <w:rPr>
                <w:sz w:val="20"/>
                <w:szCs w:val="20"/>
                <w:color w:val="auto"/>
              </w:rPr>
            </w:pPr>
            <w:r>
              <w:rPr>
                <w:rFonts w:ascii="Arial" w:cs="Arial" w:eastAsia="Arial" w:hAnsi="Arial"/>
                <w:sz w:val="13"/>
                <w:szCs w:val="13"/>
                <w:color w:val="231F20"/>
              </w:rPr>
              <w:t>700,000</w:t>
            </w:r>
          </w:p>
        </w:tc>
        <w:tc>
          <w:tcPr>
            <w:tcW w:w="1120" w:type="dxa"/>
            <w:vAlign w:val="bottom"/>
            <w:tcBorders>
              <w:bottom w:val="single" w:sz="8" w:color="2952A4"/>
            </w:tcBorders>
            <w:shd w:val="clear" w:color="auto" w:fill="E3E6F4"/>
          </w:tcPr>
          <w:p>
            <w:pPr>
              <w:jc w:val="right"/>
              <w:ind w:right="77"/>
              <w:spacing w:after="0"/>
              <w:rPr>
                <w:sz w:val="20"/>
                <w:szCs w:val="20"/>
                <w:color w:val="auto"/>
              </w:rPr>
            </w:pPr>
            <w:r>
              <w:rPr>
                <w:rFonts w:ascii="Arial" w:cs="Arial" w:eastAsia="Arial" w:hAnsi="Arial"/>
                <w:sz w:val="13"/>
                <w:szCs w:val="13"/>
                <w:color w:val="231F20"/>
              </w:rPr>
              <w:t>16.7</w:t>
            </w:r>
            <w:r>
              <w:rPr>
                <w:rFonts w:ascii="Arial" w:cs="Arial" w:eastAsia="Arial" w:hAnsi="Arial"/>
                <w:sz w:val="21"/>
                <w:szCs w:val="21"/>
                <w:color w:val="231F20"/>
                <w:vertAlign w:val="superscript"/>
              </w:rPr>
              <w:t>3</w:t>
            </w:r>
          </w:p>
        </w:tc>
      </w:tr>
    </w:tbl>
    <w:p>
      <w:pPr>
        <w:spacing w:after="0" w:line="194" w:lineRule="exact"/>
        <w:rPr>
          <w:sz w:val="20"/>
          <w:szCs w:val="20"/>
          <w:color w:val="auto"/>
        </w:rPr>
      </w:pPr>
    </w:p>
    <w:p>
      <w:pPr>
        <w:ind w:left="1740" w:hanging="166"/>
        <w:spacing w:after="0"/>
        <w:tabs>
          <w:tab w:leader="none" w:pos="1740" w:val="left"/>
        </w:tabs>
        <w:numPr>
          <w:ilvl w:val="0"/>
          <w:numId w:val="115"/>
        </w:numPr>
        <w:rPr>
          <w:rFonts w:ascii="Arial" w:cs="Arial" w:eastAsia="Arial" w:hAnsi="Arial"/>
          <w:sz w:val="14"/>
          <w:szCs w:val="14"/>
          <w:b w:val="1"/>
          <w:bCs w:val="1"/>
          <w:color w:val="2952A4"/>
        </w:rPr>
      </w:pPr>
      <w:r>
        <w:rPr>
          <w:rFonts w:ascii="Arial" w:cs="Arial" w:eastAsia="Arial" w:hAnsi="Arial"/>
          <w:sz w:val="14"/>
          <w:szCs w:val="14"/>
          <w:color w:val="231F20"/>
        </w:rPr>
        <w:t>Reflects a 3.5% merit increase consistent with those for other employees.</w:t>
      </w:r>
    </w:p>
    <w:p>
      <w:pPr>
        <w:spacing w:after="0" w:line="96" w:lineRule="exact"/>
        <w:rPr>
          <w:sz w:val="20"/>
          <w:szCs w:val="20"/>
          <w:color w:val="auto"/>
        </w:rPr>
      </w:pPr>
    </w:p>
    <w:p>
      <w:pPr>
        <w:ind w:left="1740" w:right="1560" w:hanging="166"/>
        <w:spacing w:after="0" w:line="258" w:lineRule="auto"/>
        <w:tabs>
          <w:tab w:leader="none" w:pos="1740" w:val="left"/>
        </w:tabs>
        <w:numPr>
          <w:ilvl w:val="0"/>
          <w:numId w:val="116"/>
        </w:numPr>
        <w:rPr>
          <w:rFonts w:ascii="Arial" w:cs="Arial" w:eastAsia="Arial" w:hAnsi="Arial"/>
          <w:sz w:val="14"/>
          <w:szCs w:val="14"/>
          <w:b w:val="1"/>
          <w:bCs w:val="1"/>
          <w:color w:val="2952A4"/>
        </w:rPr>
      </w:pPr>
      <w:r>
        <w:rPr>
          <w:rFonts w:ascii="Arial" w:cs="Arial" w:eastAsia="Arial" w:hAnsi="Arial"/>
          <w:sz w:val="14"/>
          <w:szCs w:val="14"/>
          <w:color w:val="231F20"/>
        </w:rPr>
        <w:t>Reflects (i) a 3.5% merit increase consistent with those for other employees and (ii) a base salary adjustment of $26,200 and $64,400 to reflect promotions for Mr. Landry and Dr. Murphy, respectively.</w:t>
      </w:r>
    </w:p>
    <w:p>
      <w:pPr>
        <w:spacing w:after="0" w:line="72" w:lineRule="exact"/>
        <w:rPr>
          <w:sz w:val="20"/>
          <w:szCs w:val="20"/>
          <w:color w:val="auto"/>
        </w:rPr>
      </w:pPr>
    </w:p>
    <w:p>
      <w:pPr>
        <w:ind w:left="1740" w:right="1660" w:hanging="166"/>
        <w:spacing w:after="0" w:line="258" w:lineRule="auto"/>
        <w:tabs>
          <w:tab w:leader="none" w:pos="1740" w:val="left"/>
        </w:tabs>
        <w:numPr>
          <w:ilvl w:val="0"/>
          <w:numId w:val="117"/>
        </w:numPr>
        <w:rPr>
          <w:rFonts w:ascii="Arial" w:cs="Arial" w:eastAsia="Arial" w:hAnsi="Arial"/>
          <w:sz w:val="14"/>
          <w:szCs w:val="14"/>
          <w:b w:val="1"/>
          <w:bCs w:val="1"/>
          <w:color w:val="2952A4"/>
        </w:rPr>
      </w:pPr>
      <w:r>
        <w:rPr>
          <w:rFonts w:ascii="Arial" w:cs="Arial" w:eastAsia="Arial" w:hAnsi="Arial"/>
          <w:sz w:val="14"/>
          <w:szCs w:val="14"/>
          <w:color w:val="231F20"/>
        </w:rPr>
        <w:t>Reflects (i) a 3.5% merit increase consistent with those for other employees and (ii) a base salary adjustment of $39,400, $88,000, and $79,000 to ensure greater market competitiveness for Mr. Landry, Mr. Van Plew, and Dr. Murphy, respectively.</w:t>
      </w:r>
    </w:p>
    <w:p>
      <w:pPr>
        <w:spacing w:after="0" w:line="271"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23" w:lineRule="exact"/>
        <w:rPr>
          <w:sz w:val="20"/>
          <w:szCs w:val="20"/>
          <w:color w:val="auto"/>
        </w:rPr>
      </w:pPr>
    </w:p>
    <w:p>
      <w:pPr>
        <w:ind w:left="1580" w:right="1720"/>
        <w:spacing w:after="0" w:line="242" w:lineRule="auto"/>
        <w:rPr>
          <w:sz w:val="20"/>
          <w:szCs w:val="20"/>
          <w:color w:val="auto"/>
        </w:rPr>
      </w:pPr>
      <w:r>
        <w:rPr>
          <w:rFonts w:ascii="Arial" w:cs="Arial" w:eastAsia="Arial" w:hAnsi="Arial"/>
          <w:sz w:val="15"/>
          <w:szCs w:val="15"/>
          <w:color w:val="231F20"/>
        </w:rPr>
        <w:t>Our NEOs are eligible for cash incentives based on annual performance. We use these annual incentive opportunities to reward short-term achievements and milestones towards our long-term goals.</w:t>
      </w:r>
    </w:p>
    <w:p>
      <w:pPr>
        <w:spacing w:after="0" w:line="155"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We focus on our overall corporate performance to determine the cash incentives of our CEO and our CSO. Our other</w:t>
      </w:r>
    </w:p>
    <w:p>
      <w:pPr>
        <w:ind w:left="1580"/>
        <w:spacing w:after="0" w:line="225" w:lineRule="auto"/>
        <w:rPr>
          <w:sz w:val="20"/>
          <w:szCs w:val="20"/>
          <w:color w:val="auto"/>
        </w:rPr>
      </w:pPr>
      <w:r>
        <w:rPr>
          <w:rFonts w:ascii="Arial" w:cs="Arial" w:eastAsia="Arial" w:hAnsi="Arial"/>
          <w:sz w:val="15"/>
          <w:szCs w:val="15"/>
          <w:color w:val="231F20"/>
        </w:rPr>
        <w:t>NEOs’ cash incentives are assessed on both our overall corporate performance and on their individual contributions.</w:t>
      </w:r>
    </w:p>
    <w:p>
      <w:pPr>
        <w:ind w:left="1580"/>
        <w:spacing w:after="0"/>
        <w:rPr>
          <w:sz w:val="20"/>
          <w:szCs w:val="20"/>
          <w:color w:val="auto"/>
        </w:rPr>
      </w:pPr>
      <w:r>
        <w:rPr>
          <w:rFonts w:ascii="Arial" w:cs="Arial" w:eastAsia="Arial" w:hAnsi="Arial"/>
          <w:sz w:val="15"/>
          <w:szCs w:val="15"/>
          <w:color w:val="231F20"/>
        </w:rPr>
        <w:t>For 2019, annual cash incentive opportunities for each NEO were weighted as shown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880" w:type="dxa"/>
            <w:vAlign w:val="bottom"/>
          </w:tcPr>
          <w:p>
            <w:pPr>
              <w:spacing w:after="0"/>
              <w:rPr>
                <w:sz w:val="13"/>
                <w:szCs w:val="13"/>
                <w:color w:val="auto"/>
              </w:rPr>
            </w:pPr>
          </w:p>
        </w:tc>
        <w:tc>
          <w:tcPr>
            <w:tcW w:w="1680" w:type="dxa"/>
            <w:vAlign w:val="bottom"/>
          </w:tcPr>
          <w:p>
            <w:pPr>
              <w:ind w:left="60"/>
              <w:spacing w:after="0"/>
              <w:rPr>
                <w:sz w:val="20"/>
                <w:szCs w:val="20"/>
                <w:color w:val="auto"/>
              </w:rPr>
            </w:pPr>
            <w:r>
              <w:rPr>
                <w:rFonts w:ascii="Arial" w:cs="Arial" w:eastAsia="Arial" w:hAnsi="Arial"/>
                <w:sz w:val="12"/>
                <w:szCs w:val="12"/>
                <w:b w:val="1"/>
                <w:bCs w:val="1"/>
                <w:color w:val="2952A4"/>
              </w:rPr>
              <w:t>Role</w:t>
            </w:r>
          </w:p>
        </w:tc>
        <w:tc>
          <w:tcPr>
            <w:tcW w:w="2260" w:type="dxa"/>
            <w:vAlign w:val="bottom"/>
          </w:tcPr>
          <w:p>
            <w:pPr>
              <w:jc w:val="right"/>
              <w:ind w:right="99"/>
              <w:spacing w:after="0"/>
              <w:rPr>
                <w:sz w:val="20"/>
                <w:szCs w:val="20"/>
                <w:color w:val="auto"/>
              </w:rPr>
            </w:pPr>
            <w:r>
              <w:rPr>
                <w:rFonts w:ascii="Arial" w:cs="Arial" w:eastAsia="Arial" w:hAnsi="Arial"/>
                <w:sz w:val="12"/>
                <w:szCs w:val="12"/>
                <w:b w:val="1"/>
                <w:bCs w:val="1"/>
                <w:color w:val="2952A4"/>
              </w:rPr>
              <w:t>Corporate Performance</w:t>
            </w:r>
          </w:p>
        </w:tc>
        <w:tc>
          <w:tcPr>
            <w:tcW w:w="4420" w:type="dxa"/>
            <w:vAlign w:val="bottom"/>
            <w:gridSpan w:val="2"/>
          </w:tcPr>
          <w:p>
            <w:pPr>
              <w:jc w:val="right"/>
              <w:ind w:right="2960"/>
              <w:spacing w:after="0"/>
              <w:rPr>
                <w:sz w:val="20"/>
                <w:szCs w:val="20"/>
                <w:color w:val="auto"/>
              </w:rPr>
            </w:pPr>
            <w:r>
              <w:rPr>
                <w:rFonts w:ascii="Arial" w:cs="Arial" w:eastAsia="Arial" w:hAnsi="Arial"/>
                <w:sz w:val="12"/>
                <w:szCs w:val="12"/>
                <w:b w:val="1"/>
                <w:bCs w:val="1"/>
                <w:color w:val="2952A4"/>
              </w:rPr>
              <w:t>Individual Performance</w:t>
            </w:r>
          </w:p>
        </w:tc>
      </w:tr>
      <w:tr>
        <w:trPr>
          <w:trHeight w:val="27"/>
        </w:trPr>
        <w:tc>
          <w:tcPr>
            <w:tcW w:w="2880" w:type="dxa"/>
            <w:vAlign w:val="bottom"/>
          </w:tcPr>
          <w:p>
            <w:pPr>
              <w:spacing w:after="0"/>
              <w:rPr>
                <w:sz w:val="2"/>
                <w:szCs w:val="2"/>
                <w:color w:val="auto"/>
              </w:rPr>
            </w:pPr>
          </w:p>
        </w:tc>
        <w:tc>
          <w:tcPr>
            <w:tcW w:w="1680" w:type="dxa"/>
            <w:vAlign w:val="bottom"/>
            <w:tcBorders>
              <w:bottom w:val="single" w:sz="8" w:color="2952A4"/>
            </w:tcBorders>
          </w:tcPr>
          <w:p>
            <w:pPr>
              <w:spacing w:after="0"/>
              <w:rPr>
                <w:sz w:val="2"/>
                <w:szCs w:val="2"/>
                <w:color w:val="auto"/>
              </w:rPr>
            </w:pPr>
          </w:p>
        </w:tc>
        <w:tc>
          <w:tcPr>
            <w:tcW w:w="2260" w:type="dxa"/>
            <w:vAlign w:val="bottom"/>
            <w:tcBorders>
              <w:bottom w:val="single" w:sz="8" w:color="2952A4"/>
            </w:tcBorders>
          </w:tcPr>
          <w:p>
            <w:pPr>
              <w:spacing w:after="0"/>
              <w:rPr>
                <w:sz w:val="2"/>
                <w:szCs w:val="2"/>
                <w:color w:val="auto"/>
              </w:rPr>
            </w:pPr>
          </w:p>
        </w:tc>
        <w:tc>
          <w:tcPr>
            <w:tcW w:w="1460" w:type="dxa"/>
            <w:vAlign w:val="bottom"/>
            <w:tcBorders>
              <w:bottom w:val="single" w:sz="8" w:color="2952A4"/>
            </w:tcBorders>
          </w:tcPr>
          <w:p>
            <w:pPr>
              <w:spacing w:after="0"/>
              <w:rPr>
                <w:sz w:val="2"/>
                <w:szCs w:val="2"/>
                <w:color w:val="auto"/>
              </w:rPr>
            </w:pPr>
          </w:p>
        </w:tc>
        <w:tc>
          <w:tcPr>
            <w:tcW w:w="2960" w:type="dxa"/>
            <w:vAlign w:val="bottom"/>
          </w:tcPr>
          <w:p>
            <w:pPr>
              <w:spacing w:after="0"/>
              <w:rPr>
                <w:sz w:val="2"/>
                <w:szCs w:val="2"/>
                <w:color w:val="auto"/>
              </w:rPr>
            </w:pPr>
          </w:p>
        </w:tc>
      </w:tr>
      <w:tr>
        <w:trPr>
          <w:trHeight w:val="183"/>
        </w:trPr>
        <w:tc>
          <w:tcPr>
            <w:tcW w:w="2880" w:type="dxa"/>
            <w:vAlign w:val="bottom"/>
          </w:tcPr>
          <w:p>
            <w:pPr>
              <w:spacing w:after="0"/>
              <w:rPr>
                <w:sz w:val="15"/>
                <w:szCs w:val="15"/>
                <w:color w:val="auto"/>
              </w:rPr>
            </w:pPr>
          </w:p>
        </w:tc>
        <w:tc>
          <w:tcPr>
            <w:tcW w:w="1680" w:type="dxa"/>
            <w:vAlign w:val="bottom"/>
          </w:tcPr>
          <w:p>
            <w:pPr>
              <w:ind w:left="60"/>
              <w:spacing w:after="0"/>
              <w:rPr>
                <w:sz w:val="20"/>
                <w:szCs w:val="20"/>
                <w:color w:val="auto"/>
              </w:rPr>
            </w:pPr>
            <w:r>
              <w:rPr>
                <w:rFonts w:ascii="Arial" w:cs="Arial" w:eastAsia="Arial" w:hAnsi="Arial"/>
                <w:sz w:val="13"/>
                <w:szCs w:val="13"/>
                <w:color w:val="231F20"/>
              </w:rPr>
              <w:t>CEO and CSO</w:t>
            </w:r>
          </w:p>
        </w:tc>
        <w:tc>
          <w:tcPr>
            <w:tcW w:w="2260" w:type="dxa"/>
            <w:vAlign w:val="bottom"/>
          </w:tcPr>
          <w:p>
            <w:pPr>
              <w:jc w:val="right"/>
              <w:ind w:right="99"/>
              <w:spacing w:after="0"/>
              <w:rPr>
                <w:sz w:val="20"/>
                <w:szCs w:val="20"/>
                <w:color w:val="auto"/>
              </w:rPr>
            </w:pPr>
            <w:r>
              <w:rPr>
                <w:rFonts w:ascii="Arial" w:cs="Arial" w:eastAsia="Arial" w:hAnsi="Arial"/>
                <w:sz w:val="13"/>
                <w:szCs w:val="13"/>
                <w:color w:val="231F20"/>
              </w:rPr>
              <w:t>100%</w:t>
            </w:r>
          </w:p>
        </w:tc>
        <w:tc>
          <w:tcPr>
            <w:tcW w:w="4420" w:type="dxa"/>
            <w:vAlign w:val="bottom"/>
            <w:gridSpan w:val="2"/>
          </w:tcPr>
          <w:p>
            <w:pPr>
              <w:jc w:val="right"/>
              <w:ind w:right="2960"/>
              <w:spacing w:after="0"/>
              <w:rPr>
                <w:sz w:val="20"/>
                <w:szCs w:val="20"/>
                <w:color w:val="auto"/>
              </w:rPr>
            </w:pPr>
            <w:r>
              <w:rPr>
                <w:rFonts w:ascii="Arial" w:cs="Arial" w:eastAsia="Arial" w:hAnsi="Arial"/>
                <w:sz w:val="13"/>
                <w:szCs w:val="13"/>
                <w:color w:val="231F20"/>
              </w:rPr>
              <w:t>—</w:t>
            </w:r>
          </w:p>
        </w:tc>
      </w:tr>
      <w:tr>
        <w:trPr>
          <w:trHeight w:val="173"/>
        </w:trPr>
        <w:tc>
          <w:tcPr>
            <w:tcW w:w="2880" w:type="dxa"/>
            <w:vAlign w:val="bottom"/>
          </w:tcPr>
          <w:p>
            <w:pPr>
              <w:spacing w:after="0"/>
              <w:rPr>
                <w:sz w:val="15"/>
                <w:szCs w:val="15"/>
                <w:color w:val="auto"/>
              </w:rPr>
            </w:pPr>
          </w:p>
        </w:tc>
        <w:tc>
          <w:tcPr>
            <w:tcW w:w="168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231F20"/>
              </w:rPr>
              <w:t>Other NEOs</w:t>
            </w:r>
          </w:p>
        </w:tc>
        <w:tc>
          <w:tcPr>
            <w:tcW w:w="2260" w:type="dxa"/>
            <w:vAlign w:val="bottom"/>
            <w:tcBorders>
              <w:top w:val="single" w:sz="8" w:color="58585A"/>
            </w:tcBorders>
          </w:tcPr>
          <w:p>
            <w:pPr>
              <w:jc w:val="right"/>
              <w:ind w:right="99"/>
              <w:spacing w:after="0"/>
              <w:rPr>
                <w:sz w:val="20"/>
                <w:szCs w:val="20"/>
                <w:color w:val="auto"/>
              </w:rPr>
            </w:pPr>
            <w:r>
              <w:rPr>
                <w:rFonts w:ascii="Arial" w:cs="Arial" w:eastAsia="Arial" w:hAnsi="Arial"/>
                <w:sz w:val="13"/>
                <w:szCs w:val="13"/>
                <w:color w:val="231F20"/>
              </w:rPr>
              <w:t>60%</w:t>
            </w:r>
          </w:p>
        </w:tc>
        <w:tc>
          <w:tcPr>
            <w:tcW w:w="146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231F20"/>
              </w:rPr>
              <w:t>40%</w:t>
            </w:r>
          </w:p>
        </w:tc>
        <w:tc>
          <w:tcPr>
            <w:tcW w:w="2960" w:type="dxa"/>
            <w:vAlign w:val="bottom"/>
          </w:tcPr>
          <w:p>
            <w:pPr>
              <w:spacing w:after="0"/>
              <w:rPr>
                <w:sz w:val="15"/>
                <w:szCs w:val="15"/>
                <w:color w:val="auto"/>
              </w:rPr>
            </w:pPr>
          </w:p>
        </w:tc>
      </w:tr>
      <w:tr>
        <w:trPr>
          <w:trHeight w:val="625"/>
        </w:trPr>
        <w:tc>
          <w:tcPr>
            <w:tcW w:w="6820" w:type="dxa"/>
            <w:vAlign w:val="bottom"/>
            <w:gridSpan w:val="3"/>
          </w:tcPr>
          <w:p>
            <w:pPr>
              <w:jc w:val="right"/>
              <w:ind w:right="339"/>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4420" w:type="dxa"/>
            <w:vAlign w:val="bottom"/>
            <w:gridSpan w:val="2"/>
          </w:tcPr>
          <w:p>
            <w:pPr>
              <w:jc w:val="right"/>
              <w:ind w:right="1260"/>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67</w:t>
            </w:r>
          </w:p>
        </w:tc>
      </w:tr>
      <w:tr>
        <w:trPr>
          <w:trHeight w:val="262"/>
        </w:trPr>
        <w:tc>
          <w:tcPr>
            <w:tcW w:w="2880" w:type="dxa"/>
            <w:vAlign w:val="bottom"/>
            <w:tcBorders>
              <w:bottom w:val="single" w:sz="8" w:color="C0C0C0"/>
            </w:tcBorders>
          </w:tcPr>
          <w:p>
            <w:pPr>
              <w:spacing w:after="0"/>
              <w:rPr>
                <w:sz w:val="22"/>
                <w:szCs w:val="22"/>
                <w:color w:val="auto"/>
              </w:rPr>
            </w:pPr>
          </w:p>
        </w:tc>
        <w:tc>
          <w:tcPr>
            <w:tcW w:w="1680" w:type="dxa"/>
            <w:vAlign w:val="bottom"/>
            <w:tcBorders>
              <w:bottom w:val="single" w:sz="8" w:color="C0C0C0"/>
            </w:tcBorders>
          </w:tcPr>
          <w:p>
            <w:pPr>
              <w:spacing w:after="0"/>
              <w:rPr>
                <w:sz w:val="22"/>
                <w:szCs w:val="22"/>
                <w:color w:val="auto"/>
              </w:rPr>
            </w:pPr>
          </w:p>
        </w:tc>
        <w:tc>
          <w:tcPr>
            <w:tcW w:w="2260" w:type="dxa"/>
            <w:vAlign w:val="bottom"/>
            <w:tcBorders>
              <w:bottom w:val="single" w:sz="8" w:color="C0C0C0"/>
            </w:tcBorders>
          </w:tcPr>
          <w:p>
            <w:pPr>
              <w:spacing w:after="0"/>
              <w:rPr>
                <w:sz w:val="22"/>
                <w:szCs w:val="22"/>
                <w:color w:val="auto"/>
              </w:rPr>
            </w:pPr>
          </w:p>
        </w:tc>
        <w:tc>
          <w:tcPr>
            <w:tcW w:w="1460" w:type="dxa"/>
            <w:vAlign w:val="bottom"/>
            <w:tcBorders>
              <w:bottom w:val="single" w:sz="8" w:color="C0C0C0"/>
            </w:tcBorders>
          </w:tcPr>
          <w:p>
            <w:pPr>
              <w:spacing w:after="0"/>
              <w:rPr>
                <w:sz w:val="22"/>
                <w:szCs w:val="22"/>
                <w:color w:val="auto"/>
              </w:rPr>
            </w:pPr>
          </w:p>
        </w:tc>
        <w:tc>
          <w:tcPr>
            <w:tcW w:w="29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-290830</wp:posOffset>
            </wp:positionV>
            <wp:extent cx="746125" cy="857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9" w:name="page80"/>
    <w:bookmarkEnd w:id="79"/>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952A4"/>
        </w:rPr>
        <w:t>Corporate Performance</w:t>
      </w:r>
    </w:p>
    <w:p>
      <w:pPr>
        <w:spacing w:after="0" w:line="209" w:lineRule="exact"/>
        <w:rPr>
          <w:sz w:val="20"/>
          <w:szCs w:val="20"/>
          <w:color w:val="auto"/>
        </w:rPr>
      </w:pPr>
    </w:p>
    <w:p>
      <w:pPr>
        <w:ind w:left="460" w:right="719"/>
        <w:spacing w:after="0" w:line="229" w:lineRule="auto"/>
        <w:rPr>
          <w:sz w:val="20"/>
          <w:szCs w:val="20"/>
          <w:color w:val="auto"/>
        </w:rPr>
      </w:pPr>
      <w:r>
        <w:rPr>
          <w:rFonts w:ascii="Arial" w:cs="Arial" w:eastAsia="Arial" w:hAnsi="Arial"/>
          <w:sz w:val="15"/>
          <w:szCs w:val="15"/>
          <w:color w:val="231F20"/>
        </w:rPr>
        <w:t>Feedback from our shareholder engagement efforts since our last annual meeting suggested that the annual cash incentive goals appeared subjective, and investors expressed a desire for more concrete, objective, and transparent goals so that they could more fully understand how cash incentive payments were linked to corporate and individual performance. Our Compensation Committee listened to this feedback and enhanced the existing process for determining the cash incentive for 2019. The enhanced approach also incorporates greater involvement of all non-employee directors and the Chairman of the Board in reviewing the Company’s performance for purposes of setting the annual cash incentive.</w:t>
      </w:r>
    </w:p>
    <w:p>
      <w:pPr>
        <w:spacing w:after="0" w:line="171" w:lineRule="exact"/>
        <w:rPr>
          <w:sz w:val="20"/>
          <w:szCs w:val="20"/>
          <w:color w:val="auto"/>
        </w:rPr>
      </w:pPr>
    </w:p>
    <w:p>
      <w:pPr>
        <w:ind w:left="460" w:right="599"/>
        <w:spacing w:after="0"/>
        <w:rPr>
          <w:sz w:val="20"/>
          <w:szCs w:val="20"/>
          <w:color w:val="auto"/>
        </w:rPr>
      </w:pPr>
      <w:r>
        <w:rPr>
          <w:rFonts w:ascii="Arial" w:cs="Arial" w:eastAsia="Arial" w:hAnsi="Arial"/>
          <w:sz w:val="15"/>
          <w:szCs w:val="15"/>
          <w:color w:val="231F20"/>
        </w:rPr>
        <w:t>Corporate performance for 2019 was assessed in three categories: (1) factors related to our product pipeline and development for both the near- and long-term; (2) factors regarding our financial performance and operations; and (3) factors related to our talent, culture, and corporate responsibility. As in prior years, the factors analyzed under category (1) continued to be a key measure for the Compensation Committee’s assessment and calculating the Company performance multiplier. This recognizes the importance of innovation as a key component of the Company’s business strategy and valuation, as well as the critical role of the development pipeline in the Company’s long-term success.</w:t>
      </w:r>
    </w:p>
    <w:p>
      <w:pPr>
        <w:spacing w:after="0" w:line="30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68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80" w:name="page81"/>
    <w:bookmarkEnd w:id="80"/>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143510</wp:posOffset>
            </wp:positionV>
            <wp:extent cx="5143500"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53"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FFFFFF"/>
        </w:rPr>
        <w:t>(1) PRODUCT PIPELINE AND DEVELOPMENT (PRIMARY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46990</wp:posOffset>
            </wp:positionV>
            <wp:extent cx="5143500" cy="8401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40105"/>
                    </a:xfrm>
                    <a:prstGeom prst="rect">
                      <a:avLst/>
                    </a:prstGeom>
                    <a:noFill/>
                  </pic:spPr>
                </pic:pic>
              </a:graphicData>
            </a:graphic>
          </wp:anchor>
        </w:drawing>
      </w:r>
    </w:p>
    <w:p>
      <w:pPr>
        <w:spacing w:after="0" w:line="136"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C04C57"/>
        </w:rPr>
        <w:t>Regulatory &amp; Clinical Milestones; Commercial Support</w:t>
      </w:r>
    </w:p>
    <w:p>
      <w:pPr>
        <w:spacing w:after="0" w:line="77" w:lineRule="exact"/>
        <w:rPr>
          <w:sz w:val="20"/>
          <w:szCs w:val="20"/>
          <w:color w:val="auto"/>
        </w:rPr>
      </w:pPr>
    </w:p>
    <w:p>
      <w:pPr>
        <w:ind w:left="1840" w:right="1740" w:hanging="176"/>
        <w:spacing w:after="0" w:line="238" w:lineRule="auto"/>
        <w:tabs>
          <w:tab w:leader="none" w:pos="1814" w:val="left"/>
        </w:tabs>
        <w:numPr>
          <w:ilvl w:val="0"/>
          <w:numId w:val="118"/>
        </w:numPr>
        <w:rPr>
          <w:rFonts w:ascii="Arial" w:cs="Arial" w:eastAsia="Arial" w:hAnsi="Arial"/>
          <w:sz w:val="13"/>
          <w:szCs w:val="13"/>
          <w:color w:val="2952A4"/>
        </w:rPr>
      </w:pPr>
      <w:r>
        <w:rPr>
          <w:rFonts w:ascii="Arial" w:cs="Arial" w:eastAsia="Arial" w:hAnsi="Arial"/>
          <w:sz w:val="13"/>
          <w:szCs w:val="13"/>
          <w:color w:val="231F20"/>
        </w:rPr>
        <w:t>Approval of new products or indications by the U.S. Food and Drug Administration (“FDA”) or applicable regulatory authorities outside the United States</w:t>
      </w:r>
    </w:p>
    <w:p>
      <w:pPr>
        <w:ind w:left="1820" w:hanging="156"/>
        <w:spacing w:after="0"/>
        <w:tabs>
          <w:tab w:leader="none" w:pos="1820" w:val="left"/>
        </w:tabs>
        <w:numPr>
          <w:ilvl w:val="0"/>
          <w:numId w:val="118"/>
        </w:numPr>
        <w:rPr>
          <w:rFonts w:ascii="Arial" w:cs="Arial" w:eastAsia="Arial" w:hAnsi="Arial"/>
          <w:sz w:val="13"/>
          <w:szCs w:val="13"/>
          <w:color w:val="2952A4"/>
        </w:rPr>
      </w:pPr>
      <w:r>
        <w:rPr>
          <w:rFonts w:ascii="Arial" w:cs="Arial" w:eastAsia="Arial" w:hAnsi="Arial"/>
          <w:sz w:val="13"/>
          <w:szCs w:val="13"/>
          <w:color w:val="231F20"/>
        </w:rPr>
        <w:t>Regulatory submissions for new products and new indications</w:t>
      </w:r>
    </w:p>
    <w:p>
      <w:pPr>
        <w:ind w:left="1820" w:hanging="156"/>
        <w:spacing w:after="0"/>
        <w:tabs>
          <w:tab w:leader="none" w:pos="1820" w:val="left"/>
        </w:tabs>
        <w:numPr>
          <w:ilvl w:val="0"/>
          <w:numId w:val="118"/>
        </w:numPr>
        <w:rPr>
          <w:rFonts w:ascii="Arial" w:cs="Arial" w:eastAsia="Arial" w:hAnsi="Arial"/>
          <w:sz w:val="13"/>
          <w:szCs w:val="13"/>
          <w:color w:val="2952A4"/>
        </w:rPr>
      </w:pPr>
      <w:r>
        <w:rPr>
          <w:rFonts w:ascii="Arial" w:cs="Arial" w:eastAsia="Arial" w:hAnsi="Arial"/>
          <w:sz w:val="13"/>
          <w:szCs w:val="13"/>
          <w:color w:val="231F20"/>
        </w:rPr>
        <w:t>Breakthrough Therapy or orphan drug designations by the FDA (or their equivalent outside the United States)</w:t>
      </w:r>
    </w:p>
    <w:p>
      <w:pPr>
        <w:ind w:left="1820" w:hanging="156"/>
        <w:spacing w:after="0"/>
        <w:tabs>
          <w:tab w:leader="none" w:pos="1820" w:val="left"/>
        </w:tabs>
        <w:numPr>
          <w:ilvl w:val="0"/>
          <w:numId w:val="118"/>
        </w:numPr>
        <w:rPr>
          <w:rFonts w:ascii="Arial" w:cs="Arial" w:eastAsia="Arial" w:hAnsi="Arial"/>
          <w:sz w:val="13"/>
          <w:szCs w:val="13"/>
          <w:color w:val="2952A4"/>
        </w:rPr>
      </w:pPr>
      <w:r>
        <w:rPr>
          <w:rFonts w:ascii="Arial" w:cs="Arial" w:eastAsia="Arial" w:hAnsi="Arial"/>
          <w:sz w:val="13"/>
          <w:szCs w:val="13"/>
          <w:color w:val="231F20"/>
        </w:rPr>
        <w:t>Data readouts and key publications from potentially pivotal/registrational studies</w:t>
      </w:r>
    </w:p>
    <w:p>
      <w:pPr>
        <w:ind w:left="1820" w:hanging="156"/>
        <w:spacing w:after="0"/>
        <w:tabs>
          <w:tab w:leader="none" w:pos="1820" w:val="left"/>
        </w:tabs>
        <w:numPr>
          <w:ilvl w:val="0"/>
          <w:numId w:val="118"/>
        </w:numPr>
        <w:rPr>
          <w:rFonts w:ascii="Arial" w:cs="Arial" w:eastAsia="Arial" w:hAnsi="Arial"/>
          <w:sz w:val="13"/>
          <w:szCs w:val="13"/>
          <w:color w:val="2952A4"/>
        </w:rPr>
      </w:pPr>
      <w:r>
        <w:rPr>
          <w:rFonts w:ascii="Arial" w:cs="Arial" w:eastAsia="Arial" w:hAnsi="Arial"/>
          <w:sz w:val="13"/>
          <w:szCs w:val="13"/>
          <w:color w:val="231F20"/>
        </w:rPr>
        <w:t>Initiation of new Phase 3 or Phase 2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38576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ectPr>
          <w:pgSz w:w="11900" w:h="16838" w:orient="portrait"/>
          <w:cols w:equalWidth="0" w:num="1">
            <w:col w:w="11240"/>
          </w:cols>
          <w:pgMar w:left="320" w:top="405" w:right="339" w:bottom="1440" w:gutter="0" w:footer="0" w:header="0"/>
          <w:type w:val="continuous"/>
        </w:sectPr>
      </w:pPr>
    </w:p>
    <w:p>
      <w:pPr>
        <w:spacing w:after="0" w:line="88" w:lineRule="exact"/>
        <w:rPr>
          <w:sz w:val="20"/>
          <w:szCs w:val="20"/>
          <w:color w:val="auto"/>
        </w:rPr>
      </w:pPr>
    </w:p>
    <w:p>
      <w:pPr>
        <w:ind w:left="1660"/>
        <w:spacing w:after="0"/>
        <w:rPr>
          <w:sz w:val="20"/>
          <w:szCs w:val="20"/>
          <w:color w:val="auto"/>
        </w:rPr>
      </w:pPr>
      <w:r>
        <w:rPr>
          <w:rFonts w:ascii="Arial" w:cs="Arial" w:eastAsia="Arial" w:hAnsi="Arial"/>
          <w:sz w:val="13"/>
          <w:szCs w:val="13"/>
          <w:b w:val="1"/>
          <w:bCs w:val="1"/>
          <w:color w:val="231F20"/>
        </w:rPr>
        <w:t>EYLEA</w:t>
      </w:r>
    </w:p>
    <w:p>
      <w:pPr>
        <w:spacing w:after="0" w:line="14" w:lineRule="exact"/>
        <w:rPr>
          <w:sz w:val="20"/>
          <w:szCs w:val="20"/>
          <w:color w:val="auto"/>
        </w:rPr>
      </w:pPr>
    </w:p>
    <w:p>
      <w:pPr>
        <w:ind w:left="1820" w:hanging="156"/>
        <w:spacing w:after="0"/>
        <w:tabs>
          <w:tab w:leader="none" w:pos="1820" w:val="left"/>
        </w:tabs>
        <w:numPr>
          <w:ilvl w:val="0"/>
          <w:numId w:val="119"/>
        </w:numPr>
        <w:rPr>
          <w:rFonts w:ascii="Arial" w:cs="Arial" w:eastAsia="Arial" w:hAnsi="Arial"/>
          <w:sz w:val="13"/>
          <w:szCs w:val="13"/>
          <w:color w:val="2952A4"/>
        </w:rPr>
      </w:pPr>
      <w:r>
        <w:rPr>
          <w:rFonts w:ascii="Arial" w:cs="Arial" w:eastAsia="Arial" w:hAnsi="Arial"/>
          <w:sz w:val="13"/>
          <w:szCs w:val="13"/>
          <w:color w:val="231F20"/>
        </w:rPr>
        <w:t>FDA approval for diabetic retinopathy</w:t>
      </w:r>
    </w:p>
    <w:p>
      <w:pPr>
        <w:ind w:left="1840" w:right="240" w:hanging="176"/>
        <w:spacing w:after="0" w:line="248" w:lineRule="auto"/>
        <w:tabs>
          <w:tab w:leader="none" w:pos="1814" w:val="left"/>
        </w:tabs>
        <w:numPr>
          <w:ilvl w:val="0"/>
          <w:numId w:val="119"/>
        </w:numPr>
        <w:rPr>
          <w:rFonts w:ascii="Arial" w:cs="Arial" w:eastAsia="Arial" w:hAnsi="Arial"/>
          <w:sz w:val="13"/>
          <w:szCs w:val="13"/>
          <w:color w:val="2952A4"/>
        </w:rPr>
      </w:pPr>
      <w:r>
        <w:rPr>
          <w:rFonts w:ascii="Arial" w:cs="Arial" w:eastAsia="Arial" w:hAnsi="Arial"/>
          <w:sz w:val="13"/>
          <w:szCs w:val="13"/>
          <w:color w:val="231F20"/>
        </w:rPr>
        <w:t>FDA approval of pre-filled syringe; 650,000 doses prepared for launch</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3"/>
          <w:szCs w:val="13"/>
          <w:b w:val="1"/>
          <w:bCs w:val="1"/>
          <w:color w:val="231F20"/>
        </w:rPr>
        <w:t>Dupixent</w:t>
      </w:r>
    </w:p>
    <w:p>
      <w:pPr>
        <w:spacing w:after="0" w:line="15" w:lineRule="exact"/>
        <w:rPr>
          <w:sz w:val="20"/>
          <w:szCs w:val="20"/>
          <w:color w:val="auto"/>
        </w:rPr>
      </w:pPr>
    </w:p>
    <w:p>
      <w:pPr>
        <w:ind w:left="1820" w:right="2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FDA and European Commission (“EC”) approval for adolescents (ages 12-17) with moderate-to-severe atopic dermatitis (“AD”)</w:t>
      </w:r>
    </w:p>
    <w:p>
      <w:pPr>
        <w:spacing w:after="0" w:line="1" w:lineRule="exact"/>
        <w:rPr>
          <w:rFonts w:ascii="Arial" w:cs="Arial" w:eastAsia="Arial" w:hAnsi="Arial"/>
          <w:sz w:val="13"/>
          <w:szCs w:val="13"/>
          <w:color w:val="2952A4"/>
        </w:rPr>
      </w:pPr>
    </w:p>
    <w:p>
      <w:pPr>
        <w:ind w:left="1820" w:right="4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Supplemental Biologics License Application (“sBLA”) and Marketing Authorization Application (“MAA”) submissions for 300mg auto-injector; MAA approval for 200 mg auto-injector (response to FDA Complete Response Letter for 200 mg in progress)</w:t>
      </w:r>
    </w:p>
    <w:p>
      <w:pPr>
        <w:spacing w:after="0" w:line="1" w:lineRule="exact"/>
        <w:rPr>
          <w:rFonts w:ascii="Arial" w:cs="Arial" w:eastAsia="Arial" w:hAnsi="Arial"/>
          <w:sz w:val="13"/>
          <w:szCs w:val="13"/>
          <w:color w:val="2952A4"/>
        </w:rPr>
      </w:pPr>
    </w:p>
    <w:p>
      <w:pPr>
        <w:jc w:val="both"/>
        <w:ind w:left="1820" w:right="32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FDA and EC approval for chronic rhinosinusitis with nasal polyposis (“CRSwNP”) (via priority review)</w:t>
      </w:r>
    </w:p>
    <w:p>
      <w:pPr>
        <w:ind w:left="1820" w:right="4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 xml:space="preserve">Positive results from two Phase 3 trials in CRSwNP published in </w:t>
      </w:r>
      <w:r>
        <w:rPr>
          <w:rFonts w:ascii="Arial" w:cs="Arial" w:eastAsia="Arial" w:hAnsi="Arial"/>
          <w:sz w:val="13"/>
          <w:szCs w:val="13"/>
          <w:i w:val="1"/>
          <w:iCs w:val="1"/>
          <w:color w:val="231F20"/>
        </w:rPr>
        <w:t>The Lancet</w:t>
      </w:r>
    </w:p>
    <w:p>
      <w:pPr>
        <w:ind w:left="182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EC approval for adults and adolescents with severe asthma</w:t>
      </w:r>
    </w:p>
    <w:p>
      <w:pPr>
        <w:ind w:left="1820" w:right="28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Positive top-line Phase 3 results in pediatric AD (ages 6-11)</w:t>
      </w:r>
    </w:p>
    <w:p>
      <w:pPr>
        <w:jc w:val="both"/>
        <w:ind w:left="1820" w:right="48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Initiated Phase 3 trial in chronic obstructive pulmonary disease</w:t>
      </w:r>
    </w:p>
    <w:p>
      <w:pPr>
        <w:ind w:left="1820" w:right="80" w:hanging="156"/>
        <w:spacing w:after="0" w:line="23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Submitted sBLA for children ≥6 to &lt;12 years with moderate to severe AD</w:t>
      </w:r>
    </w:p>
    <w:p>
      <w:pPr>
        <w:ind w:left="1820" w:right="320" w:hanging="156"/>
        <w:spacing w:after="0" w:line="248" w:lineRule="auto"/>
        <w:tabs>
          <w:tab w:leader="none" w:pos="1812" w:val="left"/>
        </w:tabs>
        <w:numPr>
          <w:ilvl w:val="0"/>
          <w:numId w:val="120"/>
        </w:numPr>
        <w:rPr>
          <w:rFonts w:ascii="Arial" w:cs="Arial" w:eastAsia="Arial" w:hAnsi="Arial"/>
          <w:sz w:val="13"/>
          <w:szCs w:val="13"/>
          <w:color w:val="2952A4"/>
        </w:rPr>
      </w:pPr>
      <w:r>
        <w:rPr>
          <w:rFonts w:ascii="Arial" w:cs="Arial" w:eastAsia="Arial" w:hAnsi="Arial"/>
          <w:sz w:val="13"/>
          <w:szCs w:val="13"/>
          <w:color w:val="231F20"/>
        </w:rPr>
        <w:t>Submitted sBLA for 2mL (300 mg) autoinjector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231F20"/>
        </w:rPr>
        <w:t>Libtayo</w:t>
      </w:r>
    </w:p>
    <w:p>
      <w:pPr>
        <w:spacing w:after="0" w:line="15" w:lineRule="exact"/>
        <w:rPr>
          <w:sz w:val="20"/>
          <w:szCs w:val="20"/>
          <w:color w:val="auto"/>
        </w:rPr>
      </w:pPr>
    </w:p>
    <w:p>
      <w:pPr>
        <w:ind w:left="163" w:right="220" w:hanging="163"/>
        <w:spacing w:after="0" w:line="238" w:lineRule="auto"/>
        <w:tabs>
          <w:tab w:leader="none" w:pos="155" w:val="left"/>
        </w:tabs>
        <w:numPr>
          <w:ilvl w:val="0"/>
          <w:numId w:val="121"/>
        </w:numPr>
        <w:rPr>
          <w:rFonts w:ascii="Arial" w:cs="Arial" w:eastAsia="Arial" w:hAnsi="Arial"/>
          <w:sz w:val="13"/>
          <w:szCs w:val="13"/>
          <w:color w:val="2952A4"/>
        </w:rPr>
      </w:pPr>
      <w:r>
        <w:rPr>
          <w:rFonts w:ascii="Arial" w:cs="Arial" w:eastAsia="Arial" w:hAnsi="Arial"/>
          <w:sz w:val="13"/>
          <w:szCs w:val="13"/>
          <w:color w:val="231F20"/>
        </w:rPr>
        <w:t>Conditional EC approval for advanced cutaneous squamous cell carcinoma (“CSCC”)</w:t>
      </w:r>
    </w:p>
    <w:p>
      <w:pPr>
        <w:ind w:left="163" w:right="60" w:hanging="163"/>
        <w:spacing w:after="0" w:line="238" w:lineRule="auto"/>
        <w:tabs>
          <w:tab w:leader="none" w:pos="155" w:val="left"/>
        </w:tabs>
        <w:numPr>
          <w:ilvl w:val="0"/>
          <w:numId w:val="121"/>
        </w:numPr>
        <w:rPr>
          <w:rFonts w:ascii="Arial" w:cs="Arial" w:eastAsia="Arial" w:hAnsi="Arial"/>
          <w:sz w:val="13"/>
          <w:szCs w:val="13"/>
          <w:color w:val="2952A4"/>
        </w:rPr>
      </w:pPr>
      <w:r>
        <w:rPr>
          <w:rFonts w:ascii="Arial" w:cs="Arial" w:eastAsia="Arial" w:hAnsi="Arial"/>
          <w:sz w:val="13"/>
          <w:szCs w:val="13"/>
          <w:color w:val="231F20"/>
        </w:rPr>
        <w:t>Updated positive Phase 2 data in CSCC; initiated Phase 3 adjuvant study</w:t>
      </w:r>
    </w:p>
    <w:p>
      <w:pPr>
        <w:ind w:left="163" w:hanging="163"/>
        <w:spacing w:after="0" w:line="241" w:lineRule="auto"/>
        <w:tabs>
          <w:tab w:leader="none" w:pos="155" w:val="left"/>
        </w:tabs>
        <w:numPr>
          <w:ilvl w:val="0"/>
          <w:numId w:val="121"/>
        </w:numPr>
        <w:rPr>
          <w:rFonts w:ascii="Arial" w:cs="Arial" w:eastAsia="Arial" w:hAnsi="Arial"/>
          <w:sz w:val="13"/>
          <w:szCs w:val="13"/>
          <w:color w:val="2952A4"/>
        </w:rPr>
      </w:pPr>
      <w:r>
        <w:rPr>
          <w:rFonts w:ascii="Arial" w:cs="Arial" w:eastAsia="Arial" w:hAnsi="Arial"/>
          <w:sz w:val="13"/>
          <w:szCs w:val="13"/>
          <w:color w:val="231F20"/>
        </w:rPr>
        <w:t>Continued to recruit in multiple registrational-intent Phase 2 and Phase 3 studies in cervical cancer, basal cell carcinoma, and non-small cell lung cancer</w:t>
      </w:r>
    </w:p>
    <w:p>
      <w:pPr>
        <w:spacing w:after="0" w:line="12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231F20"/>
        </w:rPr>
        <w:t>Praluent</w:t>
      </w:r>
    </w:p>
    <w:p>
      <w:pPr>
        <w:spacing w:after="0" w:line="15" w:lineRule="exact"/>
        <w:rPr>
          <w:sz w:val="20"/>
          <w:szCs w:val="20"/>
          <w:color w:val="auto"/>
        </w:rPr>
      </w:pPr>
    </w:p>
    <w:p>
      <w:pPr>
        <w:ind w:left="163" w:right="180" w:hanging="163"/>
        <w:spacing w:after="0" w:line="238" w:lineRule="auto"/>
        <w:tabs>
          <w:tab w:leader="none" w:pos="155" w:val="left"/>
        </w:tabs>
        <w:numPr>
          <w:ilvl w:val="0"/>
          <w:numId w:val="122"/>
        </w:numPr>
        <w:rPr>
          <w:rFonts w:ascii="Arial" w:cs="Arial" w:eastAsia="Arial" w:hAnsi="Arial"/>
          <w:sz w:val="13"/>
          <w:szCs w:val="13"/>
          <w:color w:val="2952A4"/>
        </w:rPr>
      </w:pPr>
      <w:r>
        <w:rPr>
          <w:rFonts w:ascii="Arial" w:cs="Arial" w:eastAsia="Arial" w:hAnsi="Arial"/>
          <w:sz w:val="13"/>
          <w:szCs w:val="13"/>
          <w:color w:val="231F20"/>
        </w:rPr>
        <w:t>FDA and EC approval to reduce risk of serious cardiovascular events</w:t>
      </w:r>
    </w:p>
    <w:p>
      <w:pPr>
        <w:ind w:left="163" w:right="80" w:hanging="163"/>
        <w:spacing w:after="0" w:line="238" w:lineRule="auto"/>
        <w:tabs>
          <w:tab w:leader="none" w:pos="155" w:val="left"/>
        </w:tabs>
        <w:numPr>
          <w:ilvl w:val="0"/>
          <w:numId w:val="122"/>
        </w:numPr>
        <w:rPr>
          <w:rFonts w:ascii="Arial" w:cs="Arial" w:eastAsia="Arial" w:hAnsi="Arial"/>
          <w:sz w:val="13"/>
          <w:szCs w:val="13"/>
          <w:color w:val="2952A4"/>
        </w:rPr>
      </w:pPr>
      <w:r>
        <w:rPr>
          <w:rFonts w:ascii="Arial" w:cs="Arial" w:eastAsia="Arial" w:hAnsi="Arial"/>
          <w:sz w:val="13"/>
          <w:szCs w:val="13"/>
          <w:color w:val="231F20"/>
        </w:rPr>
        <w:t>FDA approval for primary hyperlipidemia (including heterozygous familial hypercholesterolemia)</w:t>
      </w:r>
    </w:p>
    <w:p>
      <w:pPr>
        <w:ind w:left="163" w:hanging="163"/>
        <w:spacing w:after="0" w:line="243" w:lineRule="auto"/>
        <w:tabs>
          <w:tab w:leader="none" w:pos="155" w:val="left"/>
        </w:tabs>
        <w:numPr>
          <w:ilvl w:val="0"/>
          <w:numId w:val="122"/>
        </w:numPr>
        <w:rPr>
          <w:rFonts w:ascii="Arial" w:cs="Arial" w:eastAsia="Arial" w:hAnsi="Arial"/>
          <w:sz w:val="13"/>
          <w:szCs w:val="13"/>
          <w:color w:val="2952A4"/>
        </w:rPr>
      </w:pPr>
      <w:r>
        <w:rPr>
          <w:rFonts w:ascii="Arial" w:cs="Arial" w:eastAsia="Arial" w:hAnsi="Arial"/>
          <w:sz w:val="13"/>
          <w:szCs w:val="13"/>
          <w:color w:val="231F20"/>
        </w:rPr>
        <w:t>Phase 3 read-out for homozygous familial hypercholesterolemia (“HoFH”) lipid-lowering study</w:t>
      </w:r>
    </w:p>
    <w:p>
      <w:pPr>
        <w:spacing w:after="0" w:line="12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231F20"/>
        </w:rPr>
        <w:t>REGN-EB3</w:t>
      </w:r>
    </w:p>
    <w:p>
      <w:pPr>
        <w:spacing w:after="0" w:line="15" w:lineRule="exact"/>
        <w:rPr>
          <w:sz w:val="20"/>
          <w:szCs w:val="20"/>
          <w:color w:val="auto"/>
        </w:rPr>
      </w:pPr>
    </w:p>
    <w:p>
      <w:pPr>
        <w:ind w:left="163" w:right="40" w:hanging="163"/>
        <w:spacing w:after="0" w:line="238" w:lineRule="auto"/>
        <w:tabs>
          <w:tab w:leader="none" w:pos="155" w:val="left"/>
        </w:tabs>
        <w:numPr>
          <w:ilvl w:val="0"/>
          <w:numId w:val="123"/>
        </w:numPr>
        <w:rPr>
          <w:rFonts w:ascii="Arial" w:cs="Arial" w:eastAsia="Arial" w:hAnsi="Arial"/>
          <w:sz w:val="13"/>
          <w:szCs w:val="13"/>
          <w:color w:val="2952A4"/>
        </w:rPr>
      </w:pPr>
      <w:r>
        <w:rPr>
          <w:rFonts w:ascii="Arial" w:cs="Arial" w:eastAsia="Arial" w:hAnsi="Arial"/>
          <w:sz w:val="13"/>
          <w:szCs w:val="13"/>
          <w:color w:val="231F20"/>
        </w:rPr>
        <w:t xml:space="preserve">Four-agent trial stopped early due to REGN-EB3 superiority to ZMapp control; full data published in </w:t>
      </w:r>
      <w:r>
        <w:rPr>
          <w:rFonts w:ascii="Arial" w:cs="Arial" w:eastAsia="Arial" w:hAnsi="Arial"/>
          <w:sz w:val="13"/>
          <w:szCs w:val="13"/>
          <w:i w:val="1"/>
          <w:iCs w:val="1"/>
          <w:color w:val="231F20"/>
        </w:rPr>
        <w:t>New England</w:t>
      </w:r>
      <w:r>
        <w:rPr>
          <w:rFonts w:ascii="Arial" w:cs="Arial" w:eastAsia="Arial" w:hAnsi="Arial"/>
          <w:sz w:val="13"/>
          <w:szCs w:val="13"/>
          <w:color w:val="231F20"/>
        </w:rPr>
        <w:t xml:space="preserve"> </w:t>
      </w:r>
      <w:r>
        <w:rPr>
          <w:rFonts w:ascii="Arial" w:cs="Arial" w:eastAsia="Arial" w:hAnsi="Arial"/>
          <w:sz w:val="13"/>
          <w:szCs w:val="13"/>
          <w:i w:val="1"/>
          <w:iCs w:val="1"/>
          <w:color w:val="231F20"/>
        </w:rPr>
        <w:t>Journal of Medicine</w:t>
      </w:r>
    </w:p>
    <w:p>
      <w:pPr>
        <w:spacing w:after="0" w:line="1" w:lineRule="exact"/>
        <w:rPr>
          <w:rFonts w:ascii="Arial" w:cs="Arial" w:eastAsia="Arial" w:hAnsi="Arial"/>
          <w:sz w:val="13"/>
          <w:szCs w:val="13"/>
          <w:color w:val="2952A4"/>
        </w:rPr>
      </w:pPr>
    </w:p>
    <w:p>
      <w:pPr>
        <w:ind w:left="163" w:right="400" w:hanging="163"/>
        <w:spacing w:after="0" w:line="238" w:lineRule="auto"/>
        <w:tabs>
          <w:tab w:leader="none" w:pos="155" w:val="left"/>
        </w:tabs>
        <w:numPr>
          <w:ilvl w:val="0"/>
          <w:numId w:val="123"/>
        </w:numPr>
        <w:rPr>
          <w:rFonts w:ascii="Arial" w:cs="Arial" w:eastAsia="Arial" w:hAnsi="Arial"/>
          <w:sz w:val="13"/>
          <w:szCs w:val="13"/>
          <w:color w:val="2952A4"/>
        </w:rPr>
      </w:pPr>
      <w:r>
        <w:rPr>
          <w:rFonts w:ascii="Arial" w:cs="Arial" w:eastAsia="Arial" w:hAnsi="Arial"/>
          <w:sz w:val="13"/>
          <w:szCs w:val="13"/>
          <w:color w:val="231F20"/>
        </w:rPr>
        <w:t>Breakthrough Therapy designation granted by FDA</w:t>
      </w:r>
    </w:p>
    <w:p>
      <w:pPr>
        <w:ind w:left="163" w:right="480" w:hanging="163"/>
        <w:spacing w:after="0" w:line="248" w:lineRule="auto"/>
        <w:tabs>
          <w:tab w:leader="none" w:pos="155" w:val="left"/>
        </w:tabs>
        <w:numPr>
          <w:ilvl w:val="0"/>
          <w:numId w:val="123"/>
        </w:numPr>
        <w:rPr>
          <w:rFonts w:ascii="Arial" w:cs="Arial" w:eastAsia="Arial" w:hAnsi="Arial"/>
          <w:sz w:val="13"/>
          <w:szCs w:val="13"/>
          <w:color w:val="2952A4"/>
        </w:rPr>
      </w:pPr>
      <w:r>
        <w:rPr>
          <w:rFonts w:ascii="Arial" w:cs="Arial" w:eastAsia="Arial" w:hAnsi="Arial"/>
          <w:sz w:val="13"/>
          <w:szCs w:val="13"/>
          <w:color w:val="231F20"/>
        </w:rPr>
        <w:t>Rolling BLA submission for Ebola underway</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231F20"/>
        </w:rPr>
        <w:t>Evinacumab (ANGPTL3)</w:t>
      </w:r>
    </w:p>
    <w:p>
      <w:pPr>
        <w:spacing w:after="0" w:line="15" w:lineRule="exact"/>
        <w:rPr>
          <w:sz w:val="20"/>
          <w:szCs w:val="20"/>
          <w:color w:val="auto"/>
        </w:rPr>
      </w:pPr>
    </w:p>
    <w:p>
      <w:pPr>
        <w:ind w:left="163" w:hanging="163"/>
        <w:spacing w:after="0"/>
        <w:tabs>
          <w:tab w:leader="none" w:pos="163" w:val="left"/>
        </w:tabs>
        <w:numPr>
          <w:ilvl w:val="0"/>
          <w:numId w:val="124"/>
        </w:numPr>
        <w:rPr>
          <w:rFonts w:ascii="Arial" w:cs="Arial" w:eastAsia="Arial" w:hAnsi="Arial"/>
          <w:sz w:val="13"/>
          <w:szCs w:val="13"/>
          <w:color w:val="2952A4"/>
        </w:rPr>
      </w:pPr>
      <w:r>
        <w:rPr>
          <w:rFonts w:ascii="Arial" w:cs="Arial" w:eastAsia="Arial" w:hAnsi="Arial"/>
          <w:sz w:val="13"/>
          <w:szCs w:val="13"/>
          <w:color w:val="231F20"/>
        </w:rPr>
        <w:t>Positive Phase 3 results in HoFH</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231F20"/>
        </w:rPr>
        <w:t>Fasinumab (NGF)</w:t>
      </w:r>
    </w:p>
    <w:p>
      <w:pPr>
        <w:spacing w:after="0" w:line="15" w:lineRule="exact"/>
        <w:rPr>
          <w:sz w:val="20"/>
          <w:szCs w:val="20"/>
          <w:color w:val="auto"/>
        </w:rPr>
      </w:pPr>
    </w:p>
    <w:p>
      <w:pPr>
        <w:ind w:left="163" w:hanging="163"/>
        <w:spacing w:after="0" w:line="248" w:lineRule="auto"/>
        <w:tabs>
          <w:tab w:leader="none" w:pos="155" w:val="left"/>
        </w:tabs>
        <w:numPr>
          <w:ilvl w:val="0"/>
          <w:numId w:val="125"/>
        </w:numPr>
        <w:rPr>
          <w:rFonts w:ascii="Arial" w:cs="Arial" w:eastAsia="Arial" w:hAnsi="Arial"/>
          <w:sz w:val="13"/>
          <w:szCs w:val="13"/>
          <w:color w:val="2952A4"/>
        </w:rPr>
      </w:pPr>
      <w:r>
        <w:rPr>
          <w:rFonts w:ascii="Arial" w:cs="Arial" w:eastAsia="Arial" w:hAnsi="Arial"/>
          <w:sz w:val="13"/>
          <w:szCs w:val="13"/>
          <w:color w:val="231F20"/>
        </w:rPr>
        <w:t>Completed enrollment in Phase 3 efficacy and safety studies in osteoarthritis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41910</wp:posOffset>
            </wp:positionV>
            <wp:extent cx="5143500" cy="2311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231F20"/>
        </w:rPr>
        <w:t>Garetosmab (Activin A)</w:t>
      </w:r>
    </w:p>
    <w:p>
      <w:pPr>
        <w:spacing w:after="0" w:line="15" w:lineRule="exact"/>
        <w:rPr>
          <w:sz w:val="20"/>
          <w:szCs w:val="20"/>
          <w:color w:val="auto"/>
        </w:rPr>
      </w:pPr>
    </w:p>
    <w:p>
      <w:pPr>
        <w:ind w:left="169" w:right="1740" w:hanging="169"/>
        <w:spacing w:after="0" w:line="241" w:lineRule="auto"/>
        <w:tabs>
          <w:tab w:leader="none" w:pos="161" w:val="left"/>
        </w:tabs>
        <w:numPr>
          <w:ilvl w:val="0"/>
          <w:numId w:val="126"/>
        </w:numPr>
        <w:rPr>
          <w:rFonts w:ascii="Arial" w:cs="Arial" w:eastAsia="Arial" w:hAnsi="Arial"/>
          <w:sz w:val="13"/>
          <w:szCs w:val="13"/>
          <w:color w:val="2952A4"/>
        </w:rPr>
      </w:pPr>
      <w:r>
        <w:rPr>
          <w:rFonts w:ascii="Arial" w:cs="Arial" w:eastAsia="Arial" w:hAnsi="Arial"/>
          <w:sz w:val="13"/>
          <w:szCs w:val="13"/>
          <w:color w:val="231F20"/>
        </w:rPr>
        <w:t>Completed enrollment and final visit for double blind (pivotal) portion of the Phase 2 study in fibrodysplasia ossificans progressiva</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231F20"/>
        </w:rPr>
        <w:t>Other Investigational Compounds</w:t>
      </w:r>
    </w:p>
    <w:p>
      <w:pPr>
        <w:spacing w:after="0" w:line="15" w:lineRule="exact"/>
        <w:rPr>
          <w:sz w:val="20"/>
          <w:szCs w:val="20"/>
          <w:color w:val="auto"/>
        </w:rPr>
      </w:pPr>
    </w:p>
    <w:p>
      <w:pPr>
        <w:ind w:left="169" w:right="1800" w:hanging="169"/>
        <w:spacing w:after="0" w:line="238" w:lineRule="auto"/>
        <w:tabs>
          <w:tab w:leader="none" w:pos="161" w:val="left"/>
        </w:tabs>
        <w:numPr>
          <w:ilvl w:val="0"/>
          <w:numId w:val="127"/>
        </w:numPr>
        <w:rPr>
          <w:rFonts w:ascii="Arial" w:cs="Arial" w:eastAsia="Arial" w:hAnsi="Arial"/>
          <w:sz w:val="13"/>
          <w:szCs w:val="13"/>
          <w:color w:val="2952A4"/>
        </w:rPr>
      </w:pPr>
      <w:r>
        <w:rPr>
          <w:rFonts w:ascii="Arial" w:cs="Arial" w:eastAsia="Arial" w:hAnsi="Arial"/>
          <w:sz w:val="13"/>
          <w:szCs w:val="13"/>
          <w:color w:val="231F20"/>
        </w:rPr>
        <w:t>REGN3500 (IL-33) in asthma: positive Phase 2 results</w:t>
      </w:r>
    </w:p>
    <w:p>
      <w:pPr>
        <w:ind w:left="169" w:right="1740" w:hanging="169"/>
        <w:spacing w:after="0" w:line="238" w:lineRule="auto"/>
        <w:tabs>
          <w:tab w:leader="none" w:pos="161" w:val="left"/>
        </w:tabs>
        <w:numPr>
          <w:ilvl w:val="0"/>
          <w:numId w:val="127"/>
        </w:numPr>
        <w:rPr>
          <w:rFonts w:ascii="Arial" w:cs="Arial" w:eastAsia="Arial" w:hAnsi="Arial"/>
          <w:sz w:val="13"/>
          <w:szCs w:val="13"/>
          <w:color w:val="2952A4"/>
        </w:rPr>
      </w:pPr>
      <w:r>
        <w:rPr>
          <w:rFonts w:ascii="Arial" w:cs="Arial" w:eastAsia="Arial" w:hAnsi="Arial"/>
          <w:sz w:val="13"/>
          <w:szCs w:val="13"/>
          <w:color w:val="231F20"/>
        </w:rPr>
        <w:t>REGN1908-1909 (Feld1) in cat allergy: initiated Phase 2 study</w:t>
      </w:r>
    </w:p>
    <w:p>
      <w:pPr>
        <w:ind w:left="169" w:right="1680" w:hanging="169"/>
        <w:spacing w:after="0" w:line="238" w:lineRule="auto"/>
        <w:tabs>
          <w:tab w:leader="none" w:pos="161" w:val="left"/>
        </w:tabs>
        <w:numPr>
          <w:ilvl w:val="0"/>
          <w:numId w:val="127"/>
        </w:numPr>
        <w:rPr>
          <w:rFonts w:ascii="Arial" w:cs="Arial" w:eastAsia="Arial" w:hAnsi="Arial"/>
          <w:sz w:val="13"/>
          <w:szCs w:val="13"/>
          <w:color w:val="2952A4"/>
        </w:rPr>
      </w:pPr>
      <w:r>
        <w:rPr>
          <w:rFonts w:ascii="Arial" w:cs="Arial" w:eastAsia="Arial" w:hAnsi="Arial"/>
          <w:sz w:val="13"/>
          <w:szCs w:val="13"/>
          <w:color w:val="231F20"/>
        </w:rPr>
        <w:t>Pozelimab (C5) in paroxysmal nocturnal hemoglobinuria: declared proof of concept and initiated Phase 3 program</w:t>
      </w:r>
    </w:p>
    <w:p>
      <w:pPr>
        <w:ind w:left="169" w:right="1860" w:hanging="169"/>
        <w:spacing w:after="0" w:line="238" w:lineRule="auto"/>
        <w:tabs>
          <w:tab w:leader="none" w:pos="161" w:val="left"/>
        </w:tabs>
        <w:numPr>
          <w:ilvl w:val="0"/>
          <w:numId w:val="127"/>
        </w:numPr>
        <w:rPr>
          <w:rFonts w:ascii="Arial" w:cs="Arial" w:eastAsia="Arial" w:hAnsi="Arial"/>
          <w:sz w:val="13"/>
          <w:szCs w:val="13"/>
          <w:color w:val="2952A4"/>
        </w:rPr>
      </w:pPr>
      <w:r>
        <w:rPr>
          <w:rFonts w:ascii="Arial" w:cs="Arial" w:eastAsia="Arial" w:hAnsi="Arial"/>
          <w:sz w:val="13"/>
          <w:szCs w:val="13"/>
          <w:color w:val="231F20"/>
        </w:rPr>
        <w:t>REGN5096 (GFRa3) in osteoarthritis pain: initiated Phase 2 study</w:t>
      </w:r>
    </w:p>
    <w:p>
      <w:pPr>
        <w:ind w:left="169" w:right="1660" w:hanging="169"/>
        <w:spacing w:after="0" w:line="238" w:lineRule="auto"/>
        <w:tabs>
          <w:tab w:leader="none" w:pos="161" w:val="left"/>
        </w:tabs>
        <w:numPr>
          <w:ilvl w:val="0"/>
          <w:numId w:val="127"/>
        </w:numPr>
        <w:rPr>
          <w:rFonts w:ascii="Arial" w:cs="Arial" w:eastAsia="Arial" w:hAnsi="Arial"/>
          <w:sz w:val="13"/>
          <w:szCs w:val="13"/>
          <w:color w:val="2952A4"/>
        </w:rPr>
      </w:pPr>
      <w:r>
        <w:rPr>
          <w:rFonts w:ascii="Arial" w:cs="Arial" w:eastAsia="Arial" w:hAnsi="Arial"/>
          <w:sz w:val="13"/>
          <w:szCs w:val="13"/>
          <w:color w:val="231F20"/>
        </w:rPr>
        <w:t>REGN1979 (CD20XCD3) in non-Hodgkin lymphoma (“NHL”): positive Phase 1 results in relapsed/refractory B-cell NHL; initiated registrational-intent Phase 2 study in relapsed/refractory follicular lymphoma; amendment to expand Phase 2 study into multiple other NHL subtypes is pending at sites</w:t>
      </w:r>
    </w:p>
    <w:p>
      <w:pPr>
        <w:spacing w:after="0" w:line="2" w:lineRule="exact"/>
        <w:rPr>
          <w:rFonts w:ascii="Arial" w:cs="Arial" w:eastAsia="Arial" w:hAnsi="Arial"/>
          <w:sz w:val="13"/>
          <w:szCs w:val="13"/>
          <w:color w:val="2952A4"/>
        </w:rPr>
      </w:pPr>
    </w:p>
    <w:p>
      <w:pPr>
        <w:ind w:left="169" w:right="2000" w:hanging="169"/>
        <w:spacing w:after="0" w:line="289" w:lineRule="auto"/>
        <w:tabs>
          <w:tab w:leader="none" w:pos="161" w:val="left"/>
        </w:tabs>
        <w:numPr>
          <w:ilvl w:val="0"/>
          <w:numId w:val="127"/>
        </w:numPr>
        <w:rPr>
          <w:rFonts w:ascii="Arial" w:cs="Arial" w:eastAsia="Arial" w:hAnsi="Arial"/>
          <w:sz w:val="12"/>
          <w:szCs w:val="12"/>
          <w:color w:val="2952A4"/>
        </w:rPr>
      </w:pPr>
      <w:r>
        <w:rPr>
          <w:rFonts w:ascii="Arial" w:cs="Arial" w:eastAsia="Arial" w:hAnsi="Arial"/>
          <w:sz w:val="12"/>
          <w:szCs w:val="12"/>
          <w:color w:val="231F20"/>
        </w:rPr>
        <w:t>Narrowed development scope of evinacumab beyond rare diseases</w:t>
      </w:r>
    </w:p>
    <w:p>
      <w:pPr>
        <w:spacing w:after="0" w:line="1892" w:lineRule="exact"/>
        <w:rPr>
          <w:sz w:val="20"/>
          <w:szCs w:val="20"/>
          <w:color w:val="auto"/>
        </w:rPr>
      </w:pPr>
    </w:p>
    <w:p>
      <w:pPr>
        <w:sectPr>
          <w:pgSz w:w="11900" w:h="16838" w:orient="portrait"/>
          <w:cols w:equalWidth="0" w:num="3">
            <w:col w:w="4100" w:space="237"/>
            <w:col w:w="2563" w:space="191"/>
            <w:col w:w="4149"/>
          </w:cols>
          <w:pgMar w:left="320" w:top="405" w:right="339" w:bottom="1440" w:gutter="0" w:footer="0" w:header="0"/>
          <w:type w:val="continuous"/>
        </w:sectPr>
      </w:pPr>
    </w:p>
    <w:p>
      <w:pPr>
        <w:ind w:left="1660"/>
        <w:spacing w:after="0"/>
        <w:rPr>
          <w:sz w:val="20"/>
          <w:szCs w:val="20"/>
          <w:color w:val="auto"/>
        </w:rPr>
      </w:pPr>
      <w:r>
        <w:rPr>
          <w:rFonts w:ascii="Arial" w:cs="Arial" w:eastAsia="Arial" w:hAnsi="Arial"/>
          <w:sz w:val="17"/>
          <w:szCs w:val="17"/>
          <w:b w:val="1"/>
          <w:bCs w:val="1"/>
          <w:color w:val="C04C57"/>
        </w:rPr>
        <w:t>Progress in Earlier-Stage Clinical Programs; New Candidates into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64135</wp:posOffset>
            </wp:positionV>
            <wp:extent cx="5143500" cy="3346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334645"/>
                    </a:xfrm>
                    <a:prstGeom prst="rect">
                      <a:avLst/>
                    </a:prstGeom>
                    <a:noFill/>
                  </pic:spPr>
                </pic:pic>
              </a:graphicData>
            </a:graphic>
          </wp:anchor>
        </w:drawing>
      </w:r>
    </w:p>
    <w:p>
      <w:pPr>
        <w:spacing w:after="0" w:line="83" w:lineRule="exact"/>
        <w:rPr>
          <w:sz w:val="20"/>
          <w:szCs w:val="20"/>
          <w:color w:val="auto"/>
        </w:rPr>
      </w:pPr>
    </w:p>
    <w:p>
      <w:pPr>
        <w:ind w:left="1820" w:hanging="156"/>
        <w:spacing w:after="0"/>
        <w:tabs>
          <w:tab w:leader="none" w:pos="1820" w:val="left"/>
        </w:tabs>
        <w:numPr>
          <w:ilvl w:val="0"/>
          <w:numId w:val="128"/>
        </w:numPr>
        <w:rPr>
          <w:rFonts w:ascii="Arial" w:cs="Arial" w:eastAsia="Arial" w:hAnsi="Arial"/>
          <w:sz w:val="13"/>
          <w:szCs w:val="13"/>
          <w:color w:val="2952A4"/>
        </w:rPr>
      </w:pPr>
      <w:r>
        <w:rPr>
          <w:rFonts w:ascii="Arial" w:cs="Arial" w:eastAsia="Arial" w:hAnsi="Arial"/>
          <w:sz w:val="13"/>
          <w:szCs w:val="13"/>
          <w:color w:val="231F20"/>
        </w:rPr>
        <w:t>Data readouts and key publications from existing Phase 1 studies</w:t>
      </w:r>
    </w:p>
    <w:p>
      <w:pPr>
        <w:ind w:left="1820" w:hanging="156"/>
        <w:spacing w:after="0"/>
        <w:tabs>
          <w:tab w:leader="none" w:pos="1820" w:val="left"/>
        </w:tabs>
        <w:numPr>
          <w:ilvl w:val="0"/>
          <w:numId w:val="128"/>
        </w:numPr>
        <w:rPr>
          <w:rFonts w:ascii="Arial" w:cs="Arial" w:eastAsia="Arial" w:hAnsi="Arial"/>
          <w:sz w:val="13"/>
          <w:szCs w:val="13"/>
          <w:color w:val="2952A4"/>
        </w:rPr>
      </w:pPr>
      <w:r>
        <w:rPr>
          <w:rFonts w:ascii="Arial" w:cs="Arial" w:eastAsia="Arial" w:hAnsi="Arial"/>
          <w:sz w:val="13"/>
          <w:szCs w:val="13"/>
          <w:color w:val="231F20"/>
        </w:rPr>
        <w:t>Initiation of new Phase 1 studies</w:t>
      </w:r>
    </w:p>
    <w:p>
      <w:pPr>
        <w:ind w:left="1820" w:hanging="156"/>
        <w:spacing w:after="0"/>
        <w:tabs>
          <w:tab w:leader="none" w:pos="1820" w:val="left"/>
        </w:tabs>
        <w:numPr>
          <w:ilvl w:val="0"/>
          <w:numId w:val="128"/>
        </w:numPr>
        <w:rPr>
          <w:rFonts w:ascii="Arial" w:cs="Arial" w:eastAsia="Arial" w:hAnsi="Arial"/>
          <w:sz w:val="13"/>
          <w:szCs w:val="13"/>
          <w:color w:val="2952A4"/>
        </w:rPr>
      </w:pPr>
      <w:r>
        <w:rPr>
          <w:rFonts w:ascii="Arial" w:cs="Arial" w:eastAsia="Arial" w:hAnsi="Arial"/>
          <w:sz w:val="13"/>
          <w:szCs w:val="13"/>
          <w:color w:val="231F20"/>
        </w:rPr>
        <w:t>Notable early research milestones and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1423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1423035"/>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ectPr>
          <w:pgSz w:w="11900" w:h="16838" w:orient="portrait"/>
          <w:cols w:equalWidth="0" w:num="1">
            <w:col w:w="11240"/>
          </w:cols>
          <w:pgMar w:left="320" w:top="405" w:right="339" w:bottom="1440" w:gutter="0" w:footer="0" w:header="0"/>
          <w:type w:val="continuous"/>
        </w:sectPr>
      </w:pPr>
    </w:p>
    <w:p>
      <w:pPr>
        <w:spacing w:after="0" w:line="104" w:lineRule="exact"/>
        <w:rPr>
          <w:sz w:val="20"/>
          <w:szCs w:val="20"/>
          <w:color w:val="auto"/>
        </w:rPr>
      </w:pPr>
    </w:p>
    <w:p>
      <w:pPr>
        <w:ind w:left="1820" w:right="20" w:hanging="156"/>
        <w:spacing w:after="0" w:line="238" w:lineRule="auto"/>
        <w:tabs>
          <w:tab w:leader="none" w:pos="1812" w:val="left"/>
        </w:tabs>
        <w:numPr>
          <w:ilvl w:val="0"/>
          <w:numId w:val="129"/>
        </w:numPr>
        <w:rPr>
          <w:rFonts w:ascii="Arial" w:cs="Arial" w:eastAsia="Arial" w:hAnsi="Arial"/>
          <w:sz w:val="13"/>
          <w:szCs w:val="13"/>
          <w:color w:val="2952A4"/>
        </w:rPr>
      </w:pPr>
      <w:r>
        <w:rPr>
          <w:rFonts w:ascii="Arial" w:cs="Arial" w:eastAsia="Arial" w:hAnsi="Arial"/>
          <w:sz w:val="13"/>
          <w:szCs w:val="13"/>
          <w:color w:val="231F20"/>
        </w:rPr>
        <w:t>Overall, 85 clinical studies in progress (or planned through December 2019) involving 6,800 new patient volunteers in 53 countries vs. 61 clinical trials of 5,600 patients in 44 countries in 2018</w:t>
      </w:r>
    </w:p>
    <w:p>
      <w:pPr>
        <w:spacing w:after="0" w:line="1" w:lineRule="exact"/>
        <w:rPr>
          <w:rFonts w:ascii="Arial" w:cs="Arial" w:eastAsia="Arial" w:hAnsi="Arial"/>
          <w:sz w:val="13"/>
          <w:szCs w:val="13"/>
          <w:color w:val="2952A4"/>
        </w:rPr>
      </w:pPr>
    </w:p>
    <w:p>
      <w:pPr>
        <w:ind w:left="1820" w:right="80" w:hanging="156"/>
        <w:spacing w:after="0" w:line="238" w:lineRule="auto"/>
        <w:tabs>
          <w:tab w:leader="none" w:pos="1812" w:val="left"/>
        </w:tabs>
        <w:numPr>
          <w:ilvl w:val="0"/>
          <w:numId w:val="129"/>
        </w:numPr>
        <w:rPr>
          <w:rFonts w:ascii="Arial" w:cs="Arial" w:eastAsia="Arial" w:hAnsi="Arial"/>
          <w:sz w:val="13"/>
          <w:szCs w:val="13"/>
          <w:color w:val="2952A4"/>
        </w:rPr>
      </w:pPr>
      <w:r>
        <w:rPr>
          <w:rFonts w:ascii="Arial" w:cs="Arial" w:eastAsia="Arial" w:hAnsi="Arial"/>
          <w:sz w:val="13"/>
          <w:szCs w:val="13"/>
          <w:color w:val="231F20"/>
        </w:rPr>
        <w:t>REGN5458 and REGN5459 (BCMAXCD3) in multiple myeloma: initiated Phase 1 studies; received encouraging first data from advanced myeloma patients</w:t>
      </w:r>
    </w:p>
    <w:p>
      <w:pPr>
        <w:spacing w:after="0" w:line="1" w:lineRule="exact"/>
        <w:rPr>
          <w:rFonts w:ascii="Arial" w:cs="Arial" w:eastAsia="Arial" w:hAnsi="Arial"/>
          <w:sz w:val="13"/>
          <w:szCs w:val="13"/>
          <w:color w:val="2952A4"/>
        </w:rPr>
      </w:pPr>
    </w:p>
    <w:p>
      <w:pPr>
        <w:ind w:left="1820" w:hanging="156"/>
        <w:spacing w:after="0" w:line="248" w:lineRule="auto"/>
        <w:tabs>
          <w:tab w:leader="none" w:pos="1812" w:val="left"/>
        </w:tabs>
        <w:numPr>
          <w:ilvl w:val="0"/>
          <w:numId w:val="129"/>
        </w:numPr>
        <w:rPr>
          <w:rFonts w:ascii="Arial" w:cs="Arial" w:eastAsia="Arial" w:hAnsi="Arial"/>
          <w:sz w:val="13"/>
          <w:szCs w:val="13"/>
          <w:color w:val="2952A4"/>
        </w:rPr>
      </w:pPr>
      <w:r>
        <w:rPr>
          <w:rFonts w:ascii="Arial" w:cs="Arial" w:eastAsia="Arial" w:hAnsi="Arial"/>
          <w:sz w:val="13"/>
          <w:szCs w:val="13"/>
          <w:color w:val="231F20"/>
        </w:rPr>
        <w:t>REGN5713-5714-5715 (Betv1) in birch allergy: initiated Phase 1 study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63" w:hanging="163"/>
        <w:spacing w:after="0" w:line="238" w:lineRule="auto"/>
        <w:tabs>
          <w:tab w:leader="none" w:pos="155" w:val="left"/>
        </w:tabs>
        <w:numPr>
          <w:ilvl w:val="0"/>
          <w:numId w:val="130"/>
        </w:numPr>
        <w:rPr>
          <w:rFonts w:ascii="Arial" w:cs="Arial" w:eastAsia="Arial" w:hAnsi="Arial"/>
          <w:sz w:val="13"/>
          <w:szCs w:val="13"/>
          <w:color w:val="2952A4"/>
        </w:rPr>
      </w:pPr>
      <w:r>
        <w:rPr>
          <w:rFonts w:ascii="Arial" w:cs="Arial" w:eastAsia="Arial" w:hAnsi="Arial"/>
          <w:sz w:val="13"/>
          <w:szCs w:val="13"/>
          <w:color w:val="231F20"/>
        </w:rPr>
        <w:t>REGN5093 (METXMET) in MET-altered advanced non-small cell lung cancer: initiated Phase 1 study</w:t>
      </w:r>
    </w:p>
    <w:p>
      <w:pPr>
        <w:ind w:left="163" w:right="80" w:hanging="163"/>
        <w:spacing w:after="0" w:line="238" w:lineRule="auto"/>
        <w:tabs>
          <w:tab w:leader="none" w:pos="155" w:val="left"/>
        </w:tabs>
        <w:numPr>
          <w:ilvl w:val="0"/>
          <w:numId w:val="130"/>
        </w:numPr>
        <w:rPr>
          <w:rFonts w:ascii="Arial" w:cs="Arial" w:eastAsia="Arial" w:hAnsi="Arial"/>
          <w:sz w:val="13"/>
          <w:szCs w:val="13"/>
          <w:color w:val="2952A4"/>
        </w:rPr>
      </w:pPr>
      <w:r>
        <w:rPr>
          <w:rFonts w:ascii="Arial" w:cs="Arial" w:eastAsia="Arial" w:hAnsi="Arial"/>
          <w:sz w:val="13"/>
          <w:szCs w:val="13"/>
          <w:color w:val="231F20"/>
        </w:rPr>
        <w:t>REGN5678 (PSMAXCD28) in prostate cancer: initiated Phase 1 study</w:t>
      </w:r>
    </w:p>
    <w:p>
      <w:pPr>
        <w:ind w:left="163" w:right="60" w:hanging="163"/>
        <w:spacing w:after="0" w:line="241" w:lineRule="auto"/>
        <w:tabs>
          <w:tab w:leader="none" w:pos="155" w:val="left"/>
        </w:tabs>
        <w:numPr>
          <w:ilvl w:val="0"/>
          <w:numId w:val="130"/>
        </w:numPr>
        <w:rPr>
          <w:rFonts w:ascii="Arial" w:cs="Arial" w:eastAsia="Arial" w:hAnsi="Arial"/>
          <w:sz w:val="13"/>
          <w:szCs w:val="13"/>
          <w:color w:val="2952A4"/>
        </w:rPr>
      </w:pPr>
      <w:r>
        <w:rPr>
          <w:rFonts w:ascii="Arial" w:cs="Arial" w:eastAsia="Arial" w:hAnsi="Arial"/>
          <w:sz w:val="13"/>
          <w:szCs w:val="13"/>
          <w:color w:val="231F20"/>
        </w:rPr>
        <w:t>Collaboration with Alnylam Pharmaceuticals, Inc. to discover and develop RNA interference therapeutics for ocular and central nervous system diseases; 7 targets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369570</wp:posOffset>
            </wp:positionV>
            <wp:extent cx="51435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69" w:right="1780" w:hanging="169"/>
        <w:spacing w:after="0" w:line="216" w:lineRule="auto"/>
        <w:tabs>
          <w:tab w:leader="none" w:pos="161" w:val="left"/>
        </w:tabs>
        <w:numPr>
          <w:ilvl w:val="0"/>
          <w:numId w:val="131"/>
        </w:numPr>
        <w:rPr>
          <w:rFonts w:ascii="Arial" w:cs="Arial" w:eastAsia="Arial" w:hAnsi="Arial"/>
          <w:sz w:val="13"/>
          <w:szCs w:val="13"/>
          <w:color w:val="2952A4"/>
        </w:rPr>
      </w:pPr>
      <w:r>
        <w:rPr>
          <w:rFonts w:ascii="Arial" w:cs="Arial" w:eastAsia="Arial" w:hAnsi="Arial"/>
          <w:sz w:val="13"/>
          <w:szCs w:val="13"/>
          <w:color w:val="231F20"/>
        </w:rPr>
        <w:t>First 50,000 exomes from UK Biobank health resource sequenced by the Regeneron Genetics Center</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(“RGC”) and publicly released</w:t>
      </w:r>
    </w:p>
    <w:p>
      <w:pPr>
        <w:ind w:left="169" w:right="1860" w:hanging="169"/>
        <w:spacing w:after="0" w:line="238" w:lineRule="auto"/>
        <w:tabs>
          <w:tab w:leader="none" w:pos="161" w:val="left"/>
        </w:tabs>
        <w:numPr>
          <w:ilvl w:val="0"/>
          <w:numId w:val="131"/>
        </w:numPr>
        <w:rPr>
          <w:rFonts w:ascii="Arial" w:cs="Arial" w:eastAsia="Arial" w:hAnsi="Arial"/>
          <w:sz w:val="13"/>
          <w:szCs w:val="13"/>
          <w:color w:val="2952A4"/>
        </w:rPr>
      </w:pPr>
      <w:r>
        <w:rPr>
          <w:rFonts w:ascii="Arial" w:cs="Arial" w:eastAsia="Arial" w:hAnsi="Arial"/>
          <w:sz w:val="13"/>
          <w:szCs w:val="13"/>
          <w:color w:val="231F20"/>
        </w:rPr>
        <w:t>1,000,000 exomes sequenced by the RGC (anticipated by early 2020)</w:t>
      </w:r>
    </w:p>
    <w:p>
      <w:pPr>
        <w:ind w:left="169" w:right="1720" w:hanging="169"/>
        <w:spacing w:after="0" w:line="238" w:lineRule="auto"/>
        <w:tabs>
          <w:tab w:leader="none" w:pos="161" w:val="left"/>
        </w:tabs>
        <w:numPr>
          <w:ilvl w:val="0"/>
          <w:numId w:val="131"/>
        </w:numPr>
        <w:rPr>
          <w:rFonts w:ascii="Arial" w:cs="Arial" w:eastAsia="Arial" w:hAnsi="Arial"/>
          <w:sz w:val="13"/>
          <w:szCs w:val="13"/>
          <w:color w:val="2952A4"/>
        </w:rPr>
      </w:pPr>
      <w:r>
        <w:rPr>
          <w:rFonts w:ascii="Arial" w:cs="Arial" w:eastAsia="Arial" w:hAnsi="Arial"/>
          <w:sz w:val="13"/>
          <w:szCs w:val="13"/>
          <w:color w:val="231F20"/>
        </w:rPr>
        <w:t>1,694 worldwide patents issued in 2019 (through December 1)</w:t>
      </w:r>
    </w:p>
    <w:p>
      <w:pPr>
        <w:jc w:val="both"/>
        <w:ind w:left="169" w:right="1920" w:hanging="169"/>
        <w:spacing w:after="0" w:line="238" w:lineRule="auto"/>
        <w:tabs>
          <w:tab w:leader="none" w:pos="161" w:val="left"/>
        </w:tabs>
        <w:numPr>
          <w:ilvl w:val="0"/>
          <w:numId w:val="131"/>
        </w:numPr>
        <w:rPr>
          <w:rFonts w:ascii="Arial" w:cs="Arial" w:eastAsia="Arial" w:hAnsi="Arial"/>
          <w:sz w:val="13"/>
          <w:szCs w:val="13"/>
          <w:color w:val="2952A4"/>
        </w:rPr>
      </w:pPr>
      <w:r>
        <w:rPr>
          <w:rFonts w:ascii="Arial" w:cs="Arial" w:eastAsia="Arial" w:hAnsi="Arial"/>
          <w:sz w:val="13"/>
          <w:szCs w:val="13"/>
          <w:color w:val="231F20"/>
        </w:rPr>
        <w:t>1,376 worldwide patent applications filed in 2019 (through December 1)</w:t>
      </w:r>
    </w:p>
    <w:p>
      <w:pPr>
        <w:ind w:left="169" w:right="1820" w:hanging="169"/>
        <w:spacing w:after="0" w:line="289" w:lineRule="auto"/>
        <w:tabs>
          <w:tab w:leader="none" w:pos="161" w:val="left"/>
        </w:tabs>
        <w:numPr>
          <w:ilvl w:val="0"/>
          <w:numId w:val="131"/>
        </w:numPr>
        <w:rPr>
          <w:rFonts w:ascii="Arial" w:cs="Arial" w:eastAsia="Arial" w:hAnsi="Arial"/>
          <w:sz w:val="12"/>
          <w:szCs w:val="12"/>
          <w:color w:val="2952A4"/>
        </w:rPr>
      </w:pPr>
      <w:r>
        <w:rPr>
          <w:rFonts w:ascii="Arial" w:cs="Arial" w:eastAsia="Arial" w:hAnsi="Arial"/>
          <w:sz w:val="12"/>
          <w:szCs w:val="12"/>
          <w:color w:val="231F20"/>
        </w:rPr>
        <w:t>83 peer-reviewed publications from January through mid-October of 2019</w:t>
      </w:r>
    </w:p>
    <w:p>
      <w:pPr>
        <w:spacing w:after="0" w:line="200" w:lineRule="exact"/>
        <w:rPr>
          <w:sz w:val="20"/>
          <w:szCs w:val="20"/>
          <w:color w:val="auto"/>
        </w:rPr>
      </w:pPr>
    </w:p>
    <w:p>
      <w:pPr>
        <w:sectPr>
          <w:pgSz w:w="11900" w:h="16838" w:orient="portrait"/>
          <w:cols w:equalWidth="0" w:num="3">
            <w:col w:w="4060" w:space="277"/>
            <w:col w:w="2463" w:space="291"/>
            <w:col w:w="4149"/>
          </w:cols>
          <w:pgMar w:left="320" w:top="405" w:right="339" w:bottom="1440" w:gutter="0" w:footer="0" w:header="0"/>
          <w:type w:val="continuous"/>
        </w:sectPr>
      </w:pPr>
    </w:p>
    <w:p>
      <w:pPr>
        <w:spacing w:after="0" w:line="130" w:lineRule="exact"/>
        <w:rPr>
          <w:sz w:val="20"/>
          <w:szCs w:val="20"/>
          <w:color w:val="auto"/>
        </w:rPr>
      </w:pPr>
    </w:p>
    <w:p>
      <w:pPr>
        <w:ind w:left="1740" w:right="1660" w:hanging="166"/>
        <w:spacing w:after="0" w:line="258" w:lineRule="auto"/>
        <w:tabs>
          <w:tab w:leader="none" w:pos="1740" w:val="left"/>
        </w:tabs>
        <w:numPr>
          <w:ilvl w:val="0"/>
          <w:numId w:val="132"/>
        </w:numPr>
        <w:rPr>
          <w:rFonts w:ascii="Arial" w:cs="Arial" w:eastAsia="Arial" w:hAnsi="Arial"/>
          <w:sz w:val="14"/>
          <w:szCs w:val="14"/>
          <w:color w:val="231F20"/>
        </w:rPr>
      </w:pPr>
      <w:r>
        <w:rPr>
          <w:rFonts w:ascii="Arial" w:cs="Arial" w:eastAsia="Arial" w:hAnsi="Arial"/>
          <w:sz w:val="14"/>
          <w:szCs w:val="14"/>
          <w:color w:val="231F20"/>
        </w:rPr>
        <w:t>Descriptions of achievements are based on information available to the Committee when setting the Company performance multiplier for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6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69</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-290830</wp:posOffset>
            </wp:positionV>
            <wp:extent cx="746125" cy="857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1" w:name="page82"/>
    <w:bookmarkEnd w:id="81"/>
    <w:p>
      <w:pPr>
        <w:ind w:left="158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143510</wp:posOffset>
            </wp:positionV>
            <wp:extent cx="5143500"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15430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2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FFFFFF"/>
        </w:rPr>
        <w:t>(2) FINANCE AND OPERATIONS (SECONDARY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36830</wp:posOffset>
            </wp:positionV>
            <wp:extent cx="5143500" cy="2311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231140"/>
                    </a:xfrm>
                    <a:prstGeom prst="rect">
                      <a:avLst/>
                    </a:prstGeom>
                    <a:noFill/>
                  </pic:spPr>
                </pic:pic>
              </a:graphicData>
            </a:graphic>
          </wp:anchor>
        </w:drawing>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C04C57"/>
        </w:rPr>
        <w:t>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64135</wp:posOffset>
            </wp:positionV>
            <wp:extent cx="5143500" cy="3346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334645"/>
                    </a:xfrm>
                    <a:prstGeom prst="rect">
                      <a:avLst/>
                    </a:prstGeom>
                    <a:noFill/>
                  </pic:spPr>
                </pic:pic>
              </a:graphicData>
            </a:graphic>
          </wp:anchor>
        </w:drawing>
      </w:r>
    </w:p>
    <w:p>
      <w:pPr>
        <w:spacing w:after="0" w:line="83" w:lineRule="exact"/>
        <w:rPr>
          <w:sz w:val="20"/>
          <w:szCs w:val="20"/>
          <w:color w:val="auto"/>
        </w:rPr>
      </w:pPr>
    </w:p>
    <w:p>
      <w:pPr>
        <w:ind w:left="1820" w:hanging="156"/>
        <w:spacing w:after="0"/>
        <w:tabs>
          <w:tab w:leader="none" w:pos="1820" w:val="left"/>
        </w:tabs>
        <w:numPr>
          <w:ilvl w:val="0"/>
          <w:numId w:val="133"/>
        </w:numPr>
        <w:rPr>
          <w:rFonts w:ascii="Arial" w:cs="Arial" w:eastAsia="Arial" w:hAnsi="Arial"/>
          <w:sz w:val="13"/>
          <w:szCs w:val="13"/>
          <w:color w:val="2952A4"/>
        </w:rPr>
      </w:pPr>
      <w:r>
        <w:rPr>
          <w:rFonts w:ascii="Arial" w:cs="Arial" w:eastAsia="Arial" w:hAnsi="Arial"/>
          <w:sz w:val="13"/>
          <w:szCs w:val="13"/>
          <w:color w:val="231F20"/>
        </w:rPr>
        <w:t>Growth in total revenues</w:t>
      </w:r>
    </w:p>
    <w:p>
      <w:pPr>
        <w:ind w:left="1820" w:hanging="156"/>
        <w:spacing w:after="0"/>
        <w:tabs>
          <w:tab w:leader="none" w:pos="1820" w:val="left"/>
        </w:tabs>
        <w:numPr>
          <w:ilvl w:val="0"/>
          <w:numId w:val="133"/>
        </w:numPr>
        <w:rPr>
          <w:rFonts w:ascii="Arial" w:cs="Arial" w:eastAsia="Arial" w:hAnsi="Arial"/>
          <w:sz w:val="13"/>
          <w:szCs w:val="13"/>
          <w:color w:val="2952A4"/>
        </w:rPr>
      </w:pPr>
      <w:r>
        <w:rPr>
          <w:rFonts w:ascii="Arial" w:cs="Arial" w:eastAsia="Arial" w:hAnsi="Arial"/>
          <w:sz w:val="13"/>
          <w:szCs w:val="13"/>
          <w:color w:val="231F20"/>
        </w:rPr>
        <w:t>Growth in net product sales for key marketed products</w:t>
      </w:r>
    </w:p>
    <w:p>
      <w:pPr>
        <w:ind w:left="1820" w:hanging="156"/>
        <w:spacing w:after="0"/>
        <w:tabs>
          <w:tab w:leader="none" w:pos="1820" w:val="left"/>
        </w:tabs>
        <w:numPr>
          <w:ilvl w:val="0"/>
          <w:numId w:val="133"/>
        </w:numPr>
        <w:rPr>
          <w:rFonts w:ascii="Arial" w:cs="Arial" w:eastAsia="Arial" w:hAnsi="Arial"/>
          <w:sz w:val="13"/>
          <w:szCs w:val="13"/>
          <w:color w:val="2952A4"/>
        </w:rPr>
      </w:pPr>
      <w:r>
        <w:rPr>
          <w:rFonts w:ascii="Arial" w:cs="Arial" w:eastAsia="Arial" w:hAnsi="Arial"/>
          <w:sz w:val="13"/>
          <w:szCs w:val="13"/>
          <w:color w:val="231F20"/>
        </w:rPr>
        <w:t>Growth in profitability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17830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1783080"/>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ectPr>
          <w:pgSz w:w="11900" w:h="16838" w:orient="portrait"/>
          <w:cols w:equalWidth="0" w:num="1">
            <w:col w:w="11240"/>
          </w:cols>
          <w:pgMar w:left="320" w:top="405" w:right="339" w:bottom="1440" w:gutter="0" w:footer="0" w:header="0"/>
          <w:type w:val="continuous"/>
        </w:sectPr>
      </w:pPr>
    </w:p>
    <w:p>
      <w:pPr>
        <w:spacing w:after="0" w:line="104" w:lineRule="exact"/>
        <w:rPr>
          <w:sz w:val="20"/>
          <w:szCs w:val="20"/>
          <w:color w:val="auto"/>
        </w:rPr>
      </w:pPr>
    </w:p>
    <w:p>
      <w:pPr>
        <w:ind w:left="1820" w:hanging="156"/>
        <w:spacing w:after="0" w:line="238" w:lineRule="auto"/>
        <w:tabs>
          <w:tab w:leader="none" w:pos="1812" w:val="left"/>
        </w:tabs>
        <w:numPr>
          <w:ilvl w:val="0"/>
          <w:numId w:val="134"/>
        </w:numPr>
        <w:rPr>
          <w:rFonts w:ascii="Arial" w:cs="Arial" w:eastAsia="Arial" w:hAnsi="Arial"/>
          <w:sz w:val="13"/>
          <w:szCs w:val="13"/>
          <w:color w:val="2952A4"/>
        </w:rPr>
      </w:pPr>
      <w:r>
        <w:rPr>
          <w:rFonts w:ascii="Arial" w:cs="Arial" w:eastAsia="Arial" w:hAnsi="Arial"/>
          <w:sz w:val="13"/>
          <w:szCs w:val="13"/>
          <w:color w:val="231F20"/>
        </w:rPr>
        <w:t>Total revenue for the first nine months of 2019 was $5.694 billion, a 19% increase over the same period in 2018 ($4.783 billion)</w:t>
      </w:r>
    </w:p>
    <w:p>
      <w:pPr>
        <w:spacing w:after="0" w:line="1" w:lineRule="exact"/>
        <w:rPr>
          <w:rFonts w:ascii="Arial" w:cs="Arial" w:eastAsia="Arial" w:hAnsi="Arial"/>
          <w:sz w:val="13"/>
          <w:szCs w:val="13"/>
          <w:color w:val="2952A4"/>
        </w:rPr>
      </w:pPr>
    </w:p>
    <w:p>
      <w:pPr>
        <w:ind w:left="1820" w:right="180" w:hanging="156"/>
        <w:spacing w:after="0" w:line="238" w:lineRule="auto"/>
        <w:tabs>
          <w:tab w:leader="none" w:pos="1812" w:val="left"/>
        </w:tabs>
        <w:numPr>
          <w:ilvl w:val="0"/>
          <w:numId w:val="134"/>
        </w:numPr>
        <w:rPr>
          <w:rFonts w:ascii="Arial" w:cs="Arial" w:eastAsia="Arial" w:hAnsi="Arial"/>
          <w:sz w:val="13"/>
          <w:szCs w:val="13"/>
          <w:color w:val="2952A4"/>
        </w:rPr>
      </w:pPr>
      <w:r>
        <w:rPr>
          <w:rFonts w:ascii="Arial" w:cs="Arial" w:eastAsia="Arial" w:hAnsi="Arial"/>
          <w:sz w:val="13"/>
          <w:szCs w:val="13"/>
          <w:color w:val="231F20"/>
        </w:rPr>
        <w:t>Full-year Non-GAAP Net Income and Diluted Non-GAAP EPS forecast exceeded the 2019 Board-approved plan by double digits</w:t>
      </w:r>
    </w:p>
    <w:p>
      <w:pPr>
        <w:spacing w:after="0" w:line="1" w:lineRule="exact"/>
        <w:rPr>
          <w:rFonts w:ascii="Arial" w:cs="Arial" w:eastAsia="Arial" w:hAnsi="Arial"/>
          <w:sz w:val="13"/>
          <w:szCs w:val="13"/>
          <w:color w:val="2952A4"/>
        </w:rPr>
      </w:pPr>
    </w:p>
    <w:p>
      <w:pPr>
        <w:ind w:left="1820" w:right="100" w:hanging="156"/>
        <w:spacing w:after="0" w:line="241" w:lineRule="auto"/>
        <w:tabs>
          <w:tab w:leader="none" w:pos="1812" w:val="left"/>
        </w:tabs>
        <w:numPr>
          <w:ilvl w:val="0"/>
          <w:numId w:val="134"/>
        </w:numPr>
        <w:rPr>
          <w:rFonts w:ascii="Arial" w:cs="Arial" w:eastAsia="Arial" w:hAnsi="Arial"/>
          <w:sz w:val="13"/>
          <w:szCs w:val="13"/>
          <w:color w:val="2952A4"/>
        </w:rPr>
      </w:pPr>
      <w:r>
        <w:rPr>
          <w:rFonts w:ascii="Arial" w:cs="Arial" w:eastAsia="Arial" w:hAnsi="Arial"/>
          <w:sz w:val="13"/>
          <w:szCs w:val="13"/>
          <w:color w:val="231F20"/>
        </w:rPr>
        <w:t>Double-digit free cash flow growth (net cash provided by operating activities less capital expenditures) for the first nine months of 2019 versus the same period in 2018</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63" w:hanging="163"/>
        <w:spacing w:after="0" w:line="238" w:lineRule="auto"/>
        <w:tabs>
          <w:tab w:leader="none" w:pos="155" w:val="left"/>
        </w:tabs>
        <w:numPr>
          <w:ilvl w:val="0"/>
          <w:numId w:val="135"/>
        </w:numPr>
        <w:rPr>
          <w:rFonts w:ascii="Arial" w:cs="Arial" w:eastAsia="Arial" w:hAnsi="Arial"/>
          <w:sz w:val="13"/>
          <w:szCs w:val="13"/>
          <w:color w:val="2952A4"/>
        </w:rPr>
      </w:pPr>
      <w:r>
        <w:rPr>
          <w:rFonts w:ascii="Arial" w:cs="Arial" w:eastAsia="Arial" w:hAnsi="Arial"/>
          <w:sz w:val="13"/>
          <w:szCs w:val="13"/>
          <w:color w:val="231F20"/>
        </w:rPr>
        <w:t>EYLEA global net product sales of $5.537 billion in the first nine months of 2019 (representing 12% growth vs. the first nine months of 2018)</w:t>
      </w:r>
    </w:p>
    <w:p>
      <w:pPr>
        <w:spacing w:after="0" w:line="1" w:lineRule="exact"/>
        <w:rPr>
          <w:rFonts w:ascii="Arial" w:cs="Arial" w:eastAsia="Arial" w:hAnsi="Arial"/>
          <w:sz w:val="13"/>
          <w:szCs w:val="13"/>
          <w:color w:val="2952A4"/>
        </w:rPr>
      </w:pPr>
    </w:p>
    <w:p>
      <w:pPr>
        <w:ind w:left="163" w:right="300" w:hanging="163"/>
        <w:spacing w:after="0" w:line="238" w:lineRule="auto"/>
        <w:tabs>
          <w:tab w:leader="none" w:pos="155" w:val="left"/>
        </w:tabs>
        <w:numPr>
          <w:ilvl w:val="0"/>
          <w:numId w:val="135"/>
        </w:numPr>
        <w:rPr>
          <w:rFonts w:ascii="Arial" w:cs="Arial" w:eastAsia="Arial" w:hAnsi="Arial"/>
          <w:sz w:val="13"/>
          <w:szCs w:val="13"/>
          <w:color w:val="2952A4"/>
        </w:rPr>
      </w:pPr>
      <w:r>
        <w:rPr>
          <w:rFonts w:ascii="Arial" w:cs="Arial" w:eastAsia="Arial" w:hAnsi="Arial"/>
          <w:sz w:val="13"/>
          <w:szCs w:val="13"/>
          <w:color w:val="231F20"/>
        </w:rPr>
        <w:t>EYLEA net product sales in the U.S. increased on an annual basis for the eighth straight year without a price increase</w:t>
      </w:r>
    </w:p>
    <w:p>
      <w:pPr>
        <w:spacing w:after="0" w:line="1" w:lineRule="exact"/>
        <w:rPr>
          <w:rFonts w:ascii="Arial" w:cs="Arial" w:eastAsia="Arial" w:hAnsi="Arial"/>
          <w:sz w:val="13"/>
          <w:szCs w:val="13"/>
          <w:color w:val="2952A4"/>
        </w:rPr>
      </w:pPr>
    </w:p>
    <w:p>
      <w:pPr>
        <w:ind w:left="163" w:right="80" w:hanging="163"/>
        <w:spacing w:after="0" w:line="238" w:lineRule="auto"/>
        <w:tabs>
          <w:tab w:leader="none" w:pos="155" w:val="left"/>
        </w:tabs>
        <w:numPr>
          <w:ilvl w:val="0"/>
          <w:numId w:val="135"/>
        </w:numPr>
        <w:rPr>
          <w:rFonts w:ascii="Arial" w:cs="Arial" w:eastAsia="Arial" w:hAnsi="Arial"/>
          <w:sz w:val="13"/>
          <w:szCs w:val="13"/>
          <w:color w:val="2952A4"/>
        </w:rPr>
      </w:pPr>
      <w:r>
        <w:rPr>
          <w:rFonts w:ascii="Arial" w:cs="Arial" w:eastAsia="Arial" w:hAnsi="Arial"/>
          <w:sz w:val="13"/>
          <w:szCs w:val="13"/>
          <w:color w:val="231F20"/>
        </w:rPr>
        <w:t>Dupixent global net product sales of $1.564 billion in the first nine months of 2019 (representing 159% growth vs. the first nine months of 2018)</w:t>
      </w:r>
    </w:p>
    <w:p>
      <w:pPr>
        <w:spacing w:after="0" w:line="1" w:lineRule="exact"/>
        <w:rPr>
          <w:rFonts w:ascii="Arial" w:cs="Arial" w:eastAsia="Arial" w:hAnsi="Arial"/>
          <w:sz w:val="13"/>
          <w:szCs w:val="13"/>
          <w:color w:val="2952A4"/>
        </w:rPr>
      </w:pPr>
    </w:p>
    <w:p>
      <w:pPr>
        <w:ind w:left="163" w:right="20" w:hanging="163"/>
        <w:spacing w:after="0" w:line="241" w:lineRule="auto"/>
        <w:tabs>
          <w:tab w:leader="none" w:pos="155" w:val="left"/>
        </w:tabs>
        <w:numPr>
          <w:ilvl w:val="0"/>
          <w:numId w:val="135"/>
        </w:numPr>
        <w:rPr>
          <w:rFonts w:ascii="Arial" w:cs="Arial" w:eastAsia="Arial" w:hAnsi="Arial"/>
          <w:sz w:val="13"/>
          <w:szCs w:val="13"/>
          <w:color w:val="2952A4"/>
        </w:rPr>
      </w:pPr>
      <w:r>
        <w:rPr>
          <w:rFonts w:ascii="Arial" w:cs="Arial" w:eastAsia="Arial" w:hAnsi="Arial"/>
          <w:sz w:val="13"/>
          <w:szCs w:val="13"/>
          <w:color w:val="231F20"/>
        </w:rPr>
        <w:t>Praluent global net product sales of $207 million in the first nine months of 2019 (representing 3% decline vs. the first nine months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45085</wp:posOffset>
            </wp:positionV>
            <wp:extent cx="5143500" cy="7543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69" w:right="1680" w:hanging="169"/>
        <w:spacing w:after="0" w:line="238" w:lineRule="auto"/>
        <w:tabs>
          <w:tab w:leader="none" w:pos="161" w:val="left"/>
        </w:tabs>
        <w:numPr>
          <w:ilvl w:val="0"/>
          <w:numId w:val="136"/>
        </w:numPr>
        <w:rPr>
          <w:rFonts w:ascii="Arial" w:cs="Arial" w:eastAsia="Arial" w:hAnsi="Arial"/>
          <w:sz w:val="13"/>
          <w:szCs w:val="13"/>
          <w:color w:val="2952A4"/>
        </w:rPr>
      </w:pPr>
      <w:r>
        <w:rPr>
          <w:rFonts w:ascii="Arial" w:cs="Arial" w:eastAsia="Arial" w:hAnsi="Arial"/>
          <w:sz w:val="13"/>
          <w:szCs w:val="13"/>
          <w:color w:val="231F20"/>
        </w:rPr>
        <w:t>Kevzara global net product sales of $147 million in the first nine months of 2019 (representing 139% growth vs. the first nine months of 2018)</w:t>
      </w:r>
    </w:p>
    <w:p>
      <w:pPr>
        <w:spacing w:after="0" w:line="1" w:lineRule="exact"/>
        <w:rPr>
          <w:rFonts w:ascii="Arial" w:cs="Arial" w:eastAsia="Arial" w:hAnsi="Arial"/>
          <w:sz w:val="13"/>
          <w:szCs w:val="13"/>
          <w:color w:val="2952A4"/>
        </w:rPr>
      </w:pPr>
    </w:p>
    <w:p>
      <w:pPr>
        <w:ind w:left="169" w:right="1700" w:hanging="169"/>
        <w:spacing w:after="0" w:line="258" w:lineRule="auto"/>
        <w:tabs>
          <w:tab w:leader="none" w:pos="161" w:val="left"/>
        </w:tabs>
        <w:numPr>
          <w:ilvl w:val="0"/>
          <w:numId w:val="136"/>
        </w:numPr>
        <w:rPr>
          <w:rFonts w:ascii="Arial" w:cs="Arial" w:eastAsia="Arial" w:hAnsi="Arial"/>
          <w:sz w:val="12"/>
          <w:szCs w:val="12"/>
          <w:color w:val="2952A4"/>
        </w:rPr>
      </w:pPr>
      <w:r>
        <w:rPr>
          <w:rFonts w:ascii="Arial" w:cs="Arial" w:eastAsia="Arial" w:hAnsi="Arial"/>
          <w:sz w:val="12"/>
          <w:szCs w:val="12"/>
          <w:color w:val="231F20"/>
        </w:rPr>
        <w:t>Libtayo global net product sales of $119 million in the first nine months of 2019</w:t>
      </w:r>
    </w:p>
    <w:p>
      <w:pPr>
        <w:jc w:val="both"/>
        <w:ind w:left="169" w:right="1660" w:hanging="169"/>
        <w:spacing w:after="0" w:line="243" w:lineRule="auto"/>
        <w:tabs>
          <w:tab w:leader="none" w:pos="161" w:val="left"/>
        </w:tabs>
        <w:numPr>
          <w:ilvl w:val="0"/>
          <w:numId w:val="136"/>
        </w:numPr>
        <w:rPr>
          <w:rFonts w:ascii="Arial" w:cs="Arial" w:eastAsia="Arial" w:hAnsi="Arial"/>
          <w:sz w:val="13"/>
          <w:szCs w:val="13"/>
          <w:color w:val="2952A4"/>
        </w:rPr>
      </w:pPr>
      <w:r>
        <w:rPr>
          <w:rFonts w:ascii="Arial" w:cs="Arial" w:eastAsia="Arial" w:hAnsi="Arial"/>
          <w:sz w:val="13"/>
          <w:szCs w:val="13"/>
          <w:color w:val="231F20"/>
        </w:rPr>
        <w:t>Initiated a share repurchase program to repurchase up to $1.0 billion of common stock</w:t>
      </w:r>
    </w:p>
    <w:p>
      <w:pPr>
        <w:spacing w:after="0" w:line="1176" w:lineRule="exact"/>
        <w:rPr>
          <w:sz w:val="20"/>
          <w:szCs w:val="20"/>
          <w:color w:val="auto"/>
        </w:rPr>
      </w:pPr>
    </w:p>
    <w:p>
      <w:pPr>
        <w:sectPr>
          <w:pgSz w:w="11900" w:h="16838" w:orient="portrait"/>
          <w:cols w:equalWidth="0" w:num="3">
            <w:col w:w="4140" w:space="197"/>
            <w:col w:w="2563" w:space="191"/>
            <w:col w:w="4149"/>
          </w:cols>
          <w:pgMar w:left="320" w:top="405" w:right="339" w:bottom="1440" w:gutter="0" w:footer="0" w:header="0"/>
          <w:type w:val="continuous"/>
        </w:sectPr>
      </w:pPr>
    </w:p>
    <w:p>
      <w:pPr>
        <w:ind w:left="1660"/>
        <w:spacing w:after="0"/>
        <w:rPr>
          <w:sz w:val="20"/>
          <w:szCs w:val="20"/>
          <w:color w:val="auto"/>
        </w:rPr>
      </w:pPr>
      <w:r>
        <w:rPr>
          <w:rFonts w:ascii="Arial" w:cs="Arial" w:eastAsia="Arial" w:hAnsi="Arial"/>
          <w:sz w:val="17"/>
          <w:szCs w:val="17"/>
          <w:b w:val="1"/>
          <w:bCs w:val="1"/>
          <w:color w:val="C04C57"/>
        </w:rPr>
        <w:t>Operational &amp; Manufacturing</w:t>
      </w:r>
    </w:p>
    <w:p>
      <w:pPr>
        <w:spacing w:after="0" w:line="103" w:lineRule="exact"/>
        <w:rPr>
          <w:sz w:val="20"/>
          <w:szCs w:val="20"/>
          <w:color w:val="auto"/>
        </w:rPr>
      </w:pPr>
    </w:p>
    <w:p>
      <w:pPr>
        <w:ind w:left="1660"/>
        <w:spacing w:after="0"/>
        <w:tabs>
          <w:tab w:leader="none" w:pos="1800" w:val="left"/>
        </w:tabs>
        <w:rPr>
          <w:sz w:val="20"/>
          <w:szCs w:val="20"/>
          <w:color w:val="auto"/>
        </w:rPr>
      </w:pPr>
      <w:r>
        <w:rPr>
          <w:rFonts w:ascii="Arial" w:cs="Arial" w:eastAsia="Arial" w:hAnsi="Arial"/>
          <w:sz w:val="13"/>
          <w:szCs w:val="13"/>
          <w:color w:val="2952A4"/>
        </w:rPr>
        <w:t>•</w:t>
      </w:r>
      <w:r>
        <w:rPr>
          <w:rFonts w:ascii="Arial" w:cs="Arial" w:eastAsia="Arial" w:hAnsi="Arial"/>
          <w:sz w:val="13"/>
          <w:szCs w:val="13"/>
          <w:color w:val="231F20"/>
        </w:rPr>
        <w:tab/>
        <w:t>Marketing structure &amp; strategy</w:t>
      </w:r>
    </w:p>
    <w:p>
      <w:pPr>
        <w:ind w:left="1660"/>
        <w:spacing w:after="0"/>
        <w:tabs>
          <w:tab w:leader="none" w:pos="1800" w:val="left"/>
        </w:tabs>
        <w:rPr>
          <w:sz w:val="20"/>
          <w:szCs w:val="20"/>
          <w:color w:val="auto"/>
        </w:rPr>
      </w:pPr>
      <w:r>
        <w:rPr>
          <w:rFonts w:ascii="Arial" w:cs="Arial" w:eastAsia="Arial" w:hAnsi="Arial"/>
          <w:sz w:val="13"/>
          <w:szCs w:val="13"/>
          <w:color w:val="2952A4"/>
        </w:rPr>
        <w:t>•</w:t>
      </w:r>
      <w:r>
        <w:rPr>
          <w:sz w:val="20"/>
          <w:szCs w:val="20"/>
          <w:color w:val="auto"/>
        </w:rPr>
        <w:tab/>
      </w:r>
      <w:r>
        <w:rPr>
          <w:rFonts w:ascii="Arial" w:cs="Arial" w:eastAsia="Arial" w:hAnsi="Arial"/>
          <w:sz w:val="12"/>
          <w:szCs w:val="12"/>
          <w:color w:val="231F20"/>
        </w:rPr>
        <w:t>Pricing, policy &amp; legal developments</w:t>
      </w:r>
    </w:p>
    <w:p>
      <w:pPr>
        <w:ind w:left="1660"/>
        <w:spacing w:after="0"/>
        <w:tabs>
          <w:tab w:leader="none" w:pos="1800" w:val="left"/>
        </w:tabs>
        <w:rPr>
          <w:sz w:val="20"/>
          <w:szCs w:val="20"/>
          <w:color w:val="auto"/>
        </w:rPr>
      </w:pPr>
      <w:r>
        <w:rPr>
          <w:rFonts w:ascii="Arial" w:cs="Arial" w:eastAsia="Arial" w:hAnsi="Arial"/>
          <w:sz w:val="13"/>
          <w:szCs w:val="13"/>
          <w:color w:val="2952A4"/>
        </w:rPr>
        <w:t>•</w:t>
      </w:r>
      <w:r>
        <w:rPr>
          <w:sz w:val="20"/>
          <w:szCs w:val="20"/>
          <w:color w:val="auto"/>
        </w:rPr>
        <w:tab/>
      </w:r>
      <w:r>
        <w:rPr>
          <w:rFonts w:ascii="Arial" w:cs="Arial" w:eastAsia="Arial" w:hAnsi="Arial"/>
          <w:sz w:val="12"/>
          <w:szCs w:val="12"/>
          <w:color w:val="231F20"/>
        </w:rPr>
        <w:t>Successful completion of global audits</w:t>
      </w:r>
    </w:p>
    <w:p>
      <w:pPr>
        <w:ind w:left="1660"/>
        <w:spacing w:after="0"/>
        <w:tabs>
          <w:tab w:leader="none" w:pos="1800" w:val="left"/>
        </w:tabs>
        <w:rPr>
          <w:sz w:val="20"/>
          <w:szCs w:val="20"/>
          <w:color w:val="auto"/>
        </w:rPr>
      </w:pPr>
      <w:r>
        <w:rPr>
          <w:rFonts w:ascii="Arial" w:cs="Arial" w:eastAsia="Arial" w:hAnsi="Arial"/>
          <w:sz w:val="13"/>
          <w:szCs w:val="13"/>
          <w:color w:val="2952A4"/>
        </w:rPr>
        <w:t>•</w:t>
      </w:r>
      <w:r>
        <w:rPr>
          <w:rFonts w:ascii="Arial" w:cs="Arial" w:eastAsia="Arial" w:hAnsi="Arial"/>
          <w:sz w:val="13"/>
          <w:szCs w:val="13"/>
          <w:color w:val="231F20"/>
        </w:rPr>
        <w:tab/>
        <w:t>Expansion of facilities</w:t>
      </w:r>
    </w:p>
    <w:p>
      <w:pPr>
        <w:ind w:left="1660"/>
        <w:spacing w:after="0"/>
        <w:tabs>
          <w:tab w:leader="none" w:pos="1800" w:val="left"/>
        </w:tabs>
        <w:rPr>
          <w:sz w:val="20"/>
          <w:szCs w:val="20"/>
          <w:color w:val="auto"/>
        </w:rPr>
      </w:pPr>
      <w:r>
        <w:rPr>
          <w:rFonts w:ascii="Arial" w:cs="Arial" w:eastAsia="Arial" w:hAnsi="Arial"/>
          <w:sz w:val="13"/>
          <w:szCs w:val="13"/>
          <w:color w:val="2952A4"/>
        </w:rPr>
        <w:t>•</w:t>
      </w:r>
      <w:r>
        <w:rPr>
          <w:rFonts w:ascii="Arial" w:cs="Arial" w:eastAsia="Arial" w:hAnsi="Arial"/>
          <w:sz w:val="13"/>
          <w:szCs w:val="13"/>
          <w:color w:val="231F20"/>
        </w:rPr>
        <w:tab/>
        <w:t>Manufacturing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15005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Expanded and realigned EYLEA field</w:t>
            </w:r>
          </w:p>
        </w:tc>
        <w:tc>
          <w:tcPr>
            <w:tcW w:w="2780" w:type="dxa"/>
            <w:vAlign w:val="bottom"/>
          </w:tcPr>
          <w:p>
            <w:pPr>
              <w:ind w:left="1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U.S. and EU patent offices invalidated</w:t>
            </w:r>
          </w:p>
        </w:tc>
        <w:tc>
          <w:tcPr>
            <w:tcW w:w="4280" w:type="dxa"/>
            <w:vAlign w:val="bottom"/>
          </w:tcPr>
          <w:p>
            <w:pPr>
              <w:ind w:left="14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IOPS facility in Raheen fully operational;</w:t>
            </w:r>
          </w:p>
        </w:tc>
      </w:tr>
      <w:tr>
        <w:trPr>
          <w:trHeight w:val="149"/>
        </w:trPr>
        <w:tc>
          <w:tcPr>
            <w:tcW w:w="4180" w:type="dxa"/>
            <w:vAlign w:val="bottom"/>
          </w:tcPr>
          <w:p>
            <w:pPr>
              <w:ind w:left="1820"/>
              <w:spacing w:after="0"/>
              <w:rPr>
                <w:sz w:val="20"/>
                <w:szCs w:val="20"/>
                <w:color w:val="auto"/>
              </w:rPr>
            </w:pPr>
            <w:r>
              <w:rPr>
                <w:rFonts w:ascii="Arial" w:cs="Arial" w:eastAsia="Arial" w:hAnsi="Arial"/>
                <w:sz w:val="13"/>
                <w:szCs w:val="13"/>
                <w:color w:val="231F20"/>
              </w:rPr>
              <w:t>force to focus on realizing greater</w:t>
            </w:r>
          </w:p>
        </w:tc>
        <w:tc>
          <w:tcPr>
            <w:tcW w:w="2780" w:type="dxa"/>
            <w:vAlign w:val="bottom"/>
          </w:tcPr>
          <w:p>
            <w:pPr>
              <w:ind w:left="320"/>
              <w:spacing w:after="0"/>
              <w:rPr>
                <w:sz w:val="20"/>
                <w:szCs w:val="20"/>
                <w:color w:val="auto"/>
              </w:rPr>
            </w:pPr>
            <w:r>
              <w:rPr>
                <w:rFonts w:ascii="Arial" w:cs="Arial" w:eastAsia="Arial" w:hAnsi="Arial"/>
                <w:sz w:val="13"/>
                <w:szCs w:val="13"/>
                <w:color w:val="231F20"/>
              </w:rPr>
              <w:t>Immunex Corporation’s patents claiming</w:t>
            </w:r>
          </w:p>
        </w:tc>
        <w:tc>
          <w:tcPr>
            <w:tcW w:w="4280" w:type="dxa"/>
            <w:vAlign w:val="bottom"/>
          </w:tcPr>
          <w:p>
            <w:pPr>
              <w:ind w:left="300"/>
              <w:spacing w:after="0"/>
              <w:rPr>
                <w:sz w:val="20"/>
                <w:szCs w:val="20"/>
                <w:color w:val="auto"/>
              </w:rPr>
            </w:pPr>
            <w:r>
              <w:rPr>
                <w:rFonts w:ascii="Arial" w:cs="Arial" w:eastAsia="Arial" w:hAnsi="Arial"/>
                <w:sz w:val="13"/>
                <w:szCs w:val="13"/>
                <w:color w:val="231F20"/>
              </w:rPr>
              <w:t>largest biotech facility in Ireland</w:t>
            </w:r>
          </w:p>
        </w:tc>
      </w:tr>
      <w:tr>
        <w:trPr>
          <w:trHeight w:val="148"/>
        </w:trPr>
        <w:tc>
          <w:tcPr>
            <w:tcW w:w="4180" w:type="dxa"/>
            <w:vAlign w:val="bottom"/>
          </w:tcPr>
          <w:p>
            <w:pPr>
              <w:ind w:left="1820"/>
              <w:spacing w:after="0"/>
              <w:rPr>
                <w:sz w:val="20"/>
                <w:szCs w:val="20"/>
                <w:color w:val="auto"/>
              </w:rPr>
            </w:pPr>
            <w:r>
              <w:rPr>
                <w:rFonts w:ascii="Arial" w:cs="Arial" w:eastAsia="Arial" w:hAnsi="Arial"/>
                <w:sz w:val="13"/>
                <w:szCs w:val="13"/>
                <w:color w:val="231F20"/>
              </w:rPr>
              <w:t>opportunity in diabetic eye disease</w:t>
            </w:r>
          </w:p>
        </w:tc>
        <w:tc>
          <w:tcPr>
            <w:tcW w:w="2780" w:type="dxa"/>
            <w:vAlign w:val="bottom"/>
          </w:tcPr>
          <w:p>
            <w:pPr>
              <w:ind w:left="320"/>
              <w:spacing w:after="0"/>
              <w:rPr>
                <w:sz w:val="20"/>
                <w:szCs w:val="20"/>
                <w:color w:val="auto"/>
              </w:rPr>
            </w:pPr>
            <w:r>
              <w:rPr>
                <w:rFonts w:ascii="Arial" w:cs="Arial" w:eastAsia="Arial" w:hAnsi="Arial"/>
                <w:sz w:val="13"/>
                <w:szCs w:val="13"/>
                <w:color w:val="231F20"/>
              </w:rPr>
              <w:t>IL-4R antibodies</w:t>
            </w:r>
          </w:p>
        </w:tc>
        <w:tc>
          <w:tcPr>
            <w:tcW w:w="4280" w:type="dxa"/>
            <w:vAlign w:val="bottom"/>
          </w:tcPr>
          <w:p>
            <w:pPr>
              <w:ind w:left="14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IOPS completed 7 global successful</w:t>
            </w:r>
          </w:p>
        </w:tc>
      </w:tr>
      <w:tr>
        <w:trPr>
          <w:trHeight w:val="149"/>
        </w:trPr>
        <w:tc>
          <w:tcPr>
            <w:tcW w:w="41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Executed well-received Dupixent DTC</w:t>
            </w:r>
          </w:p>
        </w:tc>
        <w:tc>
          <w:tcPr>
            <w:tcW w:w="2780" w:type="dxa"/>
            <w:vAlign w:val="bottom"/>
          </w:tcPr>
          <w:p>
            <w:pPr>
              <w:ind w:left="1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U.S. District Court found that the</w:t>
            </w:r>
          </w:p>
        </w:tc>
        <w:tc>
          <w:tcPr>
            <w:tcW w:w="4280" w:type="dxa"/>
            <w:vAlign w:val="bottom"/>
          </w:tcPr>
          <w:p>
            <w:pPr>
              <w:ind w:left="300"/>
              <w:spacing w:after="0"/>
              <w:rPr>
                <w:sz w:val="20"/>
                <w:szCs w:val="20"/>
                <w:color w:val="auto"/>
              </w:rPr>
            </w:pPr>
            <w:r>
              <w:rPr>
                <w:rFonts w:ascii="Arial" w:cs="Arial" w:eastAsia="Arial" w:hAnsi="Arial"/>
                <w:sz w:val="13"/>
                <w:szCs w:val="13"/>
                <w:color w:val="231F20"/>
              </w:rPr>
              <w:t>inspections and partner audits in 2019,</w:t>
            </w:r>
          </w:p>
        </w:tc>
      </w:tr>
      <w:tr>
        <w:trPr>
          <w:trHeight w:val="148"/>
        </w:trPr>
        <w:tc>
          <w:tcPr>
            <w:tcW w:w="4180" w:type="dxa"/>
            <w:vAlign w:val="bottom"/>
          </w:tcPr>
          <w:p>
            <w:pPr>
              <w:ind w:left="1820"/>
              <w:spacing w:after="0"/>
              <w:rPr>
                <w:sz w:val="20"/>
                <w:szCs w:val="20"/>
                <w:color w:val="auto"/>
              </w:rPr>
            </w:pPr>
            <w:r>
              <w:rPr>
                <w:rFonts w:ascii="Arial" w:cs="Arial" w:eastAsia="Arial" w:hAnsi="Arial"/>
                <w:sz w:val="13"/>
                <w:szCs w:val="13"/>
                <w:color w:val="231F20"/>
              </w:rPr>
              <w:t>TV U.S. campaigns for adult AD and</w:t>
            </w:r>
          </w:p>
        </w:tc>
        <w:tc>
          <w:tcPr>
            <w:tcW w:w="2780" w:type="dxa"/>
            <w:vAlign w:val="bottom"/>
          </w:tcPr>
          <w:p>
            <w:pPr>
              <w:ind w:left="320"/>
              <w:spacing w:after="0"/>
              <w:rPr>
                <w:sz w:val="20"/>
                <w:szCs w:val="20"/>
                <w:color w:val="auto"/>
              </w:rPr>
            </w:pPr>
            <w:r>
              <w:rPr>
                <w:rFonts w:ascii="Arial" w:cs="Arial" w:eastAsia="Arial" w:hAnsi="Arial"/>
                <w:sz w:val="13"/>
                <w:szCs w:val="13"/>
                <w:color w:val="231F20"/>
              </w:rPr>
              <w:t>manufacture, use, offer for sale, sale, or</w:t>
            </w:r>
          </w:p>
        </w:tc>
        <w:tc>
          <w:tcPr>
            <w:tcW w:w="4280" w:type="dxa"/>
            <w:vAlign w:val="bottom"/>
          </w:tcPr>
          <w:p>
            <w:pPr>
              <w:ind w:left="300"/>
              <w:spacing w:after="0"/>
              <w:rPr>
                <w:sz w:val="20"/>
                <w:szCs w:val="20"/>
                <w:color w:val="auto"/>
              </w:rPr>
            </w:pPr>
            <w:r>
              <w:rPr>
                <w:rFonts w:ascii="Arial" w:cs="Arial" w:eastAsia="Arial" w:hAnsi="Arial"/>
                <w:sz w:val="13"/>
                <w:szCs w:val="13"/>
                <w:color w:val="231F20"/>
              </w:rPr>
              <w:t>including FDA, U.S. Department of</w:t>
            </w:r>
          </w:p>
        </w:tc>
      </w:tr>
      <w:tr>
        <w:trPr>
          <w:trHeight w:val="149"/>
        </w:trPr>
        <w:tc>
          <w:tcPr>
            <w:tcW w:w="4180" w:type="dxa"/>
            <w:vAlign w:val="bottom"/>
          </w:tcPr>
          <w:p>
            <w:pPr>
              <w:ind w:left="1820"/>
              <w:spacing w:after="0"/>
              <w:rPr>
                <w:sz w:val="20"/>
                <w:szCs w:val="20"/>
                <w:color w:val="auto"/>
              </w:rPr>
            </w:pPr>
            <w:r>
              <w:rPr>
                <w:rFonts w:ascii="Arial" w:cs="Arial" w:eastAsia="Arial" w:hAnsi="Arial"/>
                <w:sz w:val="13"/>
                <w:szCs w:val="13"/>
                <w:color w:val="231F20"/>
              </w:rPr>
              <w:t>asthma</w:t>
            </w:r>
          </w:p>
        </w:tc>
        <w:tc>
          <w:tcPr>
            <w:tcW w:w="2780" w:type="dxa"/>
            <w:vAlign w:val="bottom"/>
          </w:tcPr>
          <w:p>
            <w:pPr>
              <w:ind w:left="320"/>
              <w:spacing w:after="0"/>
              <w:rPr>
                <w:sz w:val="20"/>
                <w:szCs w:val="20"/>
                <w:color w:val="auto"/>
              </w:rPr>
            </w:pPr>
            <w:r>
              <w:rPr>
                <w:rFonts w:ascii="Arial" w:cs="Arial" w:eastAsia="Arial" w:hAnsi="Arial"/>
                <w:sz w:val="13"/>
                <w:szCs w:val="13"/>
                <w:color w:val="231F20"/>
              </w:rPr>
              <w:t>importation into the United States of</w:t>
            </w:r>
          </w:p>
        </w:tc>
        <w:tc>
          <w:tcPr>
            <w:tcW w:w="4280" w:type="dxa"/>
            <w:vAlign w:val="bottom"/>
          </w:tcPr>
          <w:p>
            <w:pPr>
              <w:ind w:left="300"/>
              <w:spacing w:after="0"/>
              <w:rPr>
                <w:sz w:val="20"/>
                <w:szCs w:val="20"/>
                <w:color w:val="auto"/>
              </w:rPr>
            </w:pPr>
            <w:r>
              <w:rPr>
                <w:rFonts w:ascii="Arial" w:cs="Arial" w:eastAsia="Arial" w:hAnsi="Arial"/>
                <w:sz w:val="13"/>
                <w:szCs w:val="13"/>
                <w:color w:val="231F20"/>
              </w:rPr>
              <w:t>Agriculture, and partner audits</w:t>
            </w:r>
          </w:p>
        </w:tc>
      </w:tr>
      <w:tr>
        <w:trPr>
          <w:trHeight w:val="148"/>
        </w:trPr>
        <w:tc>
          <w:tcPr>
            <w:tcW w:w="41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Implemented new pricing strategy for</w:t>
            </w:r>
          </w:p>
        </w:tc>
        <w:tc>
          <w:tcPr>
            <w:tcW w:w="2780" w:type="dxa"/>
            <w:vAlign w:val="bottom"/>
          </w:tcPr>
          <w:p>
            <w:pPr>
              <w:ind w:left="320"/>
              <w:spacing w:after="0"/>
              <w:rPr>
                <w:sz w:val="20"/>
                <w:szCs w:val="20"/>
                <w:color w:val="auto"/>
              </w:rPr>
            </w:pPr>
            <w:r>
              <w:rPr>
                <w:rFonts w:ascii="Arial" w:cs="Arial" w:eastAsia="Arial" w:hAnsi="Arial"/>
                <w:sz w:val="13"/>
                <w:szCs w:val="13"/>
                <w:color w:val="231F20"/>
              </w:rPr>
              <w:t>aflibercept does not infringe Novartis</w:t>
            </w:r>
          </w:p>
        </w:tc>
        <w:tc>
          <w:tcPr>
            <w:tcW w:w="4280" w:type="dxa"/>
            <w:vAlign w:val="bottom"/>
          </w:tcPr>
          <w:p>
            <w:pPr>
              <w:spacing w:after="0"/>
              <w:rPr>
                <w:sz w:val="12"/>
                <w:szCs w:val="12"/>
                <w:color w:val="auto"/>
              </w:rPr>
            </w:pPr>
          </w:p>
        </w:tc>
      </w:tr>
      <w:tr>
        <w:trPr>
          <w:trHeight w:val="148"/>
        </w:trPr>
        <w:tc>
          <w:tcPr>
            <w:tcW w:w="4180" w:type="dxa"/>
            <w:vAlign w:val="bottom"/>
          </w:tcPr>
          <w:p>
            <w:pPr>
              <w:ind w:left="1820"/>
              <w:spacing w:after="0"/>
              <w:rPr>
                <w:sz w:val="20"/>
                <w:szCs w:val="20"/>
                <w:color w:val="auto"/>
              </w:rPr>
            </w:pPr>
            <w:r>
              <w:rPr>
                <w:rFonts w:ascii="Arial" w:cs="Arial" w:eastAsia="Arial" w:hAnsi="Arial"/>
                <w:sz w:val="13"/>
                <w:szCs w:val="13"/>
                <w:color w:val="231F20"/>
              </w:rPr>
              <w:t>Praluent, reducing U.S. list price</w:t>
            </w:r>
          </w:p>
        </w:tc>
        <w:tc>
          <w:tcPr>
            <w:tcW w:w="2780" w:type="dxa"/>
            <w:vAlign w:val="bottom"/>
          </w:tcPr>
          <w:p>
            <w:pPr>
              <w:ind w:left="320"/>
              <w:spacing w:after="0"/>
              <w:rPr>
                <w:sz w:val="20"/>
                <w:szCs w:val="20"/>
                <w:color w:val="auto"/>
              </w:rPr>
            </w:pPr>
            <w:r>
              <w:rPr>
                <w:rFonts w:ascii="Arial" w:cs="Arial" w:eastAsia="Arial" w:hAnsi="Arial"/>
                <w:sz w:val="13"/>
                <w:szCs w:val="13"/>
                <w:color w:val="231F20"/>
              </w:rPr>
              <w:t>AG’s asserted patent claims</w:t>
            </w:r>
          </w:p>
        </w:tc>
        <w:tc>
          <w:tcPr>
            <w:tcW w:w="4280" w:type="dxa"/>
            <w:vAlign w:val="bottom"/>
          </w:tcPr>
          <w:p>
            <w:pPr>
              <w:spacing w:after="0"/>
              <w:rPr>
                <w:sz w:val="12"/>
                <w:szCs w:val="12"/>
                <w:color w:val="auto"/>
              </w:rPr>
            </w:pPr>
          </w:p>
        </w:tc>
      </w:tr>
      <w:tr>
        <w:trPr>
          <w:trHeight w:val="149"/>
        </w:trPr>
        <w:tc>
          <w:tcPr>
            <w:tcW w:w="41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U.S. District Court invalidated Amgen</w:t>
            </w:r>
          </w:p>
        </w:tc>
        <w:tc>
          <w:tcPr>
            <w:tcW w:w="2780" w:type="dxa"/>
            <w:vAlign w:val="bottom"/>
          </w:tcPr>
          <w:p>
            <w:pPr>
              <w:ind w:left="1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Continued work with policymakers to</w:t>
            </w:r>
          </w:p>
        </w:tc>
        <w:tc>
          <w:tcPr>
            <w:tcW w:w="4280" w:type="dxa"/>
            <w:vAlign w:val="bottom"/>
          </w:tcPr>
          <w:p>
            <w:pPr>
              <w:spacing w:after="0"/>
              <w:rPr>
                <w:sz w:val="12"/>
                <w:szCs w:val="12"/>
                <w:color w:val="auto"/>
              </w:rPr>
            </w:pPr>
          </w:p>
        </w:tc>
      </w:tr>
      <w:tr>
        <w:trPr>
          <w:trHeight w:val="148"/>
        </w:trPr>
        <w:tc>
          <w:tcPr>
            <w:tcW w:w="4180" w:type="dxa"/>
            <w:vAlign w:val="bottom"/>
          </w:tcPr>
          <w:p>
            <w:pPr>
              <w:ind w:left="1820"/>
              <w:spacing w:after="0"/>
              <w:rPr>
                <w:sz w:val="20"/>
                <w:szCs w:val="20"/>
                <w:color w:val="auto"/>
              </w:rPr>
            </w:pPr>
            <w:r>
              <w:rPr>
                <w:rFonts w:ascii="Arial" w:cs="Arial" w:eastAsia="Arial" w:hAnsi="Arial"/>
                <w:sz w:val="13"/>
                <w:szCs w:val="13"/>
                <w:color w:val="231F20"/>
              </w:rPr>
              <w:t>Inc.’s asserted patent claims targeting</w:t>
            </w:r>
          </w:p>
        </w:tc>
        <w:tc>
          <w:tcPr>
            <w:tcW w:w="2780" w:type="dxa"/>
            <w:vAlign w:val="bottom"/>
          </w:tcPr>
          <w:p>
            <w:pPr>
              <w:ind w:left="320"/>
              <w:spacing w:after="0"/>
              <w:rPr>
                <w:sz w:val="20"/>
                <w:szCs w:val="20"/>
                <w:color w:val="auto"/>
              </w:rPr>
            </w:pPr>
            <w:r>
              <w:rPr>
                <w:rFonts w:ascii="Arial" w:cs="Arial" w:eastAsia="Arial" w:hAnsi="Arial"/>
                <w:sz w:val="13"/>
                <w:szCs w:val="13"/>
                <w:color w:val="231F20"/>
              </w:rPr>
              <w:t>develop responsible solutions that</w:t>
            </w:r>
          </w:p>
        </w:tc>
        <w:tc>
          <w:tcPr>
            <w:tcW w:w="4280" w:type="dxa"/>
            <w:vAlign w:val="bottom"/>
          </w:tcPr>
          <w:p>
            <w:pPr>
              <w:spacing w:after="0"/>
              <w:rPr>
                <w:sz w:val="12"/>
                <w:szCs w:val="12"/>
                <w:color w:val="auto"/>
              </w:rPr>
            </w:pPr>
          </w:p>
        </w:tc>
      </w:tr>
      <w:tr>
        <w:trPr>
          <w:trHeight w:val="148"/>
        </w:trPr>
        <w:tc>
          <w:tcPr>
            <w:tcW w:w="4180" w:type="dxa"/>
            <w:vAlign w:val="bottom"/>
          </w:tcPr>
          <w:p>
            <w:pPr>
              <w:ind w:left="1820"/>
              <w:spacing w:after="0"/>
              <w:rPr>
                <w:sz w:val="20"/>
                <w:szCs w:val="20"/>
                <w:color w:val="auto"/>
              </w:rPr>
            </w:pPr>
            <w:r>
              <w:rPr>
                <w:rFonts w:ascii="Arial" w:cs="Arial" w:eastAsia="Arial" w:hAnsi="Arial"/>
                <w:sz w:val="13"/>
                <w:szCs w:val="13"/>
                <w:color w:val="231F20"/>
              </w:rPr>
              <w:t>PCSK9</w:t>
            </w:r>
          </w:p>
        </w:tc>
        <w:tc>
          <w:tcPr>
            <w:tcW w:w="2780" w:type="dxa"/>
            <w:vAlign w:val="bottom"/>
          </w:tcPr>
          <w:p>
            <w:pPr>
              <w:ind w:left="320"/>
              <w:spacing w:after="0"/>
              <w:rPr>
                <w:sz w:val="20"/>
                <w:szCs w:val="20"/>
                <w:color w:val="auto"/>
              </w:rPr>
            </w:pPr>
            <w:r>
              <w:rPr>
                <w:rFonts w:ascii="Arial" w:cs="Arial" w:eastAsia="Arial" w:hAnsi="Arial"/>
                <w:sz w:val="13"/>
                <w:szCs w:val="13"/>
                <w:color w:val="231F20"/>
              </w:rPr>
              <w:t>address affordability and accessibility</w:t>
            </w:r>
          </w:p>
        </w:tc>
        <w:tc>
          <w:tcPr>
            <w:tcW w:w="428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2780" w:type="dxa"/>
            <w:vAlign w:val="bottom"/>
          </w:tcPr>
          <w:p>
            <w:pPr>
              <w:ind w:left="320"/>
              <w:spacing w:after="0"/>
              <w:rPr>
                <w:sz w:val="20"/>
                <w:szCs w:val="20"/>
                <w:color w:val="auto"/>
              </w:rPr>
            </w:pPr>
            <w:r>
              <w:rPr>
                <w:rFonts w:ascii="Arial" w:cs="Arial" w:eastAsia="Arial" w:hAnsi="Arial"/>
                <w:sz w:val="13"/>
                <w:szCs w:val="13"/>
                <w:color w:val="231F20"/>
              </w:rPr>
              <w:t>while preserving incentives to develop</w:t>
            </w:r>
          </w:p>
        </w:tc>
        <w:tc>
          <w:tcPr>
            <w:tcW w:w="4280" w:type="dxa"/>
            <w:vAlign w:val="bottom"/>
          </w:tcPr>
          <w:p>
            <w:pPr>
              <w:spacing w:after="0"/>
              <w:rPr>
                <w:sz w:val="12"/>
                <w:szCs w:val="12"/>
                <w:color w:val="auto"/>
              </w:rPr>
            </w:pPr>
          </w:p>
        </w:tc>
      </w:tr>
      <w:tr>
        <w:trPr>
          <w:trHeight w:val="156"/>
        </w:trPr>
        <w:tc>
          <w:tcPr>
            <w:tcW w:w="4180" w:type="dxa"/>
            <w:vAlign w:val="bottom"/>
          </w:tcPr>
          <w:p>
            <w:pPr>
              <w:spacing w:after="0"/>
              <w:rPr>
                <w:sz w:val="13"/>
                <w:szCs w:val="13"/>
                <w:color w:val="auto"/>
              </w:rPr>
            </w:pPr>
          </w:p>
        </w:tc>
        <w:tc>
          <w:tcPr>
            <w:tcW w:w="2780" w:type="dxa"/>
            <w:vAlign w:val="bottom"/>
          </w:tcPr>
          <w:p>
            <w:pPr>
              <w:ind w:left="320"/>
              <w:spacing w:after="0"/>
              <w:rPr>
                <w:sz w:val="20"/>
                <w:szCs w:val="20"/>
                <w:color w:val="auto"/>
              </w:rPr>
            </w:pPr>
            <w:r>
              <w:rPr>
                <w:rFonts w:ascii="Arial" w:cs="Arial" w:eastAsia="Arial" w:hAnsi="Arial"/>
                <w:sz w:val="13"/>
                <w:szCs w:val="13"/>
                <w:color w:val="231F20"/>
              </w:rPr>
              <w:t>transformative treatments of the future</w:t>
            </w:r>
          </w:p>
        </w:tc>
        <w:tc>
          <w:tcPr>
            <w:tcW w:w="4280" w:type="dxa"/>
            <w:vAlign w:val="bottom"/>
          </w:tcPr>
          <w:p>
            <w:pPr>
              <w:spacing w:after="0"/>
              <w:rPr>
                <w:sz w:val="13"/>
                <w:szCs w:val="13"/>
                <w:color w:val="auto"/>
              </w:rPr>
            </w:pPr>
          </w:p>
        </w:tc>
      </w:tr>
      <w:tr>
        <w:trPr>
          <w:trHeight w:val="463"/>
        </w:trPr>
        <w:tc>
          <w:tcPr>
            <w:tcW w:w="4180" w:type="dxa"/>
            <w:vAlign w:val="bottom"/>
          </w:tcPr>
          <w:p>
            <w:pPr>
              <w:ind w:left="1260"/>
              <w:spacing w:after="0"/>
              <w:rPr>
                <w:sz w:val="20"/>
                <w:szCs w:val="20"/>
                <w:color w:val="auto"/>
              </w:rPr>
            </w:pPr>
            <w:r>
              <w:rPr>
                <w:rFonts w:ascii="Arial" w:cs="Arial" w:eastAsia="Arial" w:hAnsi="Arial"/>
                <w:sz w:val="14"/>
                <w:szCs w:val="14"/>
                <w:b w:val="1"/>
                <w:bCs w:val="1"/>
                <w:color w:val="00A5EC"/>
              </w:rPr>
              <w:t xml:space="preserve">70  </w:t>
            </w:r>
            <w:r>
              <w:rPr>
                <w:rFonts w:ascii="Arial" w:cs="Arial" w:eastAsia="Arial" w:hAnsi="Arial"/>
                <w:sz w:val="14"/>
                <w:szCs w:val="14"/>
                <w:color w:val="00A5EC"/>
              </w:rPr>
              <w:t>/</w:t>
            </w:r>
          </w:p>
        </w:tc>
        <w:tc>
          <w:tcPr>
            <w:tcW w:w="7060" w:type="dxa"/>
            <w:vAlign w:val="bottom"/>
            <w:gridSpan w:val="2"/>
          </w:tcPr>
          <w:p>
            <w:pPr>
              <w:ind w:left="7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r>
      <w:tr>
        <w:trPr>
          <w:trHeight w:val="262"/>
        </w:trPr>
        <w:tc>
          <w:tcPr>
            <w:tcW w:w="4180" w:type="dxa"/>
            <w:vAlign w:val="bottom"/>
            <w:tcBorders>
              <w:bottom w:val="single" w:sz="8" w:color="C0C0C0"/>
            </w:tcBorders>
          </w:tcPr>
          <w:p>
            <w:pPr>
              <w:spacing w:after="0"/>
              <w:rPr>
                <w:sz w:val="22"/>
                <w:szCs w:val="22"/>
                <w:color w:val="auto"/>
              </w:rPr>
            </w:pPr>
          </w:p>
        </w:tc>
        <w:tc>
          <w:tcPr>
            <w:tcW w:w="2780" w:type="dxa"/>
            <w:vAlign w:val="bottom"/>
            <w:tcBorders>
              <w:bottom w:val="single" w:sz="8" w:color="C0C0C0"/>
            </w:tcBorders>
          </w:tcPr>
          <w:p>
            <w:pPr>
              <w:spacing w:after="0"/>
              <w:rPr>
                <w:sz w:val="22"/>
                <w:szCs w:val="22"/>
                <w:color w:val="auto"/>
              </w:rPr>
            </w:pPr>
          </w:p>
        </w:tc>
        <w:tc>
          <w:tcPr>
            <w:tcW w:w="428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-290830</wp:posOffset>
            </wp:positionV>
            <wp:extent cx="745490" cy="857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2" w:name="page83"/>
    <w:bookmarkEnd w:id="82"/>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143510</wp:posOffset>
            </wp:positionV>
            <wp:extent cx="5143500" cy="154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15430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2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FFFFFF"/>
        </w:rPr>
        <w:t>(3) TALENT, CULTURE,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36830</wp:posOffset>
            </wp:positionV>
            <wp:extent cx="5143500" cy="5657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C04C57"/>
        </w:rPr>
        <w:t>Talent Management &amp; Retention</w:t>
      </w:r>
    </w:p>
    <w:p>
      <w:pPr>
        <w:spacing w:after="0" w:line="103" w:lineRule="exact"/>
        <w:rPr>
          <w:sz w:val="20"/>
          <w:szCs w:val="20"/>
          <w:color w:val="auto"/>
        </w:rPr>
      </w:pPr>
    </w:p>
    <w:p>
      <w:pPr>
        <w:ind w:left="1820" w:hanging="156"/>
        <w:spacing w:after="0"/>
        <w:tabs>
          <w:tab w:leader="none" w:pos="1820" w:val="left"/>
        </w:tabs>
        <w:numPr>
          <w:ilvl w:val="0"/>
          <w:numId w:val="137"/>
        </w:numPr>
        <w:rPr>
          <w:rFonts w:ascii="Arial" w:cs="Arial" w:eastAsia="Arial" w:hAnsi="Arial"/>
          <w:sz w:val="13"/>
          <w:szCs w:val="13"/>
          <w:color w:val="2952A4"/>
        </w:rPr>
      </w:pPr>
      <w:r>
        <w:rPr>
          <w:rFonts w:ascii="Arial" w:cs="Arial" w:eastAsia="Arial" w:hAnsi="Arial"/>
          <w:sz w:val="13"/>
          <w:szCs w:val="13"/>
          <w:color w:val="231F20"/>
        </w:rPr>
        <w:t>Growth of global workforce to support our long-term strategic objectives</w:t>
      </w:r>
    </w:p>
    <w:p>
      <w:pPr>
        <w:ind w:left="1820" w:hanging="156"/>
        <w:spacing w:after="0"/>
        <w:tabs>
          <w:tab w:leader="none" w:pos="1820" w:val="left"/>
        </w:tabs>
        <w:numPr>
          <w:ilvl w:val="0"/>
          <w:numId w:val="137"/>
        </w:numPr>
        <w:rPr>
          <w:rFonts w:ascii="Arial" w:cs="Arial" w:eastAsia="Arial" w:hAnsi="Arial"/>
          <w:sz w:val="13"/>
          <w:szCs w:val="13"/>
          <w:color w:val="2952A4"/>
        </w:rPr>
      </w:pPr>
      <w:r>
        <w:rPr>
          <w:rFonts w:ascii="Arial" w:cs="Arial" w:eastAsia="Arial" w:hAnsi="Arial"/>
          <w:sz w:val="13"/>
          <w:szCs w:val="13"/>
          <w:color w:val="231F20"/>
        </w:rPr>
        <w:t>Employee retention and below-industry attrition rate</w:t>
      </w:r>
    </w:p>
    <w:p>
      <w:pPr>
        <w:ind w:left="1820" w:hanging="156"/>
        <w:spacing w:after="0"/>
        <w:tabs>
          <w:tab w:leader="none" w:pos="1820" w:val="left"/>
        </w:tabs>
        <w:numPr>
          <w:ilvl w:val="0"/>
          <w:numId w:val="137"/>
        </w:numPr>
        <w:rPr>
          <w:rFonts w:ascii="Arial" w:cs="Arial" w:eastAsia="Arial" w:hAnsi="Arial"/>
          <w:sz w:val="13"/>
          <w:szCs w:val="13"/>
          <w:color w:val="2952A4"/>
        </w:rPr>
      </w:pPr>
      <w:r>
        <w:rPr>
          <w:rFonts w:ascii="Arial" w:cs="Arial" w:eastAsia="Arial" w:hAnsi="Arial"/>
          <w:sz w:val="13"/>
          <w:szCs w:val="13"/>
          <w:color w:val="231F20"/>
        </w:rPr>
        <w:t>Outside recognition and employee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13119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1311910"/>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ectPr>
          <w:pgSz w:w="11900" w:h="16838" w:orient="portrait"/>
          <w:cols w:equalWidth="0" w:num="1">
            <w:col w:w="11240"/>
          </w:cols>
          <w:pgMar w:left="320" w:top="405" w:right="339" w:bottom="1440" w:gutter="0" w:footer="0" w:header="0"/>
          <w:type w:val="continuous"/>
        </w:sectPr>
      </w:pPr>
    </w:p>
    <w:p>
      <w:pPr>
        <w:spacing w:after="0" w:line="104" w:lineRule="exact"/>
        <w:rPr>
          <w:sz w:val="20"/>
          <w:szCs w:val="20"/>
          <w:color w:val="auto"/>
        </w:rPr>
      </w:pPr>
    </w:p>
    <w:p>
      <w:pPr>
        <w:ind w:left="1820" w:right="80" w:hanging="156"/>
        <w:spacing w:after="0" w:line="238" w:lineRule="auto"/>
        <w:tabs>
          <w:tab w:leader="none" w:pos="1812" w:val="left"/>
        </w:tabs>
        <w:numPr>
          <w:ilvl w:val="0"/>
          <w:numId w:val="138"/>
        </w:numPr>
        <w:rPr>
          <w:rFonts w:ascii="Arial" w:cs="Arial" w:eastAsia="Arial" w:hAnsi="Arial"/>
          <w:sz w:val="13"/>
          <w:szCs w:val="13"/>
          <w:color w:val="2952A4"/>
        </w:rPr>
      </w:pPr>
      <w:r>
        <w:rPr>
          <w:rFonts w:ascii="Arial" w:cs="Arial" w:eastAsia="Arial" w:hAnsi="Arial"/>
          <w:sz w:val="13"/>
          <w:szCs w:val="13"/>
          <w:color w:val="231F20"/>
        </w:rPr>
        <w:t>Hired ~2,000 individuals to workforce, including nearly 1,200 full-time employees from January 1, 2019 to November 1, 2019; workforce to over 8,000 full-time employees as of the end of that period</w:t>
      </w:r>
    </w:p>
    <w:p>
      <w:pPr>
        <w:spacing w:after="0" w:line="1" w:lineRule="exact"/>
        <w:rPr>
          <w:rFonts w:ascii="Arial" w:cs="Arial" w:eastAsia="Arial" w:hAnsi="Arial"/>
          <w:sz w:val="13"/>
          <w:szCs w:val="13"/>
          <w:color w:val="2952A4"/>
        </w:rPr>
      </w:pPr>
    </w:p>
    <w:p>
      <w:pPr>
        <w:ind w:left="1820" w:hanging="156"/>
        <w:spacing w:after="0" w:line="241" w:lineRule="auto"/>
        <w:tabs>
          <w:tab w:leader="none" w:pos="1812" w:val="left"/>
        </w:tabs>
        <w:numPr>
          <w:ilvl w:val="0"/>
          <w:numId w:val="138"/>
        </w:numPr>
        <w:rPr>
          <w:rFonts w:ascii="Arial" w:cs="Arial" w:eastAsia="Arial" w:hAnsi="Arial"/>
          <w:sz w:val="13"/>
          <w:szCs w:val="13"/>
          <w:color w:val="2952A4"/>
        </w:rPr>
      </w:pPr>
      <w:r>
        <w:rPr>
          <w:rFonts w:ascii="Arial" w:cs="Arial" w:eastAsia="Arial" w:hAnsi="Arial"/>
          <w:sz w:val="13"/>
          <w:szCs w:val="13"/>
          <w:color w:val="231F20"/>
        </w:rPr>
        <w:t>Continued to maintain a rolling 12-month turnover rate of ~7.5%; less than half the industry average of 19% (based on Radford’s report for the life sciences industry for the second quarter of 2019)</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56" w:right="40" w:hanging="156"/>
        <w:spacing w:after="0" w:line="244" w:lineRule="auto"/>
        <w:tabs>
          <w:tab w:leader="none" w:pos="148" w:val="left"/>
        </w:tabs>
        <w:numPr>
          <w:ilvl w:val="0"/>
          <w:numId w:val="139"/>
        </w:numPr>
        <w:rPr>
          <w:rFonts w:ascii="Arial" w:cs="Arial" w:eastAsia="Arial" w:hAnsi="Arial"/>
          <w:sz w:val="13"/>
          <w:szCs w:val="13"/>
          <w:color w:val="2952A4"/>
        </w:rPr>
      </w:pPr>
      <w:r>
        <w:rPr>
          <w:rFonts w:ascii="Arial" w:cs="Arial" w:eastAsia="Arial" w:hAnsi="Arial"/>
          <w:sz w:val="13"/>
          <w:szCs w:val="13"/>
          <w:color w:val="231F20"/>
        </w:rPr>
        <w:t xml:space="preserve">Rolled out </w:t>
      </w:r>
      <w:r>
        <w:rPr>
          <w:rFonts w:ascii="Arial" w:cs="Arial" w:eastAsia="Arial" w:hAnsi="Arial"/>
          <w:sz w:val="13"/>
          <w:szCs w:val="13"/>
          <w:i w:val="1"/>
          <w:iCs w:val="1"/>
          <w:color w:val="231F20"/>
        </w:rPr>
        <w:t>The Regeneron Way</w:t>
      </w:r>
      <w:r>
        <w:rPr>
          <w:rFonts w:ascii="Arial" w:cs="Arial" w:eastAsia="Arial" w:hAnsi="Arial"/>
          <w:sz w:val="13"/>
          <w:szCs w:val="13"/>
          <w:color w:val="231F20"/>
        </w:rPr>
        <w:t>, Regeneron’s updated cultural values and behaviors that define who we are, what we stand for, and how we work together</w:t>
      </w:r>
    </w:p>
    <w:p>
      <w:pPr>
        <w:ind w:left="156" w:hanging="156"/>
        <w:spacing w:after="0" w:line="258" w:lineRule="auto"/>
        <w:tabs>
          <w:tab w:leader="none" w:pos="148" w:val="left"/>
        </w:tabs>
        <w:numPr>
          <w:ilvl w:val="0"/>
          <w:numId w:val="139"/>
        </w:numPr>
        <w:rPr>
          <w:rFonts w:ascii="Arial" w:cs="Arial" w:eastAsia="Arial" w:hAnsi="Arial"/>
          <w:sz w:val="12"/>
          <w:szCs w:val="12"/>
          <w:color w:val="2952A4"/>
        </w:rPr>
      </w:pPr>
      <w:r>
        <w:rPr>
          <w:rFonts w:ascii="Arial" w:cs="Arial" w:eastAsia="Arial" w:hAnsi="Arial"/>
          <w:sz w:val="12"/>
          <w:szCs w:val="12"/>
          <w:i w:val="1"/>
          <w:iCs w:val="1"/>
          <w:color w:val="231F20"/>
        </w:rPr>
        <w:t xml:space="preserve">Science </w:t>
      </w:r>
      <w:r>
        <w:rPr>
          <w:rFonts w:ascii="Arial" w:cs="Arial" w:eastAsia="Arial" w:hAnsi="Arial"/>
          <w:sz w:val="12"/>
          <w:szCs w:val="12"/>
          <w:color w:val="231F20"/>
        </w:rPr>
        <w:t>“Top Employers” - #2 company to</w:t>
      </w:r>
      <w:r>
        <w:rPr>
          <w:rFonts w:ascii="Arial" w:cs="Arial" w:eastAsia="Arial" w:hAnsi="Arial"/>
          <w:sz w:val="12"/>
          <w:szCs w:val="12"/>
          <w:i w:val="1"/>
          <w:iCs w:val="1"/>
          <w:color w:val="231F20"/>
        </w:rPr>
        <w:t xml:space="preserve"> </w:t>
      </w:r>
      <w:r>
        <w:rPr>
          <w:rFonts w:ascii="Arial" w:cs="Arial" w:eastAsia="Arial" w:hAnsi="Arial"/>
          <w:sz w:val="12"/>
          <w:szCs w:val="12"/>
          <w:color w:val="231F20"/>
        </w:rPr>
        <w:t>work for in the global biopharmaceutical industry (ranked #1 or #2 for past nine years, making Regeneron the most highly ranked company over the past decade)</w:t>
      </w:r>
    </w:p>
    <w:p>
      <w:pPr>
        <w:ind w:left="156" w:right="200" w:hanging="156"/>
        <w:spacing w:after="0" w:line="248" w:lineRule="auto"/>
        <w:tabs>
          <w:tab w:leader="none" w:pos="148" w:val="left"/>
        </w:tabs>
        <w:numPr>
          <w:ilvl w:val="0"/>
          <w:numId w:val="139"/>
        </w:numPr>
        <w:rPr>
          <w:rFonts w:ascii="Arial" w:cs="Arial" w:eastAsia="Arial" w:hAnsi="Arial"/>
          <w:sz w:val="13"/>
          <w:szCs w:val="13"/>
          <w:color w:val="2952A4"/>
        </w:rPr>
      </w:pPr>
      <w:r>
        <w:rPr>
          <w:rFonts w:ascii="Arial" w:cs="Arial" w:eastAsia="Arial" w:hAnsi="Arial"/>
          <w:sz w:val="13"/>
          <w:szCs w:val="13"/>
          <w:i w:val="1"/>
          <w:iCs w:val="1"/>
          <w:color w:val="231F20"/>
        </w:rPr>
        <w:t xml:space="preserve">Fortune </w:t>
      </w:r>
      <w:r>
        <w:rPr>
          <w:rFonts w:ascii="Arial" w:cs="Arial" w:eastAsia="Arial" w:hAnsi="Arial"/>
          <w:sz w:val="13"/>
          <w:szCs w:val="13"/>
          <w:color w:val="231F20"/>
        </w:rPr>
        <w:t>“100 Best Companies to Work</w:t>
      </w:r>
      <w:r>
        <w:rPr>
          <w:rFonts w:ascii="Arial" w:cs="Arial" w:eastAsia="Arial" w:hAnsi="Arial"/>
          <w:sz w:val="13"/>
          <w:szCs w:val="13"/>
          <w:i w:val="1"/>
          <w:iCs w:val="1"/>
          <w:color w:val="231F20"/>
        </w:rPr>
        <w:t xml:space="preserve"> </w:t>
      </w:r>
      <w:r>
        <w:rPr>
          <w:rFonts w:ascii="Arial" w:cs="Arial" w:eastAsia="Arial" w:hAnsi="Arial"/>
          <w:sz w:val="13"/>
          <w:szCs w:val="13"/>
          <w:color w:val="231F20"/>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41910</wp:posOffset>
            </wp:positionV>
            <wp:extent cx="5143500" cy="5657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55" w:hanging="155"/>
        <w:spacing w:after="0"/>
        <w:tabs>
          <w:tab w:leader="none" w:pos="155" w:val="left"/>
        </w:tabs>
        <w:numPr>
          <w:ilvl w:val="0"/>
          <w:numId w:val="140"/>
        </w:numPr>
        <w:rPr>
          <w:rFonts w:ascii="Arial" w:cs="Arial" w:eastAsia="Arial" w:hAnsi="Arial"/>
          <w:sz w:val="12"/>
          <w:szCs w:val="12"/>
          <w:color w:val="2952A4"/>
        </w:rPr>
      </w:pPr>
      <w:r>
        <w:rPr>
          <w:rFonts w:ascii="Arial" w:cs="Arial" w:eastAsia="Arial" w:hAnsi="Arial"/>
          <w:sz w:val="12"/>
          <w:szCs w:val="12"/>
          <w:i w:val="1"/>
          <w:iCs w:val="1"/>
          <w:color w:val="231F20"/>
        </w:rPr>
        <w:t xml:space="preserve">Forbes </w:t>
      </w:r>
      <w:r>
        <w:rPr>
          <w:rFonts w:ascii="Arial" w:cs="Arial" w:eastAsia="Arial" w:hAnsi="Arial"/>
          <w:sz w:val="12"/>
          <w:szCs w:val="12"/>
          <w:color w:val="231F20"/>
        </w:rPr>
        <w:t>“Best Employers for Diversity”</w:t>
      </w:r>
    </w:p>
    <w:p>
      <w:pPr>
        <w:spacing w:after="0" w:line="24" w:lineRule="exact"/>
        <w:rPr>
          <w:rFonts w:ascii="Arial" w:cs="Arial" w:eastAsia="Arial" w:hAnsi="Arial"/>
          <w:sz w:val="12"/>
          <w:szCs w:val="12"/>
          <w:color w:val="2952A4"/>
        </w:rPr>
      </w:pPr>
    </w:p>
    <w:p>
      <w:pPr>
        <w:jc w:val="both"/>
        <w:ind w:left="155" w:right="1780" w:hanging="155"/>
        <w:spacing w:after="0" w:line="238" w:lineRule="auto"/>
        <w:tabs>
          <w:tab w:leader="none" w:pos="147" w:val="left"/>
        </w:tabs>
        <w:numPr>
          <w:ilvl w:val="0"/>
          <w:numId w:val="140"/>
        </w:numPr>
        <w:rPr>
          <w:rFonts w:ascii="Arial" w:cs="Arial" w:eastAsia="Arial" w:hAnsi="Arial"/>
          <w:sz w:val="13"/>
          <w:szCs w:val="13"/>
          <w:color w:val="2952A4"/>
        </w:rPr>
      </w:pPr>
      <w:r>
        <w:rPr>
          <w:rFonts w:ascii="Arial" w:cs="Arial" w:eastAsia="Arial" w:hAnsi="Arial"/>
          <w:sz w:val="13"/>
          <w:szCs w:val="13"/>
          <w:i w:val="1"/>
          <w:iCs w:val="1"/>
          <w:color w:val="231F20"/>
        </w:rPr>
        <w:t xml:space="preserve">Forbes </w:t>
      </w:r>
      <w:r>
        <w:rPr>
          <w:rFonts w:ascii="Arial" w:cs="Arial" w:eastAsia="Arial" w:hAnsi="Arial"/>
          <w:sz w:val="13"/>
          <w:szCs w:val="13"/>
          <w:color w:val="231F20"/>
        </w:rPr>
        <w:t>“World’s Best Employers” and</w:t>
      </w:r>
      <w:r>
        <w:rPr>
          <w:rFonts w:ascii="Arial" w:cs="Arial" w:eastAsia="Arial" w:hAnsi="Arial"/>
          <w:sz w:val="13"/>
          <w:szCs w:val="13"/>
          <w:i w:val="1"/>
          <w:iCs w:val="1"/>
          <w:color w:val="231F20"/>
        </w:rPr>
        <w:t xml:space="preserve"> </w:t>
      </w:r>
      <w:r>
        <w:rPr>
          <w:rFonts w:ascii="Arial" w:cs="Arial" w:eastAsia="Arial" w:hAnsi="Arial"/>
          <w:sz w:val="13"/>
          <w:szCs w:val="13"/>
          <w:color w:val="231F20"/>
        </w:rPr>
        <w:t>“America’s Best Employers by State”</w:t>
      </w:r>
    </w:p>
    <w:p>
      <w:pPr>
        <w:ind w:left="155" w:right="1880" w:hanging="155"/>
        <w:spacing w:after="0" w:line="238" w:lineRule="auto"/>
        <w:tabs>
          <w:tab w:leader="none" w:pos="147" w:val="left"/>
        </w:tabs>
        <w:numPr>
          <w:ilvl w:val="0"/>
          <w:numId w:val="140"/>
        </w:numPr>
        <w:rPr>
          <w:rFonts w:ascii="Arial" w:cs="Arial" w:eastAsia="Arial" w:hAnsi="Arial"/>
          <w:sz w:val="13"/>
          <w:szCs w:val="13"/>
          <w:color w:val="2952A4"/>
        </w:rPr>
      </w:pPr>
      <w:r>
        <w:rPr>
          <w:rFonts w:ascii="Arial" w:cs="Arial" w:eastAsia="Arial" w:hAnsi="Arial"/>
          <w:sz w:val="13"/>
          <w:szCs w:val="13"/>
          <w:i w:val="1"/>
          <w:iCs w:val="1"/>
          <w:color w:val="231F20"/>
        </w:rPr>
        <w:t xml:space="preserve">Fortune/Great Places to Work </w:t>
      </w:r>
      <w:r>
        <w:rPr>
          <w:rFonts w:ascii="Arial" w:cs="Arial" w:eastAsia="Arial" w:hAnsi="Arial"/>
          <w:sz w:val="13"/>
          <w:szCs w:val="13"/>
          <w:color w:val="231F20"/>
        </w:rPr>
        <w:t>“Best</w:t>
      </w:r>
      <w:r>
        <w:rPr>
          <w:rFonts w:ascii="Arial" w:cs="Arial" w:eastAsia="Arial" w:hAnsi="Arial"/>
          <w:sz w:val="13"/>
          <w:szCs w:val="13"/>
          <w:i w:val="1"/>
          <w:iCs w:val="1"/>
          <w:color w:val="231F20"/>
        </w:rPr>
        <w:t xml:space="preserve"> </w:t>
      </w:r>
      <w:r>
        <w:rPr>
          <w:rFonts w:ascii="Arial" w:cs="Arial" w:eastAsia="Arial" w:hAnsi="Arial"/>
          <w:sz w:val="13"/>
          <w:szCs w:val="13"/>
          <w:color w:val="231F20"/>
        </w:rPr>
        <w:t>Places to Work in Health Care and Biopharma”</w:t>
      </w:r>
    </w:p>
    <w:p>
      <w:pPr>
        <w:ind w:left="155" w:right="2360" w:hanging="155"/>
        <w:spacing w:after="0" w:line="238" w:lineRule="auto"/>
        <w:tabs>
          <w:tab w:leader="none" w:pos="147" w:val="left"/>
        </w:tabs>
        <w:numPr>
          <w:ilvl w:val="0"/>
          <w:numId w:val="140"/>
        </w:numPr>
        <w:rPr>
          <w:rFonts w:ascii="Arial" w:cs="Arial" w:eastAsia="Arial" w:hAnsi="Arial"/>
          <w:sz w:val="13"/>
          <w:szCs w:val="13"/>
          <w:color w:val="2952A4"/>
        </w:rPr>
      </w:pPr>
      <w:r>
        <w:rPr>
          <w:rFonts w:ascii="Arial" w:cs="Arial" w:eastAsia="Arial" w:hAnsi="Arial"/>
          <w:sz w:val="13"/>
          <w:szCs w:val="13"/>
          <w:i w:val="1"/>
          <w:iCs w:val="1"/>
          <w:color w:val="231F20"/>
        </w:rPr>
        <w:t xml:space="preserve">Great Places to Work </w:t>
      </w:r>
      <w:r>
        <w:rPr>
          <w:rFonts w:ascii="Arial" w:cs="Arial" w:eastAsia="Arial" w:hAnsi="Arial"/>
          <w:sz w:val="13"/>
          <w:szCs w:val="13"/>
          <w:color w:val="231F20"/>
        </w:rPr>
        <w:t>“Best</w:t>
      </w:r>
      <w:r>
        <w:rPr>
          <w:rFonts w:ascii="Arial" w:cs="Arial" w:eastAsia="Arial" w:hAnsi="Arial"/>
          <w:sz w:val="13"/>
          <w:szCs w:val="13"/>
          <w:i w:val="1"/>
          <w:iCs w:val="1"/>
          <w:color w:val="231F20"/>
        </w:rPr>
        <w:t xml:space="preserve"> </w:t>
      </w:r>
      <w:r>
        <w:rPr>
          <w:rFonts w:ascii="Arial" w:cs="Arial" w:eastAsia="Arial" w:hAnsi="Arial"/>
          <w:sz w:val="13"/>
          <w:szCs w:val="13"/>
          <w:color w:val="231F20"/>
        </w:rPr>
        <w:t>Workplaces in Ireland”</w:t>
      </w:r>
    </w:p>
    <w:p>
      <w:pPr>
        <w:ind w:left="155" w:right="1840" w:hanging="155"/>
        <w:spacing w:after="0" w:line="248" w:lineRule="auto"/>
        <w:tabs>
          <w:tab w:leader="none" w:pos="147" w:val="left"/>
        </w:tabs>
        <w:numPr>
          <w:ilvl w:val="0"/>
          <w:numId w:val="140"/>
        </w:numPr>
        <w:rPr>
          <w:rFonts w:ascii="Arial" w:cs="Arial" w:eastAsia="Arial" w:hAnsi="Arial"/>
          <w:sz w:val="13"/>
          <w:szCs w:val="13"/>
          <w:color w:val="2952A4"/>
        </w:rPr>
      </w:pPr>
      <w:r>
        <w:rPr>
          <w:rFonts w:ascii="Arial" w:cs="Arial" w:eastAsia="Arial" w:hAnsi="Arial"/>
          <w:sz w:val="13"/>
          <w:szCs w:val="13"/>
          <w:i w:val="1"/>
          <w:iCs w:val="1"/>
          <w:color w:val="231F20"/>
        </w:rPr>
        <w:t xml:space="preserve">Fast Company </w:t>
      </w:r>
      <w:r>
        <w:rPr>
          <w:rFonts w:ascii="Arial" w:cs="Arial" w:eastAsia="Arial" w:hAnsi="Arial"/>
          <w:sz w:val="13"/>
          <w:szCs w:val="13"/>
          <w:color w:val="231F20"/>
        </w:rPr>
        <w:t>“Best Workplaces for</w:t>
      </w:r>
      <w:r>
        <w:rPr>
          <w:rFonts w:ascii="Arial" w:cs="Arial" w:eastAsia="Arial" w:hAnsi="Arial"/>
          <w:sz w:val="13"/>
          <w:szCs w:val="13"/>
          <w:i w:val="1"/>
          <w:iCs w:val="1"/>
          <w:color w:val="231F20"/>
        </w:rPr>
        <w:t xml:space="preserve"> </w:t>
      </w:r>
      <w:r>
        <w:rPr>
          <w:rFonts w:ascii="Arial" w:cs="Arial" w:eastAsia="Arial" w:hAnsi="Arial"/>
          <w:sz w:val="13"/>
          <w:szCs w:val="13"/>
          <w:color w:val="231F20"/>
        </w:rPr>
        <w:t>Innovators”</w:t>
      </w:r>
    </w:p>
    <w:p>
      <w:pPr>
        <w:spacing w:after="0" w:line="282" w:lineRule="exact"/>
        <w:rPr>
          <w:sz w:val="20"/>
          <w:szCs w:val="20"/>
          <w:color w:val="auto"/>
        </w:rPr>
      </w:pPr>
    </w:p>
    <w:p>
      <w:pPr>
        <w:sectPr>
          <w:pgSz w:w="11900" w:h="16838" w:orient="portrait"/>
          <w:cols w:equalWidth="0" w:num="3">
            <w:col w:w="4180" w:space="184"/>
            <w:col w:w="2576" w:space="205"/>
            <w:col w:w="4095"/>
          </w:cols>
          <w:pgMar w:left="320" w:top="405" w:right="339" w:bottom="1440" w:gutter="0" w:footer="0" w:header="0"/>
          <w:type w:val="continuous"/>
        </w:sectPr>
      </w:pPr>
    </w:p>
    <w:p>
      <w:pPr>
        <w:ind w:left="1660"/>
        <w:spacing w:after="0"/>
        <w:rPr>
          <w:sz w:val="20"/>
          <w:szCs w:val="20"/>
          <w:color w:val="auto"/>
        </w:rPr>
      </w:pPr>
      <w:r>
        <w:rPr>
          <w:rFonts w:ascii="Arial" w:cs="Arial" w:eastAsia="Arial" w:hAnsi="Arial"/>
          <w:sz w:val="17"/>
          <w:szCs w:val="17"/>
          <w:b w:val="1"/>
          <w:bCs w:val="1"/>
          <w:color w:val="C04C57"/>
        </w:rPr>
        <w:t>Corporate Responsibility</w:t>
      </w:r>
    </w:p>
    <w:p>
      <w:pPr>
        <w:spacing w:after="0" w:line="103" w:lineRule="exact"/>
        <w:rPr>
          <w:sz w:val="20"/>
          <w:szCs w:val="20"/>
          <w:color w:val="auto"/>
        </w:rPr>
      </w:pPr>
    </w:p>
    <w:p>
      <w:pPr>
        <w:ind w:left="1820" w:hanging="156"/>
        <w:spacing w:after="0"/>
        <w:tabs>
          <w:tab w:leader="none" w:pos="1820" w:val="left"/>
        </w:tabs>
        <w:numPr>
          <w:ilvl w:val="0"/>
          <w:numId w:val="141"/>
        </w:numPr>
        <w:rPr>
          <w:rFonts w:ascii="Arial" w:cs="Arial" w:eastAsia="Arial" w:hAnsi="Arial"/>
          <w:sz w:val="13"/>
          <w:szCs w:val="13"/>
          <w:color w:val="2952A4"/>
        </w:rPr>
      </w:pPr>
      <w:r>
        <w:rPr>
          <w:rFonts w:ascii="Arial" w:cs="Arial" w:eastAsia="Arial" w:hAnsi="Arial"/>
          <w:sz w:val="13"/>
          <w:szCs w:val="13"/>
          <w:color w:val="231F20"/>
        </w:rPr>
        <w:t>ESG activities, reporting, ratings, and rankings</w:t>
      </w:r>
    </w:p>
    <w:p>
      <w:pPr>
        <w:ind w:left="1820" w:hanging="156"/>
        <w:spacing w:after="0"/>
        <w:tabs>
          <w:tab w:leader="none" w:pos="1820" w:val="left"/>
        </w:tabs>
        <w:numPr>
          <w:ilvl w:val="0"/>
          <w:numId w:val="141"/>
        </w:numPr>
        <w:rPr>
          <w:rFonts w:ascii="Arial" w:cs="Arial" w:eastAsia="Arial" w:hAnsi="Arial"/>
          <w:sz w:val="13"/>
          <w:szCs w:val="13"/>
          <w:color w:val="2952A4"/>
        </w:rPr>
      </w:pPr>
      <w:r>
        <w:rPr>
          <w:rFonts w:ascii="Arial" w:cs="Arial" w:eastAsia="Arial" w:hAnsi="Arial"/>
          <w:sz w:val="13"/>
          <w:szCs w:val="13"/>
          <w:color w:val="231F20"/>
        </w:rPr>
        <w:t>Corporate giving</w:t>
      </w:r>
    </w:p>
    <w:p>
      <w:pPr>
        <w:ind w:left="1820" w:hanging="156"/>
        <w:spacing w:after="0"/>
        <w:tabs>
          <w:tab w:leader="none" w:pos="1820" w:val="left"/>
        </w:tabs>
        <w:numPr>
          <w:ilvl w:val="0"/>
          <w:numId w:val="141"/>
        </w:numPr>
        <w:rPr>
          <w:rFonts w:ascii="Arial" w:cs="Arial" w:eastAsia="Arial" w:hAnsi="Arial"/>
          <w:sz w:val="13"/>
          <w:szCs w:val="13"/>
          <w:color w:val="2952A4"/>
        </w:rPr>
      </w:pPr>
      <w:r>
        <w:rPr>
          <w:rFonts w:ascii="Arial" w:cs="Arial" w:eastAsia="Arial" w:hAnsi="Arial"/>
          <w:sz w:val="13"/>
          <w:szCs w:val="13"/>
          <w:color w:val="231F20"/>
        </w:rPr>
        <w:t>Philanthropic and citizenship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1405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1405890"/>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ectPr>
          <w:pgSz w:w="11900" w:h="16838" w:orient="portrait"/>
          <w:cols w:equalWidth="0" w:num="1">
            <w:col w:w="11240"/>
          </w:cols>
          <w:pgMar w:left="320" w:top="405" w:right="339" w:bottom="1440" w:gutter="0" w:footer="0" w:header="0"/>
          <w:type w:val="continuous"/>
        </w:sectPr>
      </w:pPr>
    </w:p>
    <w:p>
      <w:pPr>
        <w:spacing w:after="0" w:line="104" w:lineRule="exact"/>
        <w:rPr>
          <w:sz w:val="20"/>
          <w:szCs w:val="20"/>
          <w:color w:val="auto"/>
        </w:rPr>
      </w:pPr>
    </w:p>
    <w:p>
      <w:pPr>
        <w:ind w:left="1820" w:hanging="156"/>
        <w:spacing w:after="0" w:line="238" w:lineRule="auto"/>
        <w:tabs>
          <w:tab w:leader="none" w:pos="1812" w:val="left"/>
        </w:tabs>
        <w:numPr>
          <w:ilvl w:val="0"/>
          <w:numId w:val="142"/>
        </w:numPr>
        <w:rPr>
          <w:rFonts w:ascii="Arial" w:cs="Arial" w:eastAsia="Arial" w:hAnsi="Arial"/>
          <w:sz w:val="13"/>
          <w:szCs w:val="13"/>
          <w:color w:val="2952A4"/>
        </w:rPr>
      </w:pPr>
      <w:r>
        <w:rPr>
          <w:rFonts w:ascii="Arial" w:cs="Arial" w:eastAsia="Arial" w:hAnsi="Arial"/>
          <w:sz w:val="13"/>
          <w:szCs w:val="13"/>
          <w:color w:val="231F20"/>
        </w:rPr>
        <w:t>Published second annual Responsibility Report, expanded disclosure on relevant ESG issues, and improved performance on several ESG investor assessments</w:t>
      </w:r>
    </w:p>
    <w:p>
      <w:pPr>
        <w:spacing w:after="0" w:line="1" w:lineRule="exact"/>
        <w:rPr>
          <w:rFonts w:ascii="Arial" w:cs="Arial" w:eastAsia="Arial" w:hAnsi="Arial"/>
          <w:sz w:val="13"/>
          <w:szCs w:val="13"/>
          <w:color w:val="2952A4"/>
        </w:rPr>
      </w:pPr>
    </w:p>
    <w:p>
      <w:pPr>
        <w:jc w:val="both"/>
        <w:ind w:left="1820" w:right="100" w:hanging="156"/>
        <w:spacing w:after="0" w:line="238" w:lineRule="auto"/>
        <w:tabs>
          <w:tab w:leader="none" w:pos="1812" w:val="left"/>
        </w:tabs>
        <w:numPr>
          <w:ilvl w:val="0"/>
          <w:numId w:val="142"/>
        </w:numPr>
        <w:rPr>
          <w:rFonts w:ascii="Arial" w:cs="Arial" w:eastAsia="Arial" w:hAnsi="Arial"/>
          <w:sz w:val="13"/>
          <w:szCs w:val="13"/>
          <w:color w:val="2952A4"/>
        </w:rPr>
      </w:pPr>
      <w:r>
        <w:rPr>
          <w:rFonts w:ascii="Arial" w:cs="Arial" w:eastAsia="Arial" w:hAnsi="Arial"/>
          <w:sz w:val="13"/>
          <w:szCs w:val="13"/>
          <w:color w:val="231F20"/>
        </w:rPr>
        <w:t>Identified 2025 corporate responsibility goals, including broader environmental priorities</w:t>
      </w:r>
    </w:p>
    <w:p>
      <w:pPr>
        <w:ind w:left="1820" w:hanging="156"/>
        <w:spacing w:after="0" w:line="243" w:lineRule="auto"/>
        <w:tabs>
          <w:tab w:leader="none" w:pos="1812" w:val="left"/>
        </w:tabs>
        <w:numPr>
          <w:ilvl w:val="0"/>
          <w:numId w:val="142"/>
        </w:numPr>
        <w:rPr>
          <w:rFonts w:ascii="Arial" w:cs="Arial" w:eastAsia="Arial" w:hAnsi="Arial"/>
          <w:sz w:val="13"/>
          <w:szCs w:val="13"/>
          <w:color w:val="2952A4"/>
        </w:rPr>
      </w:pPr>
      <w:r>
        <w:rPr>
          <w:rFonts w:ascii="Arial" w:cs="Arial" w:eastAsia="Arial" w:hAnsi="Arial"/>
          <w:sz w:val="13"/>
          <w:szCs w:val="13"/>
          <w:color w:val="231F20"/>
        </w:rPr>
        <w:t>Included in the Dow Jones Sustainability World Index, one of only four biotechnology companies on the list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56" w:right="40" w:hanging="156"/>
        <w:spacing w:after="0" w:line="242" w:lineRule="auto"/>
        <w:tabs>
          <w:tab w:leader="none" w:pos="148" w:val="left"/>
        </w:tabs>
        <w:numPr>
          <w:ilvl w:val="0"/>
          <w:numId w:val="143"/>
        </w:numPr>
        <w:rPr>
          <w:rFonts w:ascii="Arial" w:cs="Arial" w:eastAsia="Arial" w:hAnsi="Arial"/>
          <w:sz w:val="13"/>
          <w:szCs w:val="13"/>
          <w:color w:val="2952A4"/>
        </w:rPr>
      </w:pPr>
      <w:r>
        <w:rPr>
          <w:rFonts w:ascii="Arial" w:cs="Arial" w:eastAsia="Arial" w:hAnsi="Arial"/>
          <w:sz w:val="13"/>
          <w:szCs w:val="13"/>
          <w:color w:val="231F20"/>
        </w:rPr>
        <w:t xml:space="preserve">Recognized by </w:t>
      </w:r>
      <w:r>
        <w:rPr>
          <w:rFonts w:ascii="Arial" w:cs="Arial" w:eastAsia="Arial" w:hAnsi="Arial"/>
          <w:sz w:val="13"/>
          <w:szCs w:val="13"/>
          <w:i w:val="1"/>
          <w:iCs w:val="1"/>
          <w:color w:val="231F20"/>
        </w:rPr>
        <w:t>Forbes</w:t>
      </w:r>
      <w:r>
        <w:rPr>
          <w:rFonts w:ascii="Arial" w:cs="Arial" w:eastAsia="Arial" w:hAnsi="Arial"/>
          <w:sz w:val="13"/>
          <w:szCs w:val="13"/>
          <w:color w:val="231F20"/>
        </w:rPr>
        <w:t xml:space="preserve"> and </w:t>
      </w:r>
      <w:r>
        <w:rPr>
          <w:rFonts w:ascii="Arial" w:cs="Arial" w:eastAsia="Arial" w:hAnsi="Arial"/>
          <w:sz w:val="13"/>
          <w:szCs w:val="13"/>
          <w:i w:val="1"/>
          <w:iCs w:val="1"/>
          <w:color w:val="231F20"/>
        </w:rPr>
        <w:t>Just Capita</w:t>
      </w:r>
      <w:r>
        <w:rPr>
          <w:rFonts w:ascii="Arial" w:cs="Arial" w:eastAsia="Arial" w:hAnsi="Arial"/>
          <w:sz w:val="13"/>
          <w:szCs w:val="13"/>
          <w:color w:val="231F20"/>
        </w:rPr>
        <w:t>l as one of “America’s Most JUST Companies,” ranking of the top 100 companies that are doing right by all their stakeholders while generating profits for shareholders</w:t>
      </w:r>
    </w:p>
    <w:p>
      <w:pPr>
        <w:ind w:left="156" w:hanging="156"/>
        <w:spacing w:after="0" w:line="238" w:lineRule="auto"/>
        <w:tabs>
          <w:tab w:leader="none" w:pos="148" w:val="left"/>
        </w:tabs>
        <w:numPr>
          <w:ilvl w:val="0"/>
          <w:numId w:val="143"/>
        </w:numPr>
        <w:rPr>
          <w:rFonts w:ascii="Arial" w:cs="Arial" w:eastAsia="Arial" w:hAnsi="Arial"/>
          <w:sz w:val="13"/>
          <w:szCs w:val="13"/>
          <w:color w:val="2952A4"/>
        </w:rPr>
      </w:pPr>
      <w:r>
        <w:rPr>
          <w:rFonts w:ascii="Arial" w:cs="Arial" w:eastAsia="Arial" w:hAnsi="Arial"/>
          <w:sz w:val="13"/>
          <w:szCs w:val="13"/>
          <w:color w:val="231F20"/>
        </w:rPr>
        <w:t xml:space="preserve">Included in the inaugural </w:t>
      </w:r>
      <w:r>
        <w:rPr>
          <w:rFonts w:ascii="Arial" w:cs="Arial" w:eastAsia="Arial" w:hAnsi="Arial"/>
          <w:sz w:val="13"/>
          <w:szCs w:val="13"/>
          <w:i w:val="1"/>
          <w:iCs w:val="1"/>
          <w:color w:val="231F20"/>
        </w:rPr>
        <w:t>Newsweek</w:t>
      </w:r>
      <w:r>
        <w:rPr>
          <w:rFonts w:ascii="Arial" w:cs="Arial" w:eastAsia="Arial" w:hAnsi="Arial"/>
          <w:sz w:val="13"/>
          <w:szCs w:val="13"/>
          <w:color w:val="231F20"/>
        </w:rPr>
        <w:t xml:space="preserve"> list of “America’s Most Responsible Companies” (#25)</w:t>
      </w:r>
    </w:p>
    <w:p>
      <w:pPr>
        <w:ind w:left="156" w:right="40" w:hanging="156"/>
        <w:spacing w:after="0" w:line="243" w:lineRule="auto"/>
        <w:tabs>
          <w:tab w:leader="none" w:pos="148" w:val="left"/>
        </w:tabs>
        <w:numPr>
          <w:ilvl w:val="0"/>
          <w:numId w:val="143"/>
        </w:numPr>
        <w:rPr>
          <w:rFonts w:ascii="Arial" w:cs="Arial" w:eastAsia="Arial" w:hAnsi="Arial"/>
          <w:sz w:val="13"/>
          <w:szCs w:val="13"/>
          <w:color w:val="2952A4"/>
        </w:rPr>
      </w:pPr>
      <w:r>
        <w:rPr>
          <w:rFonts w:ascii="Arial" w:cs="Arial" w:eastAsia="Arial" w:hAnsi="Arial"/>
          <w:sz w:val="13"/>
          <w:szCs w:val="13"/>
          <w:color w:val="231F20"/>
        </w:rPr>
        <w:t xml:space="preserve">Recognized for third time on </w:t>
      </w:r>
      <w:r>
        <w:rPr>
          <w:rFonts w:ascii="Arial" w:cs="Arial" w:eastAsia="Arial" w:hAnsi="Arial"/>
          <w:sz w:val="13"/>
          <w:szCs w:val="13"/>
          <w:i w:val="1"/>
          <w:iCs w:val="1"/>
          <w:color w:val="231F20"/>
        </w:rPr>
        <w:t>Civic 50</w:t>
      </w:r>
      <w:r>
        <w:rPr>
          <w:rFonts w:ascii="Arial" w:cs="Arial" w:eastAsia="Arial" w:hAnsi="Arial"/>
          <w:sz w:val="13"/>
          <w:szCs w:val="13"/>
          <w:color w:val="231F20"/>
        </w:rPr>
        <w:t xml:space="preserve"> list of most community-minded companies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43815</wp:posOffset>
            </wp:positionV>
            <wp:extent cx="5143500" cy="4718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55" w:right="1680" w:hanging="155"/>
        <w:spacing w:after="0" w:line="238" w:lineRule="auto"/>
        <w:tabs>
          <w:tab w:leader="none" w:pos="147" w:val="left"/>
        </w:tabs>
        <w:numPr>
          <w:ilvl w:val="0"/>
          <w:numId w:val="144"/>
        </w:numPr>
        <w:rPr>
          <w:rFonts w:ascii="Arial" w:cs="Arial" w:eastAsia="Arial" w:hAnsi="Arial"/>
          <w:sz w:val="13"/>
          <w:szCs w:val="13"/>
          <w:color w:val="2952A4"/>
        </w:rPr>
      </w:pPr>
      <w:r>
        <w:rPr>
          <w:rFonts w:ascii="Arial" w:cs="Arial" w:eastAsia="Arial" w:hAnsi="Arial"/>
          <w:sz w:val="13"/>
          <w:szCs w:val="13"/>
          <w:color w:val="231F20"/>
        </w:rPr>
        <w:t xml:space="preserve">Over 50% employee participation in third annual </w:t>
      </w:r>
      <w:r>
        <w:rPr>
          <w:rFonts w:ascii="Arial" w:cs="Arial" w:eastAsia="Arial" w:hAnsi="Arial"/>
          <w:sz w:val="13"/>
          <w:szCs w:val="13"/>
          <w:i w:val="1"/>
          <w:iCs w:val="1"/>
          <w:color w:val="231F20"/>
        </w:rPr>
        <w:t>Day for Doing Good</w:t>
      </w:r>
      <w:r>
        <w:rPr>
          <w:rFonts w:ascii="Arial" w:cs="Arial" w:eastAsia="Arial" w:hAnsi="Arial"/>
          <w:sz w:val="13"/>
          <w:szCs w:val="13"/>
          <w:color w:val="231F20"/>
        </w:rPr>
        <w:t xml:space="preserve"> global day of service, more than double the average participation rate at other companies</w:t>
      </w:r>
    </w:p>
    <w:p>
      <w:pPr>
        <w:spacing w:after="0" w:line="1" w:lineRule="exact"/>
        <w:rPr>
          <w:rFonts w:ascii="Arial" w:cs="Arial" w:eastAsia="Arial" w:hAnsi="Arial"/>
          <w:sz w:val="13"/>
          <w:szCs w:val="13"/>
          <w:color w:val="2952A4"/>
        </w:rPr>
      </w:pPr>
    </w:p>
    <w:p>
      <w:pPr>
        <w:ind w:left="155" w:right="1740" w:hanging="155"/>
        <w:spacing w:after="0" w:line="258" w:lineRule="auto"/>
        <w:tabs>
          <w:tab w:leader="none" w:pos="147" w:val="left"/>
        </w:tabs>
        <w:numPr>
          <w:ilvl w:val="0"/>
          <w:numId w:val="144"/>
        </w:numPr>
        <w:rPr>
          <w:rFonts w:ascii="Arial" w:cs="Arial" w:eastAsia="Arial" w:hAnsi="Arial"/>
          <w:sz w:val="12"/>
          <w:szCs w:val="12"/>
          <w:color w:val="2952A4"/>
        </w:rPr>
      </w:pPr>
      <w:r>
        <w:rPr>
          <w:rFonts w:ascii="Arial" w:cs="Arial" w:eastAsia="Arial" w:hAnsi="Arial"/>
          <w:sz w:val="12"/>
          <w:szCs w:val="12"/>
          <w:color w:val="231F20"/>
        </w:rPr>
        <w:t>Ongoing $100 million commitment to the Regeneron Science Talent Search</w:t>
      </w:r>
    </w:p>
    <w:p>
      <w:pPr>
        <w:ind w:left="155" w:right="1860" w:hanging="155"/>
        <w:spacing w:after="0" w:line="241" w:lineRule="auto"/>
        <w:tabs>
          <w:tab w:leader="none" w:pos="147" w:val="left"/>
        </w:tabs>
        <w:numPr>
          <w:ilvl w:val="0"/>
          <w:numId w:val="144"/>
        </w:numPr>
        <w:rPr>
          <w:rFonts w:ascii="Arial" w:cs="Arial" w:eastAsia="Arial" w:hAnsi="Arial"/>
          <w:sz w:val="13"/>
          <w:szCs w:val="13"/>
          <w:color w:val="2952A4"/>
        </w:rPr>
      </w:pPr>
      <w:r>
        <w:rPr>
          <w:rFonts w:ascii="Arial" w:cs="Arial" w:eastAsia="Arial" w:hAnsi="Arial"/>
          <w:sz w:val="13"/>
          <w:szCs w:val="13"/>
          <w:color w:val="231F20"/>
        </w:rPr>
        <w:t>December 2019 launch of the Regeneron DNA Learning Center in conjunction with Cold Spring Harbor Laboratory</w:t>
      </w:r>
    </w:p>
    <w:p>
      <w:pPr>
        <w:spacing w:after="0" w:line="287" w:lineRule="exact"/>
        <w:rPr>
          <w:sz w:val="20"/>
          <w:szCs w:val="20"/>
          <w:color w:val="auto"/>
        </w:rPr>
      </w:pPr>
    </w:p>
    <w:p>
      <w:pPr>
        <w:sectPr>
          <w:pgSz w:w="11900" w:h="16838" w:orient="portrait"/>
          <w:cols w:equalWidth="0" w:num="3">
            <w:col w:w="4160" w:space="204"/>
            <w:col w:w="2576" w:space="205"/>
            <w:col w:w="4095"/>
          </w:cols>
          <w:pgMar w:left="320" w:top="405" w:right="339" w:bottom="1440" w:gutter="0" w:footer="0" w:header="0"/>
          <w:type w:val="continuous"/>
        </w:sectPr>
      </w:pPr>
    </w:p>
    <w:p>
      <w:pPr>
        <w:ind w:left="1660"/>
        <w:spacing w:after="0"/>
        <w:rPr>
          <w:sz w:val="20"/>
          <w:szCs w:val="20"/>
          <w:color w:val="auto"/>
        </w:rPr>
      </w:pPr>
      <w:r>
        <w:rPr>
          <w:rFonts w:ascii="Arial" w:cs="Arial" w:eastAsia="Arial" w:hAnsi="Arial"/>
          <w:sz w:val="17"/>
          <w:szCs w:val="17"/>
          <w:b w:val="1"/>
          <w:bCs w:val="1"/>
          <w:color w:val="C04C57"/>
        </w:rPr>
        <w:t>Corporate Reputation and Recognition</w:t>
      </w:r>
    </w:p>
    <w:p>
      <w:pPr>
        <w:spacing w:after="0" w:line="103" w:lineRule="exact"/>
        <w:rPr>
          <w:sz w:val="20"/>
          <w:szCs w:val="20"/>
          <w:color w:val="auto"/>
        </w:rPr>
      </w:pPr>
    </w:p>
    <w:p>
      <w:pPr>
        <w:ind w:left="1660"/>
        <w:spacing w:after="0"/>
        <w:tabs>
          <w:tab w:leader="none" w:pos="1800" w:val="left"/>
        </w:tabs>
        <w:rPr>
          <w:sz w:val="20"/>
          <w:szCs w:val="20"/>
          <w:color w:val="auto"/>
        </w:rPr>
      </w:pPr>
      <w:r>
        <w:rPr>
          <w:rFonts w:ascii="Arial" w:cs="Arial" w:eastAsia="Arial" w:hAnsi="Arial"/>
          <w:sz w:val="13"/>
          <w:szCs w:val="13"/>
          <w:color w:val="2952A4"/>
        </w:rPr>
        <w:t>•</w:t>
      </w:r>
      <w:r>
        <w:rPr>
          <w:sz w:val="20"/>
          <w:szCs w:val="20"/>
          <w:color w:val="auto"/>
        </w:rPr>
        <w:tab/>
      </w:r>
      <w:r>
        <w:rPr>
          <w:rFonts w:ascii="Arial" w:cs="Arial" w:eastAsia="Arial" w:hAnsi="Arial"/>
          <w:sz w:val="12"/>
          <w:szCs w:val="12"/>
          <w:color w:val="231F20"/>
        </w:rPr>
        <w:t>Company, leadership, and individual recognitions</w:t>
      </w:r>
    </w:p>
    <w:p>
      <w:pPr>
        <w:ind w:left="1660"/>
        <w:spacing w:after="0"/>
        <w:tabs>
          <w:tab w:leader="none" w:pos="1800" w:val="left"/>
        </w:tabs>
        <w:rPr>
          <w:sz w:val="20"/>
          <w:szCs w:val="20"/>
          <w:color w:val="auto"/>
        </w:rPr>
      </w:pPr>
      <w:r>
        <w:rPr>
          <w:rFonts w:ascii="Arial" w:cs="Arial" w:eastAsia="Arial" w:hAnsi="Arial"/>
          <w:sz w:val="13"/>
          <w:szCs w:val="13"/>
          <w:color w:val="2952A4"/>
        </w:rPr>
        <w:t>•</w:t>
      </w:r>
      <w:r>
        <w:rPr>
          <w:rFonts w:ascii="Arial" w:cs="Arial" w:eastAsia="Arial" w:hAnsi="Arial"/>
          <w:sz w:val="13"/>
          <w:szCs w:val="13"/>
          <w:color w:val="231F20"/>
        </w:rPr>
        <w:tab/>
        <w:t>Other external honors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43500" cy="12172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1217295"/>
                    </a:xfrm>
                    <a:prstGeom prst="rect">
                      <a:avLst/>
                    </a:prstGeom>
                    <a:noFill/>
                  </pic:spPr>
                </pic:pic>
              </a:graphicData>
            </a:graphic>
          </wp:anchor>
        </w:drawing>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2952A4"/>
        </w:rPr>
        <w:t>Achievements in 2019: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2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Forbes</w:t>
            </w:r>
            <w:r>
              <w:rPr>
                <w:rFonts w:ascii="Arial" w:cs="Arial" w:eastAsia="Arial" w:hAnsi="Arial"/>
                <w:sz w:val="13"/>
                <w:szCs w:val="13"/>
                <w:color w:val="2952A4"/>
              </w:rPr>
              <w:t xml:space="preserve"> </w:t>
            </w:r>
            <w:r>
              <w:rPr>
                <w:rFonts w:ascii="Arial" w:cs="Arial" w:eastAsia="Arial" w:hAnsi="Arial"/>
                <w:sz w:val="13"/>
                <w:szCs w:val="13"/>
                <w:color w:val="231F20"/>
              </w:rPr>
              <w:t>“World’s Most Innovative</w:t>
            </w:r>
          </w:p>
        </w:tc>
        <w:tc>
          <w:tcPr>
            <w:tcW w:w="2720" w:type="dxa"/>
            <w:vAlign w:val="bottom"/>
            <w:shd w:val="clear" w:color="auto" w:fill="E2F4FD"/>
          </w:tcPr>
          <w:p>
            <w:pPr>
              <w:ind w:left="8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Optometric Center of New York “Eye on</w:t>
            </w:r>
          </w:p>
        </w:tc>
        <w:tc>
          <w:tcPr>
            <w:tcW w:w="2680" w:type="dxa"/>
            <w:vAlign w:val="bottom"/>
            <w:shd w:val="clear" w:color="auto" w:fill="E2F4FD"/>
          </w:tcPr>
          <w:p>
            <w:pPr>
              <w:ind w:left="14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Columbia College Alexander Hamilton</w:t>
            </w:r>
          </w:p>
        </w:tc>
        <w:tc>
          <w:tcPr>
            <w:tcW w:w="1560" w:type="dxa"/>
            <w:vAlign w:val="bottom"/>
          </w:tcPr>
          <w:p>
            <w:pPr>
              <w:spacing w:after="0"/>
              <w:rPr>
                <w:sz w:val="13"/>
                <w:szCs w:val="13"/>
                <w:color w:val="auto"/>
              </w:rPr>
            </w:pPr>
          </w:p>
        </w:tc>
      </w:tr>
      <w:tr>
        <w:trPr>
          <w:trHeight w:val="135"/>
        </w:trPr>
        <w:tc>
          <w:tcPr>
            <w:tcW w:w="4280" w:type="dxa"/>
            <w:vAlign w:val="bottom"/>
          </w:tcPr>
          <w:p>
            <w:pPr>
              <w:ind w:left="1820"/>
              <w:spacing w:after="0" w:line="134" w:lineRule="exact"/>
              <w:rPr>
                <w:sz w:val="20"/>
                <w:szCs w:val="20"/>
                <w:color w:val="auto"/>
              </w:rPr>
            </w:pPr>
            <w:r>
              <w:rPr>
                <w:rFonts w:ascii="Arial" w:cs="Arial" w:eastAsia="Arial" w:hAnsi="Arial"/>
                <w:sz w:val="13"/>
                <w:szCs w:val="13"/>
                <w:color w:val="231F20"/>
              </w:rPr>
              <w:t>Companies” (#16)</w:t>
            </w:r>
          </w:p>
        </w:tc>
        <w:tc>
          <w:tcPr>
            <w:tcW w:w="2720" w:type="dxa"/>
            <w:vAlign w:val="bottom"/>
            <w:shd w:val="clear" w:color="auto" w:fill="E2F4FD"/>
          </w:tcPr>
          <w:p>
            <w:pPr>
              <w:ind w:left="240"/>
              <w:spacing w:after="0" w:line="134" w:lineRule="exact"/>
              <w:rPr>
                <w:sz w:val="20"/>
                <w:szCs w:val="20"/>
                <w:color w:val="auto"/>
              </w:rPr>
            </w:pPr>
            <w:r>
              <w:rPr>
                <w:rFonts w:ascii="Arial" w:cs="Arial" w:eastAsia="Arial" w:hAnsi="Arial"/>
                <w:sz w:val="13"/>
                <w:szCs w:val="13"/>
                <w:color w:val="231F20"/>
              </w:rPr>
              <w:t>Innovation” award</w:t>
            </w:r>
          </w:p>
        </w:tc>
        <w:tc>
          <w:tcPr>
            <w:tcW w:w="2680" w:type="dxa"/>
            <w:vAlign w:val="bottom"/>
            <w:shd w:val="clear" w:color="auto" w:fill="E2F4FD"/>
          </w:tcPr>
          <w:p>
            <w:pPr>
              <w:ind w:left="300"/>
              <w:spacing w:after="0" w:line="134" w:lineRule="exact"/>
              <w:rPr>
                <w:sz w:val="20"/>
                <w:szCs w:val="20"/>
                <w:color w:val="auto"/>
              </w:rPr>
            </w:pPr>
            <w:r>
              <w:rPr>
                <w:rFonts w:ascii="Arial" w:cs="Arial" w:eastAsia="Arial" w:hAnsi="Arial"/>
                <w:sz w:val="13"/>
                <w:szCs w:val="13"/>
                <w:color w:val="231F20"/>
              </w:rPr>
              <w:t>Medal (Dr. Yancopoulos)</w:t>
            </w:r>
          </w:p>
        </w:tc>
        <w:tc>
          <w:tcPr>
            <w:tcW w:w="1560" w:type="dxa"/>
            <w:vAlign w:val="bottom"/>
          </w:tcPr>
          <w:p>
            <w:pPr>
              <w:spacing w:after="0"/>
              <w:rPr>
                <w:sz w:val="11"/>
                <w:szCs w:val="11"/>
                <w:color w:val="auto"/>
              </w:rPr>
            </w:pPr>
          </w:p>
        </w:tc>
      </w:tr>
      <w:tr>
        <w:trPr>
          <w:trHeight w:val="163"/>
        </w:trPr>
        <w:tc>
          <w:tcPr>
            <w:tcW w:w="42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Shingo Institute</w:t>
            </w:r>
            <w:r>
              <w:rPr>
                <w:rFonts w:ascii="Arial" w:cs="Arial" w:eastAsia="Arial" w:hAnsi="Arial"/>
                <w:sz w:val="13"/>
                <w:szCs w:val="13"/>
                <w:color w:val="2952A4"/>
              </w:rPr>
              <w:t xml:space="preserve"> </w:t>
            </w:r>
            <w:r>
              <w:rPr>
                <w:rFonts w:ascii="Arial" w:cs="Arial" w:eastAsia="Arial" w:hAnsi="Arial"/>
                <w:sz w:val="13"/>
                <w:szCs w:val="13"/>
                <w:color w:val="231F20"/>
              </w:rPr>
              <w:t>“The Shingo Prize” for</w:t>
            </w:r>
          </w:p>
        </w:tc>
        <w:tc>
          <w:tcPr>
            <w:tcW w:w="2720" w:type="dxa"/>
            <w:vAlign w:val="bottom"/>
            <w:shd w:val="clear" w:color="auto" w:fill="E2F4FD"/>
          </w:tcPr>
          <w:p>
            <w:pPr>
              <w:ind w:left="8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Forbes</w:t>
            </w:r>
            <w:r>
              <w:rPr>
                <w:rFonts w:ascii="Arial" w:cs="Arial" w:eastAsia="Arial" w:hAnsi="Arial"/>
                <w:sz w:val="13"/>
                <w:szCs w:val="13"/>
                <w:color w:val="2952A4"/>
              </w:rPr>
              <w:t xml:space="preserve"> </w:t>
            </w:r>
            <w:r>
              <w:rPr>
                <w:rFonts w:ascii="Arial" w:cs="Arial" w:eastAsia="Arial" w:hAnsi="Arial"/>
                <w:sz w:val="13"/>
                <w:szCs w:val="13"/>
                <w:color w:val="231F20"/>
              </w:rPr>
              <w:t>“America’s Most Innovative</w:t>
            </w:r>
          </w:p>
        </w:tc>
        <w:tc>
          <w:tcPr>
            <w:tcW w:w="2680" w:type="dxa"/>
            <w:vAlign w:val="bottom"/>
            <w:shd w:val="clear" w:color="auto" w:fill="E2F4FD"/>
          </w:tcPr>
          <w:p>
            <w:pPr>
              <w:ind w:left="14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Institutional Investor</w:t>
            </w:r>
            <w:r>
              <w:rPr>
                <w:rFonts w:ascii="Arial" w:cs="Arial" w:eastAsia="Arial" w:hAnsi="Arial"/>
                <w:sz w:val="13"/>
                <w:szCs w:val="13"/>
                <w:color w:val="2952A4"/>
              </w:rPr>
              <w:t xml:space="preserve"> </w:t>
            </w:r>
            <w:r>
              <w:rPr>
                <w:rFonts w:ascii="Arial" w:cs="Arial" w:eastAsia="Arial" w:hAnsi="Arial"/>
                <w:sz w:val="13"/>
                <w:szCs w:val="13"/>
                <w:color w:val="231F20"/>
              </w:rPr>
              <w:t>“Best Biotech</w:t>
            </w:r>
          </w:p>
        </w:tc>
        <w:tc>
          <w:tcPr>
            <w:tcW w:w="1560" w:type="dxa"/>
            <w:vAlign w:val="bottom"/>
          </w:tcPr>
          <w:p>
            <w:pPr>
              <w:spacing w:after="0"/>
              <w:rPr>
                <w:sz w:val="14"/>
                <w:szCs w:val="14"/>
                <w:color w:val="auto"/>
              </w:rPr>
            </w:pPr>
          </w:p>
        </w:tc>
      </w:tr>
      <w:tr>
        <w:trPr>
          <w:trHeight w:val="134"/>
        </w:trPr>
        <w:tc>
          <w:tcPr>
            <w:tcW w:w="4280" w:type="dxa"/>
            <w:vAlign w:val="bottom"/>
          </w:tcPr>
          <w:p>
            <w:pPr>
              <w:ind w:left="1820"/>
              <w:spacing w:after="0" w:line="134" w:lineRule="exact"/>
              <w:rPr>
                <w:sz w:val="20"/>
                <w:szCs w:val="20"/>
                <w:color w:val="auto"/>
              </w:rPr>
            </w:pPr>
            <w:r>
              <w:rPr>
                <w:rFonts w:ascii="Arial" w:cs="Arial" w:eastAsia="Arial" w:hAnsi="Arial"/>
                <w:sz w:val="13"/>
                <w:szCs w:val="13"/>
                <w:color w:val="231F20"/>
              </w:rPr>
              <w:t>operational excellence</w:t>
            </w:r>
          </w:p>
        </w:tc>
        <w:tc>
          <w:tcPr>
            <w:tcW w:w="2720" w:type="dxa"/>
            <w:vAlign w:val="bottom"/>
            <w:shd w:val="clear" w:color="auto" w:fill="E2F4FD"/>
          </w:tcPr>
          <w:p>
            <w:pPr>
              <w:ind w:left="240"/>
              <w:spacing w:after="0" w:line="134" w:lineRule="exact"/>
              <w:rPr>
                <w:sz w:val="20"/>
                <w:szCs w:val="20"/>
                <w:color w:val="auto"/>
              </w:rPr>
            </w:pPr>
            <w:r>
              <w:rPr>
                <w:rFonts w:ascii="Arial" w:cs="Arial" w:eastAsia="Arial" w:hAnsi="Arial"/>
                <w:sz w:val="13"/>
                <w:szCs w:val="13"/>
                <w:color w:val="231F20"/>
              </w:rPr>
              <w:t>Leaders” (#20, Drs. Schleifer and</w:t>
            </w:r>
          </w:p>
        </w:tc>
        <w:tc>
          <w:tcPr>
            <w:tcW w:w="2680" w:type="dxa"/>
            <w:vAlign w:val="bottom"/>
            <w:shd w:val="clear" w:color="auto" w:fill="E2F4FD"/>
          </w:tcPr>
          <w:p>
            <w:pPr>
              <w:ind w:left="300"/>
              <w:spacing w:after="0" w:line="134" w:lineRule="exact"/>
              <w:rPr>
                <w:sz w:val="20"/>
                <w:szCs w:val="20"/>
                <w:color w:val="auto"/>
              </w:rPr>
            </w:pPr>
            <w:r>
              <w:rPr>
                <w:rFonts w:ascii="Arial" w:cs="Arial" w:eastAsia="Arial" w:hAnsi="Arial"/>
                <w:sz w:val="13"/>
                <w:szCs w:val="13"/>
                <w:color w:val="231F20"/>
              </w:rPr>
              <w:t>CEOs &amp; CFOs” (Dr. Schleifer and</w:t>
            </w:r>
          </w:p>
        </w:tc>
        <w:tc>
          <w:tcPr>
            <w:tcW w:w="1560" w:type="dxa"/>
            <w:vAlign w:val="bottom"/>
          </w:tcPr>
          <w:p>
            <w:pPr>
              <w:spacing w:after="0"/>
              <w:rPr>
                <w:sz w:val="11"/>
                <w:szCs w:val="11"/>
                <w:color w:val="auto"/>
              </w:rPr>
            </w:pPr>
          </w:p>
        </w:tc>
      </w:tr>
      <w:tr>
        <w:trPr>
          <w:trHeight w:val="149"/>
        </w:trPr>
        <w:tc>
          <w:tcPr>
            <w:tcW w:w="42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IDEA Pharma</w:t>
            </w:r>
            <w:r>
              <w:rPr>
                <w:rFonts w:ascii="Arial" w:cs="Arial" w:eastAsia="Arial" w:hAnsi="Arial"/>
                <w:sz w:val="13"/>
                <w:szCs w:val="13"/>
                <w:color w:val="2952A4"/>
              </w:rPr>
              <w:t xml:space="preserve"> </w:t>
            </w:r>
            <w:r>
              <w:rPr>
                <w:rFonts w:ascii="Arial" w:cs="Arial" w:eastAsia="Arial" w:hAnsi="Arial"/>
                <w:sz w:val="13"/>
                <w:szCs w:val="13"/>
                <w:color w:val="231F20"/>
              </w:rPr>
              <w:t>“Pharmaceutical</w:t>
            </w:r>
          </w:p>
        </w:tc>
        <w:tc>
          <w:tcPr>
            <w:tcW w:w="2720" w:type="dxa"/>
            <w:vAlign w:val="bottom"/>
            <w:shd w:val="clear" w:color="auto" w:fill="E2F4FD"/>
          </w:tcPr>
          <w:p>
            <w:pPr>
              <w:ind w:left="240"/>
              <w:spacing w:after="0"/>
              <w:rPr>
                <w:sz w:val="20"/>
                <w:szCs w:val="20"/>
                <w:color w:val="auto"/>
              </w:rPr>
            </w:pPr>
            <w:r>
              <w:rPr>
                <w:rFonts w:ascii="Arial" w:cs="Arial" w:eastAsia="Arial" w:hAnsi="Arial"/>
                <w:sz w:val="13"/>
                <w:szCs w:val="13"/>
                <w:color w:val="231F20"/>
              </w:rPr>
              <w:t>Yancopoulos)</w:t>
            </w:r>
          </w:p>
        </w:tc>
        <w:tc>
          <w:tcPr>
            <w:tcW w:w="2680" w:type="dxa"/>
            <w:vAlign w:val="bottom"/>
            <w:shd w:val="clear" w:color="auto" w:fill="E2F4FD"/>
          </w:tcPr>
          <w:p>
            <w:pPr>
              <w:ind w:left="300"/>
              <w:spacing w:after="0"/>
              <w:rPr>
                <w:sz w:val="20"/>
                <w:szCs w:val="20"/>
                <w:color w:val="auto"/>
              </w:rPr>
            </w:pPr>
            <w:r>
              <w:rPr>
                <w:rFonts w:ascii="Arial" w:cs="Arial" w:eastAsia="Arial" w:hAnsi="Arial"/>
                <w:sz w:val="13"/>
                <w:szCs w:val="13"/>
                <w:color w:val="231F20"/>
              </w:rPr>
              <w:t>Mr. Landry)</w:t>
            </w:r>
          </w:p>
        </w:tc>
        <w:tc>
          <w:tcPr>
            <w:tcW w:w="1560" w:type="dxa"/>
            <w:vAlign w:val="bottom"/>
          </w:tcPr>
          <w:p>
            <w:pPr>
              <w:spacing w:after="0"/>
              <w:rPr>
                <w:sz w:val="12"/>
                <w:szCs w:val="12"/>
                <w:color w:val="auto"/>
              </w:rPr>
            </w:pPr>
          </w:p>
        </w:tc>
      </w:tr>
      <w:tr>
        <w:trPr>
          <w:trHeight w:val="148"/>
        </w:trPr>
        <w:tc>
          <w:tcPr>
            <w:tcW w:w="4280" w:type="dxa"/>
            <w:vAlign w:val="bottom"/>
          </w:tcPr>
          <w:p>
            <w:pPr>
              <w:ind w:left="1820"/>
              <w:spacing w:after="0"/>
              <w:rPr>
                <w:sz w:val="20"/>
                <w:szCs w:val="20"/>
                <w:color w:val="auto"/>
              </w:rPr>
            </w:pPr>
            <w:r>
              <w:rPr>
                <w:rFonts w:ascii="Arial" w:cs="Arial" w:eastAsia="Arial" w:hAnsi="Arial"/>
                <w:sz w:val="13"/>
                <w:szCs w:val="13"/>
                <w:color w:val="231F20"/>
              </w:rPr>
              <w:t>Innovation Index” (#7)</w:t>
            </w:r>
          </w:p>
        </w:tc>
        <w:tc>
          <w:tcPr>
            <w:tcW w:w="2720" w:type="dxa"/>
            <w:vAlign w:val="bottom"/>
            <w:shd w:val="clear" w:color="auto" w:fill="E2F4FD"/>
          </w:tcPr>
          <w:p>
            <w:pPr>
              <w:ind w:left="8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Harvard Business Review</w:t>
            </w:r>
            <w:r>
              <w:rPr>
                <w:rFonts w:ascii="Arial" w:cs="Arial" w:eastAsia="Arial" w:hAnsi="Arial"/>
                <w:sz w:val="13"/>
                <w:szCs w:val="13"/>
                <w:color w:val="2952A4"/>
              </w:rPr>
              <w:t xml:space="preserve"> </w:t>
            </w:r>
            <w:r>
              <w:rPr>
                <w:rFonts w:ascii="Arial" w:cs="Arial" w:eastAsia="Arial" w:hAnsi="Arial"/>
                <w:sz w:val="13"/>
                <w:szCs w:val="13"/>
                <w:color w:val="231F20"/>
              </w:rPr>
              <w:t>“Best-</w:t>
            </w:r>
          </w:p>
        </w:tc>
        <w:tc>
          <w:tcPr>
            <w:tcW w:w="2680" w:type="dxa"/>
            <w:vAlign w:val="bottom"/>
            <w:shd w:val="clear" w:color="auto" w:fill="E2F4FD"/>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4280" w:type="dxa"/>
            <w:vAlign w:val="bottom"/>
          </w:tcPr>
          <w:p>
            <w:pPr>
              <w:ind w:left="16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i w:val="1"/>
                <w:iCs w:val="1"/>
                <w:color w:val="231F20"/>
              </w:rPr>
              <w:t>Genetic Engineering &amp; Biotechnology</w:t>
            </w:r>
          </w:p>
        </w:tc>
        <w:tc>
          <w:tcPr>
            <w:tcW w:w="2720" w:type="dxa"/>
            <w:vAlign w:val="bottom"/>
            <w:shd w:val="clear" w:color="auto" w:fill="E2F4FD"/>
          </w:tcPr>
          <w:p>
            <w:pPr>
              <w:ind w:left="240"/>
              <w:spacing w:after="0"/>
              <w:rPr>
                <w:sz w:val="20"/>
                <w:szCs w:val="20"/>
                <w:color w:val="auto"/>
              </w:rPr>
            </w:pPr>
            <w:r>
              <w:rPr>
                <w:rFonts w:ascii="Arial" w:cs="Arial" w:eastAsia="Arial" w:hAnsi="Arial"/>
                <w:sz w:val="13"/>
                <w:szCs w:val="13"/>
                <w:color w:val="231F20"/>
              </w:rPr>
              <w:t>Performing CEOs in the World” (#93, Dr.</w:t>
            </w:r>
          </w:p>
        </w:tc>
        <w:tc>
          <w:tcPr>
            <w:tcW w:w="2680" w:type="dxa"/>
            <w:vAlign w:val="bottom"/>
            <w:shd w:val="clear" w:color="auto" w:fill="E2F4FD"/>
          </w:tcPr>
          <w:p>
            <w:pPr>
              <w:spacing w:after="0"/>
              <w:rPr>
                <w:sz w:val="12"/>
                <w:szCs w:val="12"/>
                <w:color w:val="auto"/>
              </w:rPr>
            </w:pPr>
          </w:p>
        </w:tc>
        <w:tc>
          <w:tcPr>
            <w:tcW w:w="1560" w:type="dxa"/>
            <w:vAlign w:val="bottom"/>
          </w:tcPr>
          <w:p>
            <w:pPr>
              <w:spacing w:after="0"/>
              <w:rPr>
                <w:sz w:val="12"/>
                <w:szCs w:val="12"/>
                <w:color w:val="auto"/>
              </w:rPr>
            </w:pPr>
          </w:p>
        </w:tc>
      </w:tr>
      <w:tr>
        <w:trPr>
          <w:trHeight w:val="163"/>
        </w:trPr>
        <w:tc>
          <w:tcPr>
            <w:tcW w:w="4280" w:type="dxa"/>
            <w:vAlign w:val="bottom"/>
          </w:tcPr>
          <w:p>
            <w:pPr>
              <w:ind w:left="1820"/>
              <w:spacing w:after="0"/>
              <w:rPr>
                <w:sz w:val="20"/>
                <w:szCs w:val="20"/>
                <w:color w:val="auto"/>
              </w:rPr>
            </w:pPr>
            <w:r>
              <w:rPr>
                <w:rFonts w:ascii="Arial" w:cs="Arial" w:eastAsia="Arial" w:hAnsi="Arial"/>
                <w:sz w:val="13"/>
                <w:szCs w:val="13"/>
                <w:i w:val="1"/>
                <w:iCs w:val="1"/>
                <w:color w:val="231F20"/>
              </w:rPr>
              <w:t xml:space="preserve">News </w:t>
            </w:r>
            <w:r>
              <w:rPr>
                <w:rFonts w:ascii="Arial" w:cs="Arial" w:eastAsia="Arial" w:hAnsi="Arial"/>
                <w:sz w:val="13"/>
                <w:szCs w:val="13"/>
                <w:color w:val="231F20"/>
              </w:rPr>
              <w:t>“Top 25 Biotech Companies of</w:t>
            </w:r>
          </w:p>
        </w:tc>
        <w:tc>
          <w:tcPr>
            <w:tcW w:w="2720" w:type="dxa"/>
            <w:vAlign w:val="bottom"/>
            <w:shd w:val="clear" w:color="auto" w:fill="E2F4FD"/>
          </w:tcPr>
          <w:p>
            <w:pPr>
              <w:ind w:left="240"/>
              <w:spacing w:after="0"/>
              <w:rPr>
                <w:sz w:val="20"/>
                <w:szCs w:val="20"/>
                <w:color w:val="auto"/>
              </w:rPr>
            </w:pPr>
            <w:r>
              <w:rPr>
                <w:rFonts w:ascii="Arial" w:cs="Arial" w:eastAsia="Arial" w:hAnsi="Arial"/>
                <w:sz w:val="13"/>
                <w:szCs w:val="13"/>
                <w:color w:val="231F20"/>
              </w:rPr>
              <w:t>Schleifer)</w:t>
            </w:r>
          </w:p>
        </w:tc>
        <w:tc>
          <w:tcPr>
            <w:tcW w:w="2680" w:type="dxa"/>
            <w:vAlign w:val="bottom"/>
            <w:shd w:val="clear" w:color="auto" w:fill="E2F4FD"/>
          </w:tcPr>
          <w:p>
            <w:pPr>
              <w:spacing w:after="0"/>
              <w:rPr>
                <w:sz w:val="14"/>
                <w:szCs w:val="14"/>
                <w:color w:val="auto"/>
              </w:rPr>
            </w:pPr>
          </w:p>
        </w:tc>
        <w:tc>
          <w:tcPr>
            <w:tcW w:w="1560" w:type="dxa"/>
            <w:vAlign w:val="bottom"/>
          </w:tcPr>
          <w:p>
            <w:pPr>
              <w:spacing w:after="0"/>
              <w:rPr>
                <w:sz w:val="14"/>
                <w:szCs w:val="14"/>
                <w:color w:val="auto"/>
              </w:rPr>
            </w:pPr>
          </w:p>
        </w:tc>
      </w:tr>
      <w:tr>
        <w:trPr>
          <w:trHeight w:val="148"/>
        </w:trPr>
        <w:tc>
          <w:tcPr>
            <w:tcW w:w="4280" w:type="dxa"/>
            <w:vAlign w:val="bottom"/>
          </w:tcPr>
          <w:p>
            <w:pPr>
              <w:ind w:left="1820"/>
              <w:spacing w:after="0"/>
              <w:rPr>
                <w:sz w:val="20"/>
                <w:szCs w:val="20"/>
                <w:color w:val="auto"/>
              </w:rPr>
            </w:pPr>
            <w:r>
              <w:rPr>
                <w:rFonts w:ascii="Arial" w:cs="Arial" w:eastAsia="Arial" w:hAnsi="Arial"/>
                <w:sz w:val="13"/>
                <w:szCs w:val="13"/>
                <w:color w:val="231F20"/>
              </w:rPr>
              <w:t>2019” (#10)</w:t>
            </w:r>
          </w:p>
        </w:tc>
        <w:tc>
          <w:tcPr>
            <w:tcW w:w="2720" w:type="dxa"/>
            <w:vAlign w:val="bottom"/>
            <w:shd w:val="clear" w:color="auto" w:fill="E2F4FD"/>
          </w:tcPr>
          <w:p>
            <w:pPr>
              <w:ind w:left="8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Cornell Entrepreneur of the Year</w:t>
            </w:r>
          </w:p>
        </w:tc>
        <w:tc>
          <w:tcPr>
            <w:tcW w:w="2680" w:type="dxa"/>
            <w:vAlign w:val="bottom"/>
            <w:shd w:val="clear" w:color="auto" w:fill="E2F4FD"/>
          </w:tcPr>
          <w:p>
            <w:pPr>
              <w:spacing w:after="0"/>
              <w:rPr>
                <w:sz w:val="12"/>
                <w:szCs w:val="12"/>
                <w:color w:val="auto"/>
              </w:rPr>
            </w:pPr>
          </w:p>
        </w:tc>
        <w:tc>
          <w:tcPr>
            <w:tcW w:w="1560" w:type="dxa"/>
            <w:vAlign w:val="bottom"/>
          </w:tcPr>
          <w:p>
            <w:pPr>
              <w:spacing w:after="0"/>
              <w:rPr>
                <w:sz w:val="12"/>
                <w:szCs w:val="12"/>
                <w:color w:val="auto"/>
              </w:rPr>
            </w:pPr>
          </w:p>
        </w:tc>
      </w:tr>
      <w:tr>
        <w:trPr>
          <w:trHeight w:val="156"/>
        </w:trPr>
        <w:tc>
          <w:tcPr>
            <w:tcW w:w="4280" w:type="dxa"/>
            <w:vAlign w:val="bottom"/>
          </w:tcPr>
          <w:p>
            <w:pPr>
              <w:spacing w:after="0"/>
              <w:rPr>
                <w:sz w:val="13"/>
                <w:szCs w:val="13"/>
                <w:color w:val="auto"/>
              </w:rPr>
            </w:pPr>
          </w:p>
        </w:tc>
        <w:tc>
          <w:tcPr>
            <w:tcW w:w="2720" w:type="dxa"/>
            <w:vAlign w:val="bottom"/>
            <w:shd w:val="clear" w:color="auto" w:fill="E2F4FD"/>
          </w:tcPr>
          <w:p>
            <w:pPr>
              <w:ind w:left="240"/>
              <w:spacing w:after="0"/>
              <w:rPr>
                <w:sz w:val="20"/>
                <w:szCs w:val="20"/>
                <w:color w:val="auto"/>
              </w:rPr>
            </w:pPr>
            <w:r>
              <w:rPr>
                <w:rFonts w:ascii="Arial" w:cs="Arial" w:eastAsia="Arial" w:hAnsi="Arial"/>
                <w:sz w:val="13"/>
                <w:szCs w:val="13"/>
                <w:color w:val="231F20"/>
              </w:rPr>
              <w:t>(Dr. Schleifer)</w:t>
            </w:r>
          </w:p>
        </w:tc>
        <w:tc>
          <w:tcPr>
            <w:tcW w:w="2680" w:type="dxa"/>
            <w:vAlign w:val="bottom"/>
            <w:shd w:val="clear" w:color="auto" w:fill="E2F4FD"/>
          </w:tcPr>
          <w:p>
            <w:pPr>
              <w:spacing w:after="0"/>
              <w:rPr>
                <w:sz w:val="13"/>
                <w:szCs w:val="13"/>
                <w:color w:val="auto"/>
              </w:rPr>
            </w:pPr>
          </w:p>
        </w:tc>
        <w:tc>
          <w:tcPr>
            <w:tcW w:w="1560" w:type="dxa"/>
            <w:vAlign w:val="bottom"/>
          </w:tcPr>
          <w:p>
            <w:pPr>
              <w:spacing w:after="0"/>
              <w:rPr>
                <w:sz w:val="13"/>
                <w:szCs w:val="13"/>
                <w:color w:val="auto"/>
              </w:rPr>
            </w:pPr>
          </w:p>
        </w:tc>
      </w:tr>
      <w:tr>
        <w:trPr>
          <w:trHeight w:val="70"/>
        </w:trPr>
        <w:tc>
          <w:tcPr>
            <w:tcW w:w="4280" w:type="dxa"/>
            <w:vAlign w:val="bottom"/>
          </w:tcPr>
          <w:p>
            <w:pPr>
              <w:spacing w:after="0"/>
              <w:rPr>
                <w:sz w:val="6"/>
                <w:szCs w:val="6"/>
                <w:color w:val="auto"/>
              </w:rPr>
            </w:pPr>
          </w:p>
        </w:tc>
        <w:tc>
          <w:tcPr>
            <w:tcW w:w="2720" w:type="dxa"/>
            <w:vAlign w:val="bottom"/>
            <w:shd w:val="clear" w:color="auto" w:fill="E2F4FD"/>
          </w:tcPr>
          <w:p>
            <w:pPr>
              <w:spacing w:after="0"/>
              <w:rPr>
                <w:sz w:val="6"/>
                <w:szCs w:val="6"/>
                <w:color w:val="auto"/>
              </w:rPr>
            </w:pPr>
          </w:p>
        </w:tc>
        <w:tc>
          <w:tcPr>
            <w:tcW w:w="2680" w:type="dxa"/>
            <w:vAlign w:val="bottom"/>
            <w:shd w:val="clear" w:color="auto" w:fill="E2F4FD"/>
          </w:tcPr>
          <w:p>
            <w:pPr>
              <w:spacing w:after="0"/>
              <w:rPr>
                <w:sz w:val="6"/>
                <w:szCs w:val="6"/>
                <w:color w:val="auto"/>
              </w:rPr>
            </w:pPr>
          </w:p>
        </w:tc>
        <w:tc>
          <w:tcPr>
            <w:tcW w:w="1560" w:type="dxa"/>
            <w:vAlign w:val="bottom"/>
          </w:tcPr>
          <w:p>
            <w:pPr>
              <w:spacing w:after="0"/>
              <w:rPr>
                <w:sz w:val="6"/>
                <w:szCs w:val="6"/>
                <w:color w:val="auto"/>
              </w:rPr>
            </w:pPr>
          </w:p>
        </w:tc>
      </w:tr>
      <w:tr>
        <w:trPr>
          <w:trHeight w:val="393"/>
        </w:trPr>
        <w:tc>
          <w:tcPr>
            <w:tcW w:w="7000" w:type="dxa"/>
            <w:vAlign w:val="bottom"/>
            <w:gridSpan w:val="2"/>
          </w:tcPr>
          <w:p>
            <w:pPr>
              <w:ind w:left="166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4240" w:type="dxa"/>
            <w:vAlign w:val="bottom"/>
            <w:gridSpan w:val="2"/>
          </w:tcPr>
          <w:p>
            <w:pPr>
              <w:ind w:left="2660"/>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71</w:t>
            </w:r>
          </w:p>
        </w:tc>
      </w:tr>
      <w:tr>
        <w:trPr>
          <w:trHeight w:val="262"/>
        </w:trPr>
        <w:tc>
          <w:tcPr>
            <w:tcW w:w="4280" w:type="dxa"/>
            <w:vAlign w:val="bottom"/>
            <w:tcBorders>
              <w:bottom w:val="single" w:sz="8" w:color="C0C0C0"/>
            </w:tcBorders>
          </w:tcPr>
          <w:p>
            <w:pPr>
              <w:spacing w:after="0"/>
              <w:rPr>
                <w:sz w:val="22"/>
                <w:szCs w:val="22"/>
                <w:color w:val="auto"/>
              </w:rPr>
            </w:pPr>
          </w:p>
        </w:tc>
        <w:tc>
          <w:tcPr>
            <w:tcW w:w="2720" w:type="dxa"/>
            <w:vAlign w:val="bottom"/>
            <w:tcBorders>
              <w:bottom w:val="single" w:sz="8" w:color="C0C0C0"/>
            </w:tcBorders>
          </w:tcPr>
          <w:p>
            <w:pPr>
              <w:spacing w:after="0"/>
              <w:rPr>
                <w:sz w:val="22"/>
                <w:szCs w:val="22"/>
                <w:color w:val="auto"/>
              </w:rPr>
            </w:pPr>
          </w:p>
        </w:tc>
        <w:tc>
          <w:tcPr>
            <w:tcW w:w="268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-290830</wp:posOffset>
            </wp:positionV>
            <wp:extent cx="746125" cy="857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3" w:name="page84"/>
    <w:bookmarkEnd w:id="83"/>
    <w:p>
      <w:pPr>
        <w:ind w:left="158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22" w:lineRule="exact"/>
        <w:rPr>
          <w:sz w:val="20"/>
          <w:szCs w:val="20"/>
          <w:color w:val="auto"/>
        </w:rPr>
      </w:pPr>
    </w:p>
    <w:p>
      <w:pPr>
        <w:jc w:val="both"/>
        <w:ind w:left="1580" w:right="1860"/>
        <w:spacing w:after="0" w:line="235" w:lineRule="auto"/>
        <w:rPr>
          <w:sz w:val="20"/>
          <w:szCs w:val="20"/>
          <w:color w:val="auto"/>
        </w:rPr>
      </w:pPr>
      <w:r>
        <w:rPr>
          <w:rFonts w:ascii="Arial" w:cs="Arial" w:eastAsia="Arial" w:hAnsi="Arial"/>
          <w:sz w:val="15"/>
          <w:szCs w:val="15"/>
          <w:color w:val="231F20"/>
        </w:rPr>
        <w:t>For each of the factors listed in the table above, the Compensation Committee assessed actual performance for the year. Based on a holistic assessment of these factors, the Compensation Committee set the Company performance multiplier at 1.85, from a possible range of 0 to 2.0.</w:t>
      </w:r>
    </w:p>
    <w:p>
      <w:pPr>
        <w:spacing w:after="0" w:line="1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Individual Performance</w:t>
      </w:r>
    </w:p>
    <w:p>
      <w:pPr>
        <w:spacing w:after="0" w:line="204" w:lineRule="exact"/>
        <w:rPr>
          <w:sz w:val="20"/>
          <w:szCs w:val="20"/>
          <w:color w:val="auto"/>
        </w:rPr>
      </w:pPr>
    </w:p>
    <w:p>
      <w:pPr>
        <w:ind w:left="1580" w:right="1720"/>
        <w:spacing w:after="0" w:line="235" w:lineRule="auto"/>
        <w:rPr>
          <w:sz w:val="20"/>
          <w:szCs w:val="20"/>
          <w:color w:val="auto"/>
        </w:rPr>
      </w:pPr>
      <w:r>
        <w:rPr>
          <w:rFonts w:ascii="Arial" w:cs="Arial" w:eastAsia="Arial" w:hAnsi="Arial"/>
          <w:sz w:val="15"/>
          <w:szCs w:val="15"/>
          <w:color w:val="231F20"/>
        </w:rPr>
        <w:t>The personal performance multiplier may range from 0 to 1.5. For the explanation of individual factors considered in the cash incentive decisions, see the subsection “Compensation Dashboard—Additional Compensation Information— Annual Cash Incentives.”</w:t>
      </w:r>
    </w:p>
    <w:p>
      <w:pPr>
        <w:spacing w:after="0" w:line="1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2019 Earned Cash Incentives</w:t>
      </w:r>
    </w:p>
    <w:p>
      <w:pPr>
        <w:spacing w:after="0" w:line="204" w:lineRule="exact"/>
        <w:rPr>
          <w:sz w:val="20"/>
          <w:szCs w:val="20"/>
          <w:color w:val="auto"/>
        </w:rPr>
      </w:pPr>
    </w:p>
    <w:p>
      <w:pPr>
        <w:ind w:left="1580" w:right="1900"/>
        <w:spacing w:after="0" w:line="230" w:lineRule="auto"/>
        <w:rPr>
          <w:sz w:val="20"/>
          <w:szCs w:val="20"/>
          <w:color w:val="auto"/>
        </w:rPr>
      </w:pPr>
      <w:r>
        <w:rPr>
          <w:rFonts w:ascii="Arial" w:cs="Arial" w:eastAsia="Arial" w:hAnsi="Arial"/>
          <w:sz w:val="15"/>
          <w:szCs w:val="15"/>
          <w:color w:val="231F20"/>
        </w:rPr>
        <w:t>In determining the level of 2019 cash incentives earned, we calculated the NEOs’ respective target cash incentive amounts (which, for our CEO, was set approximately at the median of the Peer Group) and applied the Company performance multiplier based on the Company’s achievement of 2019 objectives; and, for the three NEOs who also have a personal performance component, we applied a personal performance multiplier. For the three NEOs with a personal performance component, the personal performance component had a 40% weighting and the Company performance component had a 60% weighting.</w:t>
      </w:r>
    </w:p>
    <w:p>
      <w:pPr>
        <w:spacing w:after="0" w:line="169" w:lineRule="exact"/>
        <w:rPr>
          <w:sz w:val="20"/>
          <w:szCs w:val="20"/>
          <w:color w:val="auto"/>
        </w:rPr>
      </w:pPr>
    </w:p>
    <w:p>
      <w:pPr>
        <w:jc w:val="both"/>
        <w:ind w:left="1580" w:right="1940"/>
        <w:spacing w:after="0" w:line="235" w:lineRule="auto"/>
        <w:rPr>
          <w:sz w:val="20"/>
          <w:szCs w:val="20"/>
          <w:color w:val="auto"/>
        </w:rPr>
      </w:pPr>
      <w:r>
        <w:rPr>
          <w:rFonts w:ascii="Arial" w:cs="Arial" w:eastAsia="Arial" w:hAnsi="Arial"/>
          <w:sz w:val="15"/>
          <w:szCs w:val="15"/>
          <w:color w:val="231F20"/>
        </w:rPr>
        <w:t>Based on the achievement of corporate goals (discussed above) and individual goals (discussed in the subsection “Compensation Dashboard—Additional Compensation Information—Annual Cash Incentives”) in the past year, our NEOs earned the followed cash incentives in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Arial" w:cs="Arial" w:eastAsia="Arial" w:hAnsi="Arial"/>
                <w:sz w:val="12"/>
                <w:szCs w:val="12"/>
                <w:b w:val="1"/>
                <w:bCs w:val="1"/>
                <w:color w:val="2952A4"/>
              </w:rPr>
              <w:t>Cash Incentive Target</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2952A4"/>
                <w:w w:val="98"/>
              </w:rPr>
              <w:t>Personal</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2952A4"/>
                <w:w w:val="95"/>
              </w:rPr>
              <w:t>Company</w:t>
            </w:r>
          </w:p>
        </w:tc>
        <w:tc>
          <w:tcPr>
            <w:tcW w:w="1060" w:type="dxa"/>
            <w:vAlign w:val="bottom"/>
            <w:shd w:val="clear" w:color="auto" w:fill="2952A4"/>
          </w:tcPr>
          <w:p>
            <w:pPr>
              <w:spacing w:after="0"/>
              <w:rPr>
                <w:sz w:val="17"/>
                <w:szCs w:val="17"/>
                <w:color w:val="auto"/>
              </w:rPr>
            </w:pPr>
          </w:p>
        </w:tc>
        <w:tc>
          <w:tcPr>
            <w:tcW w:w="1560" w:type="dxa"/>
            <w:vAlign w:val="bottom"/>
          </w:tcPr>
          <w:p>
            <w:pPr>
              <w:spacing w:after="0"/>
              <w:rPr>
                <w:sz w:val="17"/>
                <w:szCs w:val="17"/>
                <w:color w:val="auto"/>
              </w:rPr>
            </w:pPr>
          </w:p>
        </w:tc>
      </w:tr>
      <w:tr>
        <w:trPr>
          <w:trHeight w:val="135"/>
        </w:trPr>
        <w:tc>
          <w:tcPr>
            <w:tcW w:w="1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0" w:type="dxa"/>
            <w:vAlign w:val="bottom"/>
          </w:tcPr>
          <w:p>
            <w:pPr>
              <w:jc w:val="right"/>
              <w:ind w:right="37"/>
              <w:spacing w:after="0" w:line="135" w:lineRule="exact"/>
              <w:rPr>
                <w:sz w:val="20"/>
                <w:szCs w:val="20"/>
                <w:color w:val="auto"/>
              </w:rPr>
            </w:pPr>
            <w:r>
              <w:rPr>
                <w:rFonts w:ascii="Arial" w:cs="Arial" w:eastAsia="Arial" w:hAnsi="Arial"/>
                <w:sz w:val="12"/>
                <w:szCs w:val="12"/>
                <w:b w:val="1"/>
                <w:bCs w:val="1"/>
                <w:color w:val="2952A4"/>
              </w:rPr>
              <w:t>2019 Base</w:t>
            </w:r>
          </w:p>
        </w:tc>
        <w:tc>
          <w:tcPr>
            <w:tcW w:w="1380" w:type="dxa"/>
            <w:vAlign w:val="bottom"/>
          </w:tcPr>
          <w:p>
            <w:pPr>
              <w:jc w:val="right"/>
              <w:ind w:right="217"/>
              <w:spacing w:after="0" w:line="135" w:lineRule="exact"/>
              <w:rPr>
                <w:sz w:val="20"/>
                <w:szCs w:val="20"/>
                <w:color w:val="auto"/>
              </w:rPr>
            </w:pPr>
            <w:r>
              <w:rPr>
                <w:rFonts w:ascii="Arial" w:cs="Arial" w:eastAsia="Arial" w:hAnsi="Arial"/>
                <w:sz w:val="12"/>
                <w:szCs w:val="12"/>
                <w:b w:val="1"/>
                <w:bCs w:val="1"/>
                <w:color w:val="2952A4"/>
              </w:rPr>
              <w:t>(as percentage</w:t>
            </w:r>
          </w:p>
        </w:tc>
        <w:tc>
          <w:tcPr>
            <w:tcW w:w="100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952A4"/>
                <w:w w:val="98"/>
              </w:rPr>
              <w:t>Performance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Performance</w:t>
            </w:r>
          </w:p>
        </w:tc>
        <w:tc>
          <w:tcPr>
            <w:tcW w:w="1060" w:type="dxa"/>
            <w:vAlign w:val="bottom"/>
            <w:shd w:val="clear" w:color="auto" w:fill="2952A4"/>
          </w:tcPr>
          <w:p>
            <w:pPr>
              <w:jc w:val="right"/>
              <w:ind w:right="177"/>
              <w:spacing w:after="0" w:line="135" w:lineRule="exact"/>
              <w:rPr>
                <w:sz w:val="20"/>
                <w:szCs w:val="20"/>
                <w:color w:val="auto"/>
              </w:rPr>
            </w:pPr>
            <w:r>
              <w:rPr>
                <w:rFonts w:ascii="Arial" w:cs="Arial" w:eastAsia="Arial" w:hAnsi="Arial"/>
                <w:sz w:val="12"/>
                <w:szCs w:val="12"/>
                <w:b w:val="1"/>
                <w:bCs w:val="1"/>
                <w:color w:val="FFFFFF"/>
              </w:rPr>
              <w:t>Total Cash</w:t>
            </w:r>
          </w:p>
        </w:tc>
        <w:tc>
          <w:tcPr>
            <w:tcW w:w="1560" w:type="dxa"/>
            <w:vAlign w:val="bottom"/>
          </w:tcPr>
          <w:p>
            <w:pPr>
              <w:spacing w:after="0"/>
              <w:rPr>
                <w:sz w:val="11"/>
                <w:szCs w:val="11"/>
                <w:color w:val="auto"/>
              </w:rPr>
            </w:pPr>
          </w:p>
        </w:tc>
      </w:tr>
      <w:tr>
        <w:trPr>
          <w:trHeight w:val="154"/>
        </w:trPr>
        <w:tc>
          <w:tcPr>
            <w:tcW w:w="158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2"/>
                <w:szCs w:val="12"/>
                <w:b w:val="1"/>
                <w:bCs w:val="1"/>
                <w:color w:val="2952A4"/>
              </w:rPr>
              <w:t>Named Executive Officer</w:t>
            </w:r>
          </w:p>
        </w:tc>
        <w:tc>
          <w:tcPr>
            <w:tcW w:w="1000" w:type="dxa"/>
            <w:vAlign w:val="bottom"/>
          </w:tcPr>
          <w:p>
            <w:pPr>
              <w:jc w:val="right"/>
              <w:ind w:right="77"/>
              <w:spacing w:after="0"/>
              <w:rPr>
                <w:sz w:val="20"/>
                <w:szCs w:val="20"/>
                <w:color w:val="auto"/>
              </w:rPr>
            </w:pPr>
            <w:r>
              <w:rPr>
                <w:rFonts w:ascii="Arial" w:cs="Arial" w:eastAsia="Arial" w:hAnsi="Arial"/>
                <w:sz w:val="12"/>
                <w:szCs w:val="12"/>
                <w:b w:val="1"/>
                <w:bCs w:val="1"/>
                <w:color w:val="2952A4"/>
              </w:rPr>
              <w:t>Salary ($)</w:t>
            </w:r>
          </w:p>
        </w:tc>
        <w:tc>
          <w:tcPr>
            <w:tcW w:w="1380" w:type="dxa"/>
            <w:vAlign w:val="bottom"/>
          </w:tcPr>
          <w:p>
            <w:pPr>
              <w:jc w:val="right"/>
              <w:ind w:right="237"/>
              <w:spacing w:after="0"/>
              <w:rPr>
                <w:sz w:val="20"/>
                <w:szCs w:val="20"/>
                <w:color w:val="auto"/>
              </w:rPr>
            </w:pPr>
            <w:r>
              <w:rPr>
                <w:rFonts w:ascii="Arial" w:cs="Arial" w:eastAsia="Arial" w:hAnsi="Arial"/>
                <w:sz w:val="12"/>
                <w:szCs w:val="12"/>
                <w:b w:val="1"/>
                <w:bCs w:val="1"/>
                <w:color w:val="2952A4"/>
              </w:rPr>
              <w:t>of base salary)</w:t>
            </w:r>
          </w:p>
        </w:tc>
        <w:tc>
          <w:tcPr>
            <w:tcW w:w="1000" w:type="dxa"/>
            <w:vAlign w:val="bottom"/>
          </w:tcPr>
          <w:p>
            <w:pPr>
              <w:jc w:val="center"/>
              <w:ind w:right="17"/>
              <w:spacing w:after="0"/>
              <w:rPr>
                <w:sz w:val="20"/>
                <w:szCs w:val="20"/>
                <w:color w:val="auto"/>
              </w:rPr>
            </w:pPr>
            <w:r>
              <w:rPr>
                <w:rFonts w:ascii="Arial" w:cs="Arial" w:eastAsia="Arial" w:hAnsi="Arial"/>
                <w:sz w:val="12"/>
                <w:szCs w:val="12"/>
                <w:b w:val="1"/>
                <w:bCs w:val="1"/>
                <w:color w:val="2952A4"/>
                <w:w w:val="97"/>
              </w:rPr>
              <w:t>Multiplier</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2952A4"/>
                <w:w w:val="97"/>
              </w:rPr>
              <w:t>Multiplier</w:t>
            </w:r>
          </w:p>
        </w:tc>
        <w:tc>
          <w:tcPr>
            <w:tcW w:w="1060" w:type="dxa"/>
            <w:vAlign w:val="bottom"/>
            <w:shd w:val="clear" w:color="auto" w:fill="2952A4"/>
          </w:tcPr>
          <w:p>
            <w:pPr>
              <w:jc w:val="right"/>
              <w:ind w:right="137"/>
              <w:spacing w:after="0"/>
              <w:rPr>
                <w:sz w:val="20"/>
                <w:szCs w:val="20"/>
                <w:color w:val="auto"/>
              </w:rPr>
            </w:pPr>
            <w:r>
              <w:rPr>
                <w:rFonts w:ascii="Arial" w:cs="Arial" w:eastAsia="Arial" w:hAnsi="Arial"/>
                <w:sz w:val="12"/>
                <w:szCs w:val="12"/>
                <w:b w:val="1"/>
                <w:bCs w:val="1"/>
                <w:color w:val="FFFFFF"/>
              </w:rPr>
              <w:t>Incentive ($)</w:t>
            </w:r>
          </w:p>
        </w:tc>
        <w:tc>
          <w:tcPr>
            <w:tcW w:w="1560" w:type="dxa"/>
            <w:vAlign w:val="bottom"/>
          </w:tcPr>
          <w:p>
            <w:pPr>
              <w:spacing w:after="0"/>
              <w:rPr>
                <w:sz w:val="13"/>
                <w:szCs w:val="13"/>
                <w:color w:val="auto"/>
              </w:rPr>
            </w:pPr>
          </w:p>
        </w:tc>
      </w:tr>
      <w:tr>
        <w:trPr>
          <w:trHeight w:val="54"/>
        </w:trPr>
        <w:tc>
          <w:tcPr>
            <w:tcW w:w="1580" w:type="dxa"/>
            <w:vAlign w:val="bottom"/>
          </w:tcPr>
          <w:p>
            <w:pPr>
              <w:spacing w:after="0"/>
              <w:rPr>
                <w:sz w:val="4"/>
                <w:szCs w:val="4"/>
                <w:color w:val="auto"/>
              </w:rPr>
            </w:pPr>
          </w:p>
        </w:tc>
        <w:tc>
          <w:tcPr>
            <w:tcW w:w="2520" w:type="dxa"/>
            <w:vAlign w:val="bottom"/>
            <w:tcBorders>
              <w:bottom w:val="single" w:sz="8" w:color="2952A4"/>
            </w:tcBorders>
          </w:tcPr>
          <w:p>
            <w:pPr>
              <w:spacing w:after="0"/>
              <w:rPr>
                <w:sz w:val="4"/>
                <w:szCs w:val="4"/>
                <w:color w:val="auto"/>
              </w:rPr>
            </w:pPr>
          </w:p>
        </w:tc>
        <w:tc>
          <w:tcPr>
            <w:tcW w:w="1000" w:type="dxa"/>
            <w:vAlign w:val="bottom"/>
            <w:tcBorders>
              <w:bottom w:val="single" w:sz="8" w:color="2952A4"/>
            </w:tcBorders>
          </w:tcPr>
          <w:p>
            <w:pPr>
              <w:spacing w:after="0"/>
              <w:rPr>
                <w:sz w:val="4"/>
                <w:szCs w:val="4"/>
                <w:color w:val="auto"/>
              </w:rPr>
            </w:pPr>
          </w:p>
        </w:tc>
        <w:tc>
          <w:tcPr>
            <w:tcW w:w="1380" w:type="dxa"/>
            <w:vAlign w:val="bottom"/>
            <w:tcBorders>
              <w:bottom w:val="single" w:sz="8" w:color="2952A4"/>
            </w:tcBorders>
          </w:tcPr>
          <w:p>
            <w:pPr>
              <w:spacing w:after="0"/>
              <w:rPr>
                <w:sz w:val="4"/>
                <w:szCs w:val="4"/>
                <w:color w:val="auto"/>
              </w:rPr>
            </w:pPr>
          </w:p>
        </w:tc>
        <w:tc>
          <w:tcPr>
            <w:tcW w:w="1000" w:type="dxa"/>
            <w:vAlign w:val="bottom"/>
            <w:tcBorders>
              <w:bottom w:val="single" w:sz="8" w:color="2952A4"/>
            </w:tcBorders>
          </w:tcPr>
          <w:p>
            <w:pPr>
              <w:spacing w:after="0"/>
              <w:rPr>
                <w:sz w:val="4"/>
                <w:szCs w:val="4"/>
                <w:color w:val="auto"/>
              </w:rPr>
            </w:pPr>
          </w:p>
        </w:tc>
        <w:tc>
          <w:tcPr>
            <w:tcW w:w="1140" w:type="dxa"/>
            <w:vAlign w:val="bottom"/>
            <w:tcBorders>
              <w:bottom w:val="single" w:sz="8" w:color="2952A4"/>
            </w:tcBorders>
          </w:tcPr>
          <w:p>
            <w:pPr>
              <w:spacing w:after="0"/>
              <w:rPr>
                <w:sz w:val="4"/>
                <w:szCs w:val="4"/>
                <w:color w:val="auto"/>
              </w:rPr>
            </w:pPr>
          </w:p>
        </w:tc>
        <w:tc>
          <w:tcPr>
            <w:tcW w:w="1060" w:type="dxa"/>
            <w:vAlign w:val="bottom"/>
            <w:tcBorders>
              <w:bottom w:val="single" w:sz="8" w:color="2952A4"/>
            </w:tcBorders>
            <w:shd w:val="clear" w:color="auto" w:fill="2952A4"/>
          </w:tcPr>
          <w:p>
            <w:pPr>
              <w:spacing w:after="0"/>
              <w:rPr>
                <w:sz w:val="4"/>
                <w:szCs w:val="4"/>
                <w:color w:val="auto"/>
              </w:rPr>
            </w:pPr>
          </w:p>
        </w:tc>
        <w:tc>
          <w:tcPr>
            <w:tcW w:w="1560" w:type="dxa"/>
            <w:vAlign w:val="bottom"/>
          </w:tcPr>
          <w:p>
            <w:pPr>
              <w:spacing w:after="0"/>
              <w:rPr>
                <w:sz w:val="4"/>
                <w:szCs w:val="4"/>
                <w:color w:val="auto"/>
              </w:rPr>
            </w:pPr>
          </w:p>
        </w:tc>
      </w:tr>
      <w:tr>
        <w:trPr>
          <w:trHeight w:val="257"/>
        </w:trPr>
        <w:tc>
          <w:tcPr>
            <w:tcW w:w="1580" w:type="dxa"/>
            <w:vAlign w:val="bottom"/>
          </w:tcPr>
          <w:p>
            <w:pPr>
              <w:spacing w:after="0"/>
              <w:rPr>
                <w:sz w:val="22"/>
                <w:szCs w:val="22"/>
                <w:color w:val="auto"/>
              </w:rPr>
            </w:pPr>
          </w:p>
        </w:tc>
        <w:tc>
          <w:tcPr>
            <w:tcW w:w="2520" w:type="dxa"/>
            <w:vAlign w:val="bottom"/>
          </w:tcPr>
          <w:p>
            <w:pPr>
              <w:ind w:left="40"/>
              <w:spacing w:after="0"/>
              <w:rPr>
                <w:sz w:val="20"/>
                <w:szCs w:val="20"/>
                <w:color w:val="auto"/>
              </w:rPr>
            </w:pPr>
            <w:r>
              <w:rPr>
                <w:rFonts w:ascii="Arial" w:cs="Arial" w:eastAsia="Arial" w:hAnsi="Arial"/>
                <w:sz w:val="13"/>
                <w:szCs w:val="13"/>
                <w:b w:val="1"/>
                <w:bCs w:val="1"/>
                <w:color w:val="C04C57"/>
              </w:rPr>
              <w:t>Leonard S. Schleifer, M.D., Ph.D.</w:t>
            </w:r>
          </w:p>
        </w:tc>
        <w:tc>
          <w:tcPr>
            <w:tcW w:w="1000" w:type="dxa"/>
            <w:vAlign w:val="bottom"/>
          </w:tcPr>
          <w:p>
            <w:pPr>
              <w:jc w:val="right"/>
              <w:spacing w:after="0"/>
              <w:rPr>
                <w:sz w:val="20"/>
                <w:szCs w:val="20"/>
                <w:color w:val="auto"/>
              </w:rPr>
            </w:pPr>
            <w:r>
              <w:rPr>
                <w:rFonts w:ascii="Arial" w:cs="Arial" w:eastAsia="Arial" w:hAnsi="Arial"/>
                <w:sz w:val="13"/>
                <w:szCs w:val="13"/>
                <w:color w:val="231F20"/>
              </w:rPr>
              <w:t>1,377,100</w:t>
            </w:r>
          </w:p>
        </w:tc>
        <w:tc>
          <w:tcPr>
            <w:tcW w:w="1380" w:type="dxa"/>
            <w:vAlign w:val="bottom"/>
          </w:tcPr>
          <w:p>
            <w:pPr>
              <w:jc w:val="right"/>
              <w:ind w:right="797"/>
              <w:spacing w:after="0"/>
              <w:rPr>
                <w:sz w:val="20"/>
                <w:szCs w:val="20"/>
                <w:color w:val="auto"/>
              </w:rPr>
            </w:pPr>
            <w:r>
              <w:rPr>
                <w:rFonts w:ascii="Arial" w:cs="Arial" w:eastAsia="Arial" w:hAnsi="Arial"/>
                <w:sz w:val="13"/>
                <w:szCs w:val="13"/>
                <w:color w:val="231F20"/>
              </w:rPr>
              <w:t>120%</w:t>
            </w:r>
          </w:p>
        </w:tc>
        <w:tc>
          <w:tcPr>
            <w:tcW w:w="1000" w:type="dxa"/>
            <w:vAlign w:val="bottom"/>
          </w:tcPr>
          <w:p>
            <w:pPr>
              <w:ind w:left="280"/>
              <w:spacing w:after="0"/>
              <w:rPr>
                <w:sz w:val="20"/>
                <w:szCs w:val="20"/>
                <w:color w:val="auto"/>
              </w:rPr>
            </w:pPr>
            <w:r>
              <w:rPr>
                <w:rFonts w:ascii="Arial" w:cs="Arial" w:eastAsia="Arial" w:hAnsi="Arial"/>
                <w:sz w:val="13"/>
                <w:szCs w:val="13"/>
                <w:color w:val="231F20"/>
              </w:rPr>
              <w:t>n/a</w:t>
            </w:r>
          </w:p>
        </w:tc>
        <w:tc>
          <w:tcPr>
            <w:tcW w:w="1140" w:type="dxa"/>
            <w:vAlign w:val="bottom"/>
          </w:tcPr>
          <w:p>
            <w:pPr>
              <w:jc w:val="center"/>
              <w:spacing w:after="0"/>
              <w:rPr>
                <w:sz w:val="20"/>
                <w:szCs w:val="20"/>
                <w:color w:val="auto"/>
              </w:rPr>
            </w:pPr>
            <w:r>
              <w:rPr>
                <w:rFonts w:ascii="Arial" w:cs="Arial" w:eastAsia="Arial" w:hAnsi="Arial"/>
                <w:sz w:val="13"/>
                <w:szCs w:val="13"/>
                <w:color w:val="231F20"/>
                <w:w w:val="94"/>
              </w:rPr>
              <w:t>1.85</w:t>
            </w:r>
          </w:p>
        </w:tc>
        <w:tc>
          <w:tcPr>
            <w:tcW w:w="1060" w:type="dxa"/>
            <w:vAlign w:val="bottom"/>
            <w:tcBorders>
              <w:bottom w:val="single" w:sz="8" w:color="E3E6F4"/>
            </w:tcBorders>
            <w:shd w:val="clear" w:color="auto" w:fill="E3E6F4"/>
          </w:tcPr>
          <w:p>
            <w:pPr>
              <w:jc w:val="right"/>
              <w:ind w:right="137"/>
              <w:spacing w:after="0"/>
              <w:rPr>
                <w:sz w:val="20"/>
                <w:szCs w:val="20"/>
                <w:color w:val="auto"/>
              </w:rPr>
            </w:pPr>
            <w:r>
              <w:rPr>
                <w:rFonts w:ascii="Arial" w:cs="Arial" w:eastAsia="Arial" w:hAnsi="Arial"/>
                <w:sz w:val="13"/>
                <w:szCs w:val="13"/>
                <w:color w:val="231F20"/>
              </w:rPr>
              <w:t>3,057,162</w:t>
            </w:r>
          </w:p>
        </w:tc>
        <w:tc>
          <w:tcPr>
            <w:tcW w:w="1560" w:type="dxa"/>
            <w:vAlign w:val="bottom"/>
          </w:tcPr>
          <w:p>
            <w:pPr>
              <w:spacing w:after="0"/>
              <w:rPr>
                <w:sz w:val="22"/>
                <w:szCs w:val="22"/>
                <w:color w:val="auto"/>
              </w:rPr>
            </w:pPr>
          </w:p>
        </w:tc>
      </w:tr>
      <w:tr>
        <w:trPr>
          <w:trHeight w:val="255"/>
        </w:trPr>
        <w:tc>
          <w:tcPr>
            <w:tcW w:w="1580" w:type="dxa"/>
            <w:vAlign w:val="bottom"/>
          </w:tcPr>
          <w:p>
            <w:pPr>
              <w:spacing w:after="0"/>
              <w:rPr>
                <w:sz w:val="21"/>
                <w:szCs w:val="21"/>
                <w:color w:val="auto"/>
              </w:rPr>
            </w:pPr>
          </w:p>
        </w:tc>
        <w:tc>
          <w:tcPr>
            <w:tcW w:w="2520" w:type="dxa"/>
            <w:vAlign w:val="bottom"/>
            <w:tcBorders>
              <w:top w:val="single" w:sz="8" w:color="58585A"/>
              <w:bottom w:val="single" w:sz="8" w:color="ECECED"/>
            </w:tcBorders>
            <w:shd w:val="clear" w:color="auto" w:fill="ECECED"/>
          </w:tcPr>
          <w:p>
            <w:pPr>
              <w:ind w:left="40"/>
              <w:spacing w:after="0"/>
              <w:rPr>
                <w:sz w:val="20"/>
                <w:szCs w:val="20"/>
                <w:color w:val="auto"/>
              </w:rPr>
            </w:pPr>
            <w:r>
              <w:rPr>
                <w:rFonts w:ascii="Arial" w:cs="Arial" w:eastAsia="Arial" w:hAnsi="Arial"/>
                <w:sz w:val="13"/>
                <w:szCs w:val="13"/>
                <w:b w:val="1"/>
                <w:bCs w:val="1"/>
                <w:color w:val="C04C57"/>
              </w:rPr>
              <w:t>George D. Yancopoulos, M.D., Ph.D.</w:t>
            </w:r>
          </w:p>
        </w:tc>
        <w:tc>
          <w:tcPr>
            <w:tcW w:w="1000" w:type="dxa"/>
            <w:vAlign w:val="bottom"/>
            <w:tcBorders>
              <w:top w:val="single" w:sz="8" w:color="58585A"/>
              <w:bottom w:val="single" w:sz="8" w:color="ECECED"/>
            </w:tcBorders>
            <w:shd w:val="clear" w:color="auto" w:fill="ECECED"/>
          </w:tcPr>
          <w:p>
            <w:pPr>
              <w:jc w:val="right"/>
              <w:spacing w:after="0"/>
              <w:rPr>
                <w:sz w:val="20"/>
                <w:szCs w:val="20"/>
                <w:color w:val="auto"/>
              </w:rPr>
            </w:pPr>
            <w:r>
              <w:rPr>
                <w:rFonts w:ascii="Arial" w:cs="Arial" w:eastAsia="Arial" w:hAnsi="Arial"/>
                <w:sz w:val="13"/>
                <w:szCs w:val="13"/>
                <w:color w:val="231F20"/>
              </w:rPr>
              <w:t>1,170,500</w:t>
            </w:r>
          </w:p>
        </w:tc>
        <w:tc>
          <w:tcPr>
            <w:tcW w:w="1380" w:type="dxa"/>
            <w:vAlign w:val="bottom"/>
            <w:tcBorders>
              <w:top w:val="single" w:sz="8" w:color="58585A"/>
              <w:bottom w:val="single" w:sz="8" w:color="ECECED"/>
            </w:tcBorders>
            <w:shd w:val="clear" w:color="auto" w:fill="ECECED"/>
          </w:tcPr>
          <w:p>
            <w:pPr>
              <w:jc w:val="right"/>
              <w:ind w:right="797"/>
              <w:spacing w:after="0"/>
              <w:rPr>
                <w:sz w:val="20"/>
                <w:szCs w:val="20"/>
                <w:color w:val="auto"/>
              </w:rPr>
            </w:pPr>
            <w:r>
              <w:rPr>
                <w:rFonts w:ascii="Arial" w:cs="Arial" w:eastAsia="Arial" w:hAnsi="Arial"/>
                <w:sz w:val="13"/>
                <w:szCs w:val="13"/>
                <w:color w:val="231F20"/>
              </w:rPr>
              <w:t>120%</w:t>
            </w:r>
          </w:p>
        </w:tc>
        <w:tc>
          <w:tcPr>
            <w:tcW w:w="1000" w:type="dxa"/>
            <w:vAlign w:val="bottom"/>
            <w:tcBorders>
              <w:top w:val="single" w:sz="8" w:color="58585A"/>
              <w:bottom w:val="single" w:sz="8" w:color="ECECED"/>
            </w:tcBorders>
            <w:shd w:val="clear" w:color="auto" w:fill="ECECED"/>
          </w:tcPr>
          <w:p>
            <w:pPr>
              <w:ind w:left="280"/>
              <w:spacing w:after="0"/>
              <w:rPr>
                <w:sz w:val="20"/>
                <w:szCs w:val="20"/>
                <w:color w:val="auto"/>
              </w:rPr>
            </w:pPr>
            <w:r>
              <w:rPr>
                <w:rFonts w:ascii="Arial" w:cs="Arial" w:eastAsia="Arial" w:hAnsi="Arial"/>
                <w:sz w:val="13"/>
                <w:szCs w:val="13"/>
                <w:color w:val="231F20"/>
              </w:rPr>
              <w:t>n/a</w:t>
            </w:r>
          </w:p>
        </w:tc>
        <w:tc>
          <w:tcPr>
            <w:tcW w:w="1140" w:type="dxa"/>
            <w:vAlign w:val="bottom"/>
            <w:tcBorders>
              <w:top w:val="single" w:sz="8" w:color="58585A"/>
              <w:bottom w:val="single" w:sz="8" w:color="ECECED"/>
            </w:tcBorders>
            <w:shd w:val="clear" w:color="auto" w:fill="ECECED"/>
          </w:tcPr>
          <w:p>
            <w:pPr>
              <w:jc w:val="center"/>
              <w:spacing w:after="0"/>
              <w:rPr>
                <w:sz w:val="20"/>
                <w:szCs w:val="20"/>
                <w:color w:val="auto"/>
              </w:rPr>
            </w:pPr>
            <w:r>
              <w:rPr>
                <w:rFonts w:ascii="Arial" w:cs="Arial" w:eastAsia="Arial" w:hAnsi="Arial"/>
                <w:sz w:val="13"/>
                <w:szCs w:val="13"/>
                <w:color w:val="231F20"/>
                <w:w w:val="94"/>
              </w:rPr>
              <w:t>1.85</w:t>
            </w:r>
          </w:p>
        </w:tc>
        <w:tc>
          <w:tcPr>
            <w:tcW w:w="1060" w:type="dxa"/>
            <w:vAlign w:val="bottom"/>
            <w:tcBorders>
              <w:top w:val="single" w:sz="8" w:color="58585A"/>
              <w:bottom w:val="single" w:sz="8" w:color="C8CCE5"/>
            </w:tcBorders>
            <w:shd w:val="clear" w:color="auto" w:fill="C8CCE5"/>
          </w:tcPr>
          <w:p>
            <w:pPr>
              <w:jc w:val="right"/>
              <w:ind w:right="137"/>
              <w:spacing w:after="0"/>
              <w:rPr>
                <w:sz w:val="20"/>
                <w:szCs w:val="20"/>
                <w:color w:val="auto"/>
              </w:rPr>
            </w:pPr>
            <w:r>
              <w:rPr>
                <w:rFonts w:ascii="Arial" w:cs="Arial" w:eastAsia="Arial" w:hAnsi="Arial"/>
                <w:sz w:val="13"/>
                <w:szCs w:val="13"/>
                <w:color w:val="231F20"/>
              </w:rPr>
              <w:t>2,598,510</w:t>
            </w:r>
          </w:p>
        </w:tc>
        <w:tc>
          <w:tcPr>
            <w:tcW w:w="1560" w:type="dxa"/>
            <w:vAlign w:val="bottom"/>
          </w:tcPr>
          <w:p>
            <w:pPr>
              <w:spacing w:after="0"/>
              <w:rPr>
                <w:sz w:val="21"/>
                <w:szCs w:val="21"/>
                <w:color w:val="auto"/>
              </w:rPr>
            </w:pPr>
          </w:p>
        </w:tc>
      </w:tr>
      <w:tr>
        <w:trPr>
          <w:trHeight w:val="250"/>
        </w:trPr>
        <w:tc>
          <w:tcPr>
            <w:tcW w:w="1580" w:type="dxa"/>
            <w:vAlign w:val="bottom"/>
          </w:tcPr>
          <w:p>
            <w:pPr>
              <w:spacing w:after="0"/>
              <w:rPr>
                <w:sz w:val="21"/>
                <w:szCs w:val="21"/>
                <w:color w:val="auto"/>
              </w:rPr>
            </w:pPr>
          </w:p>
        </w:tc>
        <w:tc>
          <w:tcPr>
            <w:tcW w:w="2520" w:type="dxa"/>
            <w:vAlign w:val="bottom"/>
            <w:tcBorders>
              <w:top w:val="single" w:sz="8" w:color="58585A"/>
            </w:tcBorders>
          </w:tcPr>
          <w:p>
            <w:pPr>
              <w:ind w:left="40"/>
              <w:spacing w:after="0"/>
              <w:rPr>
                <w:sz w:val="20"/>
                <w:szCs w:val="20"/>
                <w:color w:val="auto"/>
              </w:rPr>
            </w:pPr>
            <w:r>
              <w:rPr>
                <w:rFonts w:ascii="Arial" w:cs="Arial" w:eastAsia="Arial" w:hAnsi="Arial"/>
                <w:sz w:val="13"/>
                <w:szCs w:val="13"/>
                <w:b w:val="1"/>
                <w:bCs w:val="1"/>
                <w:color w:val="C04C57"/>
              </w:rPr>
              <w:t>Robert E. Landry</w:t>
            </w:r>
          </w:p>
        </w:tc>
        <w:tc>
          <w:tcPr>
            <w:tcW w:w="100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231F20"/>
              </w:rPr>
              <w:t>730,000</w:t>
            </w:r>
          </w:p>
        </w:tc>
        <w:tc>
          <w:tcPr>
            <w:tcW w:w="1380" w:type="dxa"/>
            <w:vAlign w:val="bottom"/>
            <w:tcBorders>
              <w:top w:val="single" w:sz="8" w:color="58585A"/>
            </w:tcBorders>
          </w:tcPr>
          <w:p>
            <w:pPr>
              <w:jc w:val="right"/>
              <w:ind w:right="797"/>
              <w:spacing w:after="0"/>
              <w:rPr>
                <w:sz w:val="20"/>
                <w:szCs w:val="20"/>
                <w:color w:val="auto"/>
              </w:rPr>
            </w:pPr>
            <w:r>
              <w:rPr>
                <w:rFonts w:ascii="Arial" w:cs="Arial" w:eastAsia="Arial" w:hAnsi="Arial"/>
                <w:sz w:val="13"/>
                <w:szCs w:val="13"/>
                <w:color w:val="231F20"/>
              </w:rPr>
              <w:t>65%</w:t>
            </w:r>
          </w:p>
        </w:tc>
        <w:tc>
          <w:tcPr>
            <w:tcW w:w="1000" w:type="dxa"/>
            <w:vAlign w:val="bottom"/>
            <w:tcBorders>
              <w:top w:val="single" w:sz="8" w:color="58585A"/>
            </w:tcBorders>
          </w:tcPr>
          <w:p>
            <w:pPr>
              <w:ind w:left="280"/>
              <w:spacing w:after="0"/>
              <w:rPr>
                <w:sz w:val="20"/>
                <w:szCs w:val="20"/>
                <w:color w:val="auto"/>
              </w:rPr>
            </w:pPr>
            <w:r>
              <w:rPr>
                <w:rFonts w:ascii="Arial" w:cs="Arial" w:eastAsia="Arial" w:hAnsi="Arial"/>
                <w:sz w:val="13"/>
                <w:szCs w:val="13"/>
                <w:color w:val="231F20"/>
              </w:rPr>
              <w:t>1.5</w:t>
            </w:r>
          </w:p>
        </w:tc>
        <w:tc>
          <w:tcPr>
            <w:tcW w:w="1140" w:type="dxa"/>
            <w:vAlign w:val="bottom"/>
            <w:tcBorders>
              <w:top w:val="single" w:sz="8" w:color="58585A"/>
            </w:tcBorders>
          </w:tcPr>
          <w:p>
            <w:pPr>
              <w:jc w:val="center"/>
              <w:spacing w:after="0"/>
              <w:rPr>
                <w:sz w:val="20"/>
                <w:szCs w:val="20"/>
                <w:color w:val="auto"/>
              </w:rPr>
            </w:pPr>
            <w:r>
              <w:rPr>
                <w:rFonts w:ascii="Arial" w:cs="Arial" w:eastAsia="Arial" w:hAnsi="Arial"/>
                <w:sz w:val="13"/>
                <w:szCs w:val="13"/>
                <w:color w:val="231F20"/>
                <w:w w:val="94"/>
              </w:rPr>
              <w:t>1.85</w:t>
            </w:r>
          </w:p>
        </w:tc>
        <w:tc>
          <w:tcPr>
            <w:tcW w:w="1060" w:type="dxa"/>
            <w:vAlign w:val="bottom"/>
            <w:tcBorders>
              <w:top w:val="single" w:sz="8" w:color="58585A"/>
              <w:bottom w:val="single" w:sz="8" w:color="E3E6F4"/>
            </w:tcBorders>
            <w:shd w:val="clear" w:color="auto" w:fill="E3E6F4"/>
          </w:tcPr>
          <w:p>
            <w:pPr>
              <w:jc w:val="right"/>
              <w:ind w:right="137"/>
              <w:spacing w:after="0"/>
              <w:rPr>
                <w:sz w:val="20"/>
                <w:szCs w:val="20"/>
                <w:color w:val="auto"/>
              </w:rPr>
            </w:pPr>
            <w:r>
              <w:rPr>
                <w:rFonts w:ascii="Arial" w:cs="Arial" w:eastAsia="Arial" w:hAnsi="Arial"/>
                <w:sz w:val="13"/>
                <w:szCs w:val="13"/>
                <w:color w:val="231F20"/>
              </w:rPr>
              <w:t>811,395</w:t>
            </w:r>
          </w:p>
        </w:tc>
        <w:tc>
          <w:tcPr>
            <w:tcW w:w="1560" w:type="dxa"/>
            <w:vAlign w:val="bottom"/>
          </w:tcPr>
          <w:p>
            <w:pPr>
              <w:spacing w:after="0"/>
              <w:rPr>
                <w:sz w:val="21"/>
                <w:szCs w:val="21"/>
                <w:color w:val="auto"/>
              </w:rPr>
            </w:pPr>
          </w:p>
        </w:tc>
      </w:tr>
      <w:tr>
        <w:trPr>
          <w:trHeight w:val="255"/>
        </w:trPr>
        <w:tc>
          <w:tcPr>
            <w:tcW w:w="1580" w:type="dxa"/>
            <w:vAlign w:val="bottom"/>
          </w:tcPr>
          <w:p>
            <w:pPr>
              <w:spacing w:after="0"/>
              <w:rPr>
                <w:sz w:val="21"/>
                <w:szCs w:val="21"/>
                <w:color w:val="auto"/>
              </w:rPr>
            </w:pPr>
          </w:p>
        </w:tc>
        <w:tc>
          <w:tcPr>
            <w:tcW w:w="2520" w:type="dxa"/>
            <w:vAlign w:val="bottom"/>
            <w:tcBorders>
              <w:top w:val="single" w:sz="8" w:color="58585A"/>
              <w:bottom w:val="single" w:sz="8" w:color="ECECED"/>
            </w:tcBorders>
            <w:shd w:val="clear" w:color="auto" w:fill="ECECED"/>
          </w:tcPr>
          <w:p>
            <w:pPr>
              <w:ind w:left="40"/>
              <w:spacing w:after="0"/>
              <w:rPr>
                <w:sz w:val="20"/>
                <w:szCs w:val="20"/>
                <w:color w:val="auto"/>
              </w:rPr>
            </w:pPr>
            <w:r>
              <w:rPr>
                <w:rFonts w:ascii="Arial" w:cs="Arial" w:eastAsia="Arial" w:hAnsi="Arial"/>
                <w:sz w:val="13"/>
                <w:szCs w:val="13"/>
                <w:b w:val="1"/>
                <w:bCs w:val="1"/>
                <w:color w:val="C04C57"/>
              </w:rPr>
              <w:t>Daniel P. Van Plew</w:t>
            </w:r>
          </w:p>
        </w:tc>
        <w:tc>
          <w:tcPr>
            <w:tcW w:w="1000" w:type="dxa"/>
            <w:vAlign w:val="bottom"/>
            <w:tcBorders>
              <w:top w:val="single" w:sz="8" w:color="58585A"/>
              <w:bottom w:val="single" w:sz="8" w:color="ECECED"/>
            </w:tcBorders>
            <w:shd w:val="clear" w:color="auto" w:fill="ECECED"/>
          </w:tcPr>
          <w:p>
            <w:pPr>
              <w:jc w:val="right"/>
              <w:spacing w:after="0"/>
              <w:rPr>
                <w:sz w:val="20"/>
                <w:szCs w:val="20"/>
                <w:color w:val="auto"/>
              </w:rPr>
            </w:pPr>
            <w:r>
              <w:rPr>
                <w:rFonts w:ascii="Arial" w:cs="Arial" w:eastAsia="Arial" w:hAnsi="Arial"/>
                <w:sz w:val="13"/>
                <w:szCs w:val="13"/>
                <w:color w:val="231F20"/>
              </w:rPr>
              <w:t>683,100</w:t>
            </w:r>
          </w:p>
        </w:tc>
        <w:tc>
          <w:tcPr>
            <w:tcW w:w="1380" w:type="dxa"/>
            <w:vAlign w:val="bottom"/>
            <w:tcBorders>
              <w:top w:val="single" w:sz="8" w:color="58585A"/>
              <w:bottom w:val="single" w:sz="8" w:color="ECECED"/>
            </w:tcBorders>
            <w:shd w:val="clear" w:color="auto" w:fill="ECECED"/>
          </w:tcPr>
          <w:p>
            <w:pPr>
              <w:jc w:val="right"/>
              <w:ind w:right="797"/>
              <w:spacing w:after="0"/>
              <w:rPr>
                <w:sz w:val="20"/>
                <w:szCs w:val="20"/>
                <w:color w:val="auto"/>
              </w:rPr>
            </w:pPr>
            <w:r>
              <w:rPr>
                <w:rFonts w:ascii="Arial" w:cs="Arial" w:eastAsia="Arial" w:hAnsi="Arial"/>
                <w:sz w:val="13"/>
                <w:szCs w:val="13"/>
                <w:color w:val="231F20"/>
              </w:rPr>
              <w:t>65%</w:t>
            </w:r>
          </w:p>
        </w:tc>
        <w:tc>
          <w:tcPr>
            <w:tcW w:w="1000" w:type="dxa"/>
            <w:vAlign w:val="bottom"/>
            <w:tcBorders>
              <w:top w:val="single" w:sz="8" w:color="58585A"/>
              <w:bottom w:val="single" w:sz="8" w:color="ECECED"/>
            </w:tcBorders>
            <w:shd w:val="clear" w:color="auto" w:fill="ECECED"/>
          </w:tcPr>
          <w:p>
            <w:pPr>
              <w:ind w:left="280"/>
              <w:spacing w:after="0"/>
              <w:rPr>
                <w:sz w:val="20"/>
                <w:szCs w:val="20"/>
                <w:color w:val="auto"/>
              </w:rPr>
            </w:pPr>
            <w:r>
              <w:rPr>
                <w:rFonts w:ascii="Arial" w:cs="Arial" w:eastAsia="Arial" w:hAnsi="Arial"/>
                <w:sz w:val="13"/>
                <w:szCs w:val="13"/>
                <w:color w:val="231F20"/>
              </w:rPr>
              <w:t>1.5</w:t>
            </w:r>
          </w:p>
        </w:tc>
        <w:tc>
          <w:tcPr>
            <w:tcW w:w="1140" w:type="dxa"/>
            <w:vAlign w:val="bottom"/>
            <w:tcBorders>
              <w:top w:val="single" w:sz="8" w:color="58585A"/>
              <w:bottom w:val="single" w:sz="8" w:color="ECECED"/>
            </w:tcBorders>
            <w:shd w:val="clear" w:color="auto" w:fill="ECECED"/>
          </w:tcPr>
          <w:p>
            <w:pPr>
              <w:jc w:val="center"/>
              <w:spacing w:after="0"/>
              <w:rPr>
                <w:sz w:val="20"/>
                <w:szCs w:val="20"/>
                <w:color w:val="auto"/>
              </w:rPr>
            </w:pPr>
            <w:r>
              <w:rPr>
                <w:rFonts w:ascii="Arial" w:cs="Arial" w:eastAsia="Arial" w:hAnsi="Arial"/>
                <w:sz w:val="13"/>
                <w:szCs w:val="13"/>
                <w:color w:val="231F20"/>
                <w:w w:val="94"/>
              </w:rPr>
              <w:t>1.85</w:t>
            </w:r>
          </w:p>
        </w:tc>
        <w:tc>
          <w:tcPr>
            <w:tcW w:w="1060" w:type="dxa"/>
            <w:vAlign w:val="bottom"/>
            <w:tcBorders>
              <w:top w:val="single" w:sz="8" w:color="58585A"/>
              <w:bottom w:val="single" w:sz="8" w:color="C8CCE5"/>
            </w:tcBorders>
            <w:shd w:val="clear" w:color="auto" w:fill="C8CCE5"/>
          </w:tcPr>
          <w:p>
            <w:pPr>
              <w:jc w:val="right"/>
              <w:ind w:right="137"/>
              <w:spacing w:after="0"/>
              <w:rPr>
                <w:sz w:val="20"/>
                <w:szCs w:val="20"/>
                <w:color w:val="auto"/>
              </w:rPr>
            </w:pPr>
            <w:r>
              <w:rPr>
                <w:rFonts w:ascii="Arial" w:cs="Arial" w:eastAsia="Arial" w:hAnsi="Arial"/>
                <w:sz w:val="13"/>
                <w:szCs w:val="13"/>
                <w:color w:val="231F20"/>
              </w:rPr>
              <w:t>759,266</w:t>
            </w:r>
          </w:p>
        </w:tc>
        <w:tc>
          <w:tcPr>
            <w:tcW w:w="1560" w:type="dxa"/>
            <w:vAlign w:val="bottom"/>
          </w:tcPr>
          <w:p>
            <w:pPr>
              <w:spacing w:after="0"/>
              <w:rPr>
                <w:sz w:val="21"/>
                <w:szCs w:val="21"/>
                <w:color w:val="auto"/>
              </w:rPr>
            </w:pPr>
          </w:p>
        </w:tc>
      </w:tr>
      <w:tr>
        <w:trPr>
          <w:trHeight w:val="250"/>
        </w:trPr>
        <w:tc>
          <w:tcPr>
            <w:tcW w:w="1580" w:type="dxa"/>
            <w:vAlign w:val="bottom"/>
          </w:tcPr>
          <w:p>
            <w:pPr>
              <w:spacing w:after="0"/>
              <w:rPr>
                <w:sz w:val="21"/>
                <w:szCs w:val="21"/>
                <w:color w:val="auto"/>
              </w:rPr>
            </w:pPr>
          </w:p>
        </w:tc>
        <w:tc>
          <w:tcPr>
            <w:tcW w:w="2520" w:type="dxa"/>
            <w:vAlign w:val="bottom"/>
            <w:tcBorders>
              <w:top w:val="single" w:sz="8" w:color="58585A"/>
            </w:tcBorders>
          </w:tcPr>
          <w:p>
            <w:pPr>
              <w:ind w:left="40"/>
              <w:spacing w:after="0"/>
              <w:rPr>
                <w:sz w:val="20"/>
                <w:szCs w:val="20"/>
                <w:color w:val="auto"/>
              </w:rPr>
            </w:pPr>
            <w:r>
              <w:rPr>
                <w:rFonts w:ascii="Arial" w:cs="Arial" w:eastAsia="Arial" w:hAnsi="Arial"/>
                <w:sz w:val="13"/>
                <w:szCs w:val="13"/>
                <w:b w:val="1"/>
                <w:bCs w:val="1"/>
                <w:color w:val="C04C57"/>
              </w:rPr>
              <w:t>Andrew J. Murphy, Ph.D.</w:t>
            </w:r>
          </w:p>
        </w:tc>
        <w:tc>
          <w:tcPr>
            <w:tcW w:w="100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231F20"/>
              </w:rPr>
              <w:t>600,000</w:t>
            </w:r>
          </w:p>
        </w:tc>
        <w:tc>
          <w:tcPr>
            <w:tcW w:w="1380" w:type="dxa"/>
            <w:vAlign w:val="bottom"/>
            <w:tcBorders>
              <w:top w:val="single" w:sz="8" w:color="58585A"/>
            </w:tcBorders>
          </w:tcPr>
          <w:p>
            <w:pPr>
              <w:jc w:val="right"/>
              <w:ind w:right="797"/>
              <w:spacing w:after="0"/>
              <w:rPr>
                <w:sz w:val="20"/>
                <w:szCs w:val="20"/>
                <w:color w:val="auto"/>
              </w:rPr>
            </w:pPr>
            <w:r>
              <w:rPr>
                <w:rFonts w:ascii="Arial" w:cs="Arial" w:eastAsia="Arial" w:hAnsi="Arial"/>
                <w:sz w:val="13"/>
                <w:szCs w:val="13"/>
                <w:color w:val="231F20"/>
              </w:rPr>
              <w:t>65%</w:t>
            </w:r>
          </w:p>
        </w:tc>
        <w:tc>
          <w:tcPr>
            <w:tcW w:w="1000" w:type="dxa"/>
            <w:vAlign w:val="bottom"/>
            <w:tcBorders>
              <w:top w:val="single" w:sz="8" w:color="58585A"/>
            </w:tcBorders>
          </w:tcPr>
          <w:p>
            <w:pPr>
              <w:ind w:left="280"/>
              <w:spacing w:after="0"/>
              <w:rPr>
                <w:sz w:val="20"/>
                <w:szCs w:val="20"/>
                <w:color w:val="auto"/>
              </w:rPr>
            </w:pPr>
            <w:r>
              <w:rPr>
                <w:rFonts w:ascii="Arial" w:cs="Arial" w:eastAsia="Arial" w:hAnsi="Arial"/>
                <w:sz w:val="13"/>
                <w:szCs w:val="13"/>
                <w:color w:val="231F20"/>
              </w:rPr>
              <w:t>1.5</w:t>
            </w:r>
          </w:p>
        </w:tc>
        <w:tc>
          <w:tcPr>
            <w:tcW w:w="1140" w:type="dxa"/>
            <w:vAlign w:val="bottom"/>
            <w:tcBorders>
              <w:top w:val="single" w:sz="8" w:color="58585A"/>
            </w:tcBorders>
          </w:tcPr>
          <w:p>
            <w:pPr>
              <w:jc w:val="center"/>
              <w:spacing w:after="0"/>
              <w:rPr>
                <w:sz w:val="20"/>
                <w:szCs w:val="20"/>
                <w:color w:val="auto"/>
              </w:rPr>
            </w:pPr>
            <w:r>
              <w:rPr>
                <w:rFonts w:ascii="Arial" w:cs="Arial" w:eastAsia="Arial" w:hAnsi="Arial"/>
                <w:sz w:val="13"/>
                <w:szCs w:val="13"/>
                <w:color w:val="231F20"/>
                <w:w w:val="94"/>
              </w:rPr>
              <w:t>1.85</w:t>
            </w:r>
          </w:p>
        </w:tc>
        <w:tc>
          <w:tcPr>
            <w:tcW w:w="1060" w:type="dxa"/>
            <w:vAlign w:val="bottom"/>
            <w:tcBorders>
              <w:top w:val="single" w:sz="8" w:color="58585A"/>
              <w:bottom w:val="single" w:sz="8" w:color="E3E6F4"/>
            </w:tcBorders>
            <w:shd w:val="clear" w:color="auto" w:fill="E3E6F4"/>
          </w:tcPr>
          <w:p>
            <w:pPr>
              <w:jc w:val="right"/>
              <w:ind w:right="137"/>
              <w:spacing w:after="0"/>
              <w:rPr>
                <w:sz w:val="20"/>
                <w:szCs w:val="20"/>
                <w:color w:val="auto"/>
              </w:rPr>
            </w:pPr>
            <w:r>
              <w:rPr>
                <w:rFonts w:ascii="Arial" w:cs="Arial" w:eastAsia="Arial" w:hAnsi="Arial"/>
                <w:sz w:val="13"/>
                <w:szCs w:val="13"/>
                <w:color w:val="231F20"/>
              </w:rPr>
              <w:t>666,900</w:t>
            </w:r>
          </w:p>
        </w:tc>
        <w:tc>
          <w:tcPr>
            <w:tcW w:w="1560" w:type="dxa"/>
            <w:vAlign w:val="bottom"/>
          </w:tcPr>
          <w:p>
            <w:pPr>
              <w:spacing w:after="0"/>
              <w:rPr>
                <w:sz w:val="21"/>
                <w:szCs w:val="21"/>
                <w:color w:val="auto"/>
              </w:rPr>
            </w:pPr>
          </w:p>
        </w:tc>
      </w:tr>
      <w:tr>
        <w:trPr>
          <w:trHeight w:val="387"/>
        </w:trPr>
        <w:tc>
          <w:tcPr>
            <w:tcW w:w="1580" w:type="dxa"/>
            <w:vAlign w:val="bottom"/>
          </w:tcPr>
          <w:p>
            <w:pPr>
              <w:jc w:val="right"/>
              <w:spacing w:after="0"/>
              <w:rPr>
                <w:sz w:val="20"/>
                <w:szCs w:val="20"/>
                <w:color w:val="auto"/>
              </w:rPr>
            </w:pPr>
            <w:r>
              <w:rPr>
                <w:rFonts w:ascii="Arial" w:cs="Arial" w:eastAsia="Arial" w:hAnsi="Arial"/>
                <w:sz w:val="14"/>
                <w:szCs w:val="14"/>
                <w:b w:val="1"/>
                <w:bCs w:val="1"/>
                <w:color w:val="00A5EC"/>
              </w:rPr>
              <w:t xml:space="preserve">72  </w:t>
            </w:r>
            <w:r>
              <w:rPr>
                <w:rFonts w:ascii="Arial" w:cs="Arial" w:eastAsia="Arial" w:hAnsi="Arial"/>
                <w:sz w:val="14"/>
                <w:szCs w:val="14"/>
                <w:color w:val="00A5EC"/>
              </w:rPr>
              <w:t>/</w:t>
            </w:r>
          </w:p>
        </w:tc>
        <w:tc>
          <w:tcPr>
            <w:tcW w:w="2520" w:type="dxa"/>
            <w:vAlign w:val="bottom"/>
            <w:tcBorders>
              <w:top w:val="single" w:sz="8" w:color="2952A4"/>
            </w:tcBorders>
          </w:tcPr>
          <w:p>
            <w:pPr>
              <w:spacing w:after="0"/>
              <w:rPr>
                <w:sz w:val="24"/>
                <w:szCs w:val="24"/>
                <w:color w:val="auto"/>
              </w:rPr>
            </w:pPr>
          </w:p>
        </w:tc>
        <w:tc>
          <w:tcPr>
            <w:tcW w:w="5580" w:type="dxa"/>
            <w:vAlign w:val="bottom"/>
            <w:tcBorders>
              <w:top w:val="single" w:sz="8" w:color="2952A4"/>
            </w:tcBorders>
            <w:gridSpan w:val="5"/>
          </w:tcPr>
          <w:p>
            <w:pPr>
              <w:jc w:val="right"/>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1560" w:type="dxa"/>
            <w:vAlign w:val="bottom"/>
          </w:tcPr>
          <w:p>
            <w:pPr>
              <w:spacing w:after="0"/>
              <w:rPr>
                <w:sz w:val="24"/>
                <w:szCs w:val="24"/>
                <w:color w:val="auto"/>
              </w:rPr>
            </w:pPr>
          </w:p>
        </w:tc>
      </w:tr>
      <w:tr>
        <w:trPr>
          <w:trHeight w:val="262"/>
        </w:trPr>
        <w:tc>
          <w:tcPr>
            <w:tcW w:w="1580" w:type="dxa"/>
            <w:vAlign w:val="bottom"/>
            <w:tcBorders>
              <w:bottom w:val="single" w:sz="8" w:color="C0C0C0"/>
            </w:tcBorders>
          </w:tcPr>
          <w:p>
            <w:pPr>
              <w:spacing w:after="0"/>
              <w:rPr>
                <w:sz w:val="22"/>
                <w:szCs w:val="22"/>
                <w:color w:val="auto"/>
              </w:rPr>
            </w:pPr>
          </w:p>
        </w:tc>
        <w:tc>
          <w:tcPr>
            <w:tcW w:w="252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138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1140" w:type="dxa"/>
            <w:vAlign w:val="bottom"/>
            <w:tcBorders>
              <w:bottom w:val="single" w:sz="8" w:color="C0C0C0"/>
            </w:tcBorders>
          </w:tcPr>
          <w:p>
            <w:pPr>
              <w:spacing w:after="0"/>
              <w:rPr>
                <w:sz w:val="22"/>
                <w:szCs w:val="22"/>
                <w:color w:val="auto"/>
              </w:rPr>
            </w:pPr>
          </w:p>
        </w:tc>
        <w:tc>
          <w:tcPr>
            <w:tcW w:w="106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-290830</wp:posOffset>
            </wp:positionV>
            <wp:extent cx="745490" cy="857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4" w:name="page85"/>
    <w:bookmarkEnd w:id="84"/>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right="1800"/>
        <w:spacing w:after="0" w:line="233" w:lineRule="auto"/>
        <w:rPr>
          <w:sz w:val="20"/>
          <w:szCs w:val="20"/>
          <w:color w:val="auto"/>
        </w:rPr>
      </w:pPr>
      <w:r>
        <w:rPr>
          <w:rFonts w:ascii="Arial" w:cs="Arial" w:eastAsia="Arial" w:hAnsi="Arial"/>
          <w:sz w:val="15"/>
          <w:szCs w:val="15"/>
          <w:color w:val="231F20"/>
        </w:rPr>
        <w:t>The majority of our NEOs’ pay is designed to reward delivery of sustainable long-term value creation, which we believe is created by focusing on the discovery, development, and commercialization of new medicines. Our equity compensation program is intended to reward this long-term performance simply, using primarily stock options and, in the case of our CEO and CSO, also PSUs and giving effect to the following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50406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5040630"/>
                    </a:xfrm>
                    <a:prstGeom prst="rect">
                      <a:avLst/>
                    </a:prstGeom>
                    <a:noFill/>
                  </pic:spPr>
                </pic:pic>
              </a:graphicData>
            </a:graphic>
          </wp:anchor>
        </w:drawing>
      </w:r>
    </w:p>
    <w:p>
      <w:pPr>
        <w:spacing w:after="0" w:line="20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35BA7"/>
        </w:rPr>
        <w:t>Performance-Based Equity</w:t>
      </w:r>
    </w:p>
    <w:p>
      <w:pPr>
        <w:spacing w:after="0" w:line="104" w:lineRule="exact"/>
        <w:rPr>
          <w:sz w:val="20"/>
          <w:szCs w:val="20"/>
          <w:color w:val="auto"/>
        </w:rPr>
      </w:pPr>
    </w:p>
    <w:p>
      <w:pPr>
        <w:ind w:left="3360" w:right="1820" w:hanging="175"/>
        <w:spacing w:after="0" w:line="247" w:lineRule="auto"/>
        <w:tabs>
          <w:tab w:leader="none" w:pos="3360" w:val="left"/>
        </w:tabs>
        <w:numPr>
          <w:ilvl w:val="0"/>
          <w:numId w:val="145"/>
        </w:numPr>
        <w:rPr>
          <w:rFonts w:ascii="Arial" w:cs="Arial" w:eastAsia="Arial" w:hAnsi="Arial"/>
          <w:sz w:val="14"/>
          <w:szCs w:val="14"/>
          <w:color w:val="2952A4"/>
        </w:rPr>
      </w:pPr>
      <w:r>
        <w:rPr>
          <w:rFonts w:ascii="Arial" w:cs="Arial" w:eastAsia="Arial" w:hAnsi="Arial"/>
          <w:sz w:val="14"/>
          <w:szCs w:val="14"/>
          <w:color w:val="231F20"/>
        </w:rPr>
        <w:t>Our NEOs’ stock option grants, which in 2019 comprised 70% of each NEO’s annual equity awards, are performance-based because we determine the award size after taking into account corporate and/or individual performance assessments, and then the award only delivers value if we deliver stock price appreciation for shareholders after grant.</w:t>
      </w:r>
    </w:p>
    <w:p>
      <w:pPr>
        <w:spacing w:after="0" w:line="66" w:lineRule="exact"/>
        <w:rPr>
          <w:rFonts w:ascii="Arial" w:cs="Arial" w:eastAsia="Arial" w:hAnsi="Arial"/>
          <w:sz w:val="14"/>
          <w:szCs w:val="14"/>
          <w:color w:val="2952A4"/>
        </w:rPr>
      </w:pPr>
    </w:p>
    <w:p>
      <w:pPr>
        <w:ind w:left="3360" w:right="1760" w:hanging="175"/>
        <w:spacing w:after="0" w:line="245" w:lineRule="auto"/>
        <w:tabs>
          <w:tab w:leader="none" w:pos="3360" w:val="left"/>
        </w:tabs>
        <w:numPr>
          <w:ilvl w:val="0"/>
          <w:numId w:val="145"/>
        </w:numPr>
        <w:rPr>
          <w:rFonts w:ascii="Arial" w:cs="Arial" w:eastAsia="Arial" w:hAnsi="Arial"/>
          <w:sz w:val="14"/>
          <w:szCs w:val="14"/>
          <w:color w:val="2952A4"/>
        </w:rPr>
      </w:pPr>
      <w:r>
        <w:rPr>
          <w:rFonts w:ascii="Arial" w:cs="Arial" w:eastAsia="Arial" w:hAnsi="Arial"/>
          <w:sz w:val="14"/>
          <w:szCs w:val="14"/>
          <w:color w:val="231F20"/>
        </w:rPr>
        <w:t>In addition, our CEO’s and CSO’s PSU grants, which in 2019 comprised the other 30% of each such executive’s annual equity award, are performance-based because we determine the award size after taking into account corporate performance assessments, and then the award only vests if the performance criteria are satisfied (minimum threshold payout requires at least a 28% TSR over five years).</w:t>
      </w:r>
    </w:p>
    <w:p>
      <w:pPr>
        <w:spacing w:after="0" w:line="35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35BA7"/>
        </w:rPr>
        <w:t>Long-Term Value Creation</w:t>
      </w:r>
    </w:p>
    <w:p>
      <w:pPr>
        <w:spacing w:after="0" w:line="104" w:lineRule="exact"/>
        <w:rPr>
          <w:sz w:val="20"/>
          <w:szCs w:val="20"/>
          <w:color w:val="auto"/>
        </w:rPr>
      </w:pPr>
    </w:p>
    <w:p>
      <w:pPr>
        <w:jc w:val="both"/>
        <w:ind w:left="3360" w:right="1780" w:hanging="175"/>
        <w:spacing w:after="0" w:line="247" w:lineRule="auto"/>
        <w:tabs>
          <w:tab w:leader="none" w:pos="3360" w:val="left"/>
        </w:tabs>
        <w:numPr>
          <w:ilvl w:val="0"/>
          <w:numId w:val="146"/>
        </w:numPr>
        <w:rPr>
          <w:rFonts w:ascii="Arial" w:cs="Arial" w:eastAsia="Arial" w:hAnsi="Arial"/>
          <w:sz w:val="14"/>
          <w:szCs w:val="14"/>
          <w:color w:val="2952A4"/>
        </w:rPr>
      </w:pPr>
      <w:r>
        <w:rPr>
          <w:rFonts w:ascii="Arial" w:cs="Arial" w:eastAsia="Arial" w:hAnsi="Arial"/>
          <w:sz w:val="14"/>
          <w:szCs w:val="14"/>
          <w:color w:val="231F20"/>
        </w:rPr>
        <w:t>Our NEOs’ and other employees’ stock option grants have ten-year terms and four-year vesting provisions (generally requiring our employees, including our NEOs, to remain employed for four years in order for all options to vest*) to align with long-term value creation and the development cycle of our products.</w:t>
      </w:r>
    </w:p>
    <w:p>
      <w:pPr>
        <w:spacing w:after="0" w:line="66" w:lineRule="exact"/>
        <w:rPr>
          <w:rFonts w:ascii="Arial" w:cs="Arial" w:eastAsia="Arial" w:hAnsi="Arial"/>
          <w:sz w:val="14"/>
          <w:szCs w:val="14"/>
          <w:color w:val="2952A4"/>
        </w:rPr>
      </w:pPr>
    </w:p>
    <w:p>
      <w:pPr>
        <w:ind w:left="3360" w:right="1940" w:hanging="175"/>
        <w:spacing w:after="0" w:line="247" w:lineRule="auto"/>
        <w:tabs>
          <w:tab w:leader="none" w:pos="3360" w:val="left"/>
        </w:tabs>
        <w:numPr>
          <w:ilvl w:val="0"/>
          <w:numId w:val="146"/>
        </w:numPr>
        <w:rPr>
          <w:rFonts w:ascii="Arial" w:cs="Arial" w:eastAsia="Arial" w:hAnsi="Arial"/>
          <w:sz w:val="14"/>
          <w:szCs w:val="14"/>
          <w:color w:val="2952A4"/>
        </w:rPr>
      </w:pPr>
      <w:r>
        <w:rPr>
          <w:rFonts w:ascii="Arial" w:cs="Arial" w:eastAsia="Arial" w:hAnsi="Arial"/>
          <w:sz w:val="14"/>
          <w:szCs w:val="14"/>
          <w:color w:val="231F20"/>
        </w:rPr>
        <w:t>Our NEOs’ and other employees’ RSAs/RSUs also promote long-term employment: RSAs awarded as a component of annual equity awards vest 50% on the second anniversary of the date of grant and 50% on fourth anniversary of the date of grant, which is a more backloaded vesting schedule than is typical in the industry.</w:t>
      </w:r>
    </w:p>
    <w:p>
      <w:pPr>
        <w:spacing w:after="0" w:line="66" w:lineRule="exact"/>
        <w:rPr>
          <w:rFonts w:ascii="Arial" w:cs="Arial" w:eastAsia="Arial" w:hAnsi="Arial"/>
          <w:sz w:val="14"/>
          <w:szCs w:val="14"/>
          <w:color w:val="2952A4"/>
        </w:rPr>
      </w:pPr>
    </w:p>
    <w:p>
      <w:pPr>
        <w:ind w:left="3360" w:right="1880" w:hanging="175"/>
        <w:spacing w:after="0" w:line="258" w:lineRule="auto"/>
        <w:tabs>
          <w:tab w:leader="none" w:pos="3360" w:val="left"/>
        </w:tabs>
        <w:numPr>
          <w:ilvl w:val="0"/>
          <w:numId w:val="146"/>
        </w:numPr>
        <w:rPr>
          <w:rFonts w:ascii="Arial" w:cs="Arial" w:eastAsia="Arial" w:hAnsi="Arial"/>
          <w:sz w:val="14"/>
          <w:szCs w:val="14"/>
          <w:color w:val="2952A4"/>
        </w:rPr>
      </w:pPr>
      <w:r>
        <w:rPr>
          <w:rFonts w:ascii="Arial" w:cs="Arial" w:eastAsia="Arial" w:hAnsi="Arial"/>
          <w:sz w:val="14"/>
          <w:szCs w:val="14"/>
          <w:color w:val="231F20"/>
        </w:rPr>
        <w:t>Our CEO’s and CSO’s PSU grants incorporate a long-term, five-year performance period (with an opportunity for an accelerated payout after four years if performance is strong).</w:t>
      </w:r>
    </w:p>
    <w:p>
      <w:pPr>
        <w:spacing w:after="0" w:line="32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35BA7"/>
        </w:rPr>
        <w:t>Meaningful Holding Requirements</w:t>
      </w:r>
    </w:p>
    <w:p>
      <w:pPr>
        <w:spacing w:after="0" w:line="104" w:lineRule="exact"/>
        <w:rPr>
          <w:sz w:val="20"/>
          <w:szCs w:val="20"/>
          <w:color w:val="auto"/>
        </w:rPr>
      </w:pPr>
    </w:p>
    <w:p>
      <w:pPr>
        <w:ind w:left="3360" w:right="1920" w:hanging="175"/>
        <w:spacing w:after="0" w:line="258" w:lineRule="auto"/>
        <w:tabs>
          <w:tab w:leader="none" w:pos="3360" w:val="left"/>
        </w:tabs>
        <w:numPr>
          <w:ilvl w:val="0"/>
          <w:numId w:val="147"/>
        </w:numPr>
        <w:rPr>
          <w:rFonts w:ascii="Arial" w:cs="Arial" w:eastAsia="Arial" w:hAnsi="Arial"/>
          <w:sz w:val="14"/>
          <w:szCs w:val="14"/>
          <w:color w:val="2952A4"/>
        </w:rPr>
      </w:pPr>
      <w:r>
        <w:rPr>
          <w:rFonts w:ascii="Arial" w:cs="Arial" w:eastAsia="Arial" w:hAnsi="Arial"/>
          <w:sz w:val="14"/>
          <w:szCs w:val="14"/>
          <w:color w:val="231F20"/>
        </w:rPr>
        <w:t>We require NEOs to retain a significant amount of equity within five years of their employment with Regeneron:</w:t>
      </w:r>
    </w:p>
    <w:p>
      <w:pPr>
        <w:spacing w:after="0" w:line="58" w:lineRule="exact"/>
        <w:rPr>
          <w:rFonts w:ascii="Arial" w:cs="Arial" w:eastAsia="Arial" w:hAnsi="Arial"/>
          <w:sz w:val="14"/>
          <w:szCs w:val="14"/>
          <w:color w:val="2952A4"/>
        </w:rPr>
      </w:pPr>
    </w:p>
    <w:p>
      <w:pPr>
        <w:ind w:left="3540" w:right="2180" w:hanging="180"/>
        <w:spacing w:after="0" w:line="258" w:lineRule="auto"/>
        <w:tabs>
          <w:tab w:leader="none" w:pos="3540" w:val="left"/>
        </w:tabs>
        <w:numPr>
          <w:ilvl w:val="1"/>
          <w:numId w:val="147"/>
        </w:numPr>
        <w:rPr>
          <w:rFonts w:ascii="Arial" w:cs="Arial" w:eastAsia="Arial" w:hAnsi="Arial"/>
          <w:sz w:val="14"/>
          <w:szCs w:val="14"/>
          <w:color w:val="2952A4"/>
        </w:rPr>
      </w:pPr>
      <w:r>
        <w:rPr>
          <w:rFonts w:ascii="Arial" w:cs="Arial" w:eastAsia="Arial" w:hAnsi="Arial"/>
          <w:sz w:val="14"/>
          <w:szCs w:val="14"/>
          <w:color w:val="231F20"/>
        </w:rPr>
        <w:t>Our CEO and CSO must own shares with a value at least 6-times their respective base salaries.</w:t>
      </w:r>
    </w:p>
    <w:p>
      <w:pPr>
        <w:spacing w:after="0" w:line="58" w:lineRule="exact"/>
        <w:rPr>
          <w:rFonts w:ascii="Arial" w:cs="Arial" w:eastAsia="Arial" w:hAnsi="Arial"/>
          <w:sz w:val="14"/>
          <w:szCs w:val="14"/>
          <w:color w:val="2952A4"/>
        </w:rPr>
      </w:pPr>
    </w:p>
    <w:p>
      <w:pPr>
        <w:ind w:left="3540" w:hanging="180"/>
        <w:spacing w:after="0"/>
        <w:tabs>
          <w:tab w:leader="none" w:pos="3540" w:val="left"/>
        </w:tabs>
        <w:numPr>
          <w:ilvl w:val="1"/>
          <w:numId w:val="147"/>
        </w:numPr>
        <w:rPr>
          <w:rFonts w:ascii="Arial" w:cs="Arial" w:eastAsia="Arial" w:hAnsi="Arial"/>
          <w:sz w:val="14"/>
          <w:szCs w:val="14"/>
          <w:color w:val="2952A4"/>
        </w:rPr>
      </w:pPr>
      <w:r>
        <w:rPr>
          <w:rFonts w:ascii="Arial" w:cs="Arial" w:eastAsia="Arial" w:hAnsi="Arial"/>
          <w:sz w:val="14"/>
          <w:szCs w:val="14"/>
          <w:color w:val="231F20"/>
        </w:rPr>
        <w:t>Our other NEOs must own shares with a value at least 2-times their respective base salaries.</w:t>
      </w:r>
    </w:p>
    <w:p>
      <w:pPr>
        <w:spacing w:after="0" w:line="35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35BA7"/>
        </w:rPr>
        <w:t>Risk Mitigating Design Features</w:t>
      </w:r>
    </w:p>
    <w:p>
      <w:pPr>
        <w:spacing w:after="0" w:line="104" w:lineRule="exact"/>
        <w:rPr>
          <w:sz w:val="20"/>
          <w:szCs w:val="20"/>
          <w:color w:val="auto"/>
        </w:rPr>
      </w:pPr>
    </w:p>
    <w:p>
      <w:pPr>
        <w:ind w:left="3360" w:right="1880" w:hanging="175"/>
        <w:spacing w:after="0" w:line="249" w:lineRule="auto"/>
        <w:tabs>
          <w:tab w:leader="none" w:pos="3360" w:val="left"/>
        </w:tabs>
        <w:numPr>
          <w:ilvl w:val="1"/>
          <w:numId w:val="148"/>
        </w:numPr>
        <w:rPr>
          <w:rFonts w:ascii="Arial" w:cs="Arial" w:eastAsia="Arial" w:hAnsi="Arial"/>
          <w:sz w:val="14"/>
          <w:szCs w:val="14"/>
          <w:color w:val="2952A4"/>
        </w:rPr>
      </w:pPr>
      <w:r>
        <w:rPr>
          <w:rFonts w:ascii="Arial" w:cs="Arial" w:eastAsia="Arial" w:hAnsi="Arial"/>
          <w:sz w:val="14"/>
          <w:szCs w:val="14"/>
          <w:color w:val="231F20"/>
        </w:rPr>
        <w:t>We have a recoupment (clawback) policy that enables us to reduce or recoup equity and other incentive compensation for compliance violations by NEOs and other covered officers and employees; importantly, the policy covers both financial and non-financial violations.</w:t>
      </w:r>
    </w:p>
    <w:p>
      <w:pPr>
        <w:spacing w:after="0" w:line="65" w:lineRule="exact"/>
        <w:rPr>
          <w:rFonts w:ascii="Arial" w:cs="Arial" w:eastAsia="Arial" w:hAnsi="Arial"/>
          <w:sz w:val="14"/>
          <w:szCs w:val="14"/>
          <w:color w:val="2952A4"/>
        </w:rPr>
      </w:pPr>
    </w:p>
    <w:p>
      <w:pPr>
        <w:ind w:left="3360" w:right="1780" w:hanging="175"/>
        <w:spacing w:after="0" w:line="258" w:lineRule="auto"/>
        <w:tabs>
          <w:tab w:leader="none" w:pos="3360" w:val="left"/>
        </w:tabs>
        <w:numPr>
          <w:ilvl w:val="1"/>
          <w:numId w:val="148"/>
        </w:numPr>
        <w:rPr>
          <w:rFonts w:ascii="Arial" w:cs="Arial" w:eastAsia="Arial" w:hAnsi="Arial"/>
          <w:sz w:val="14"/>
          <w:szCs w:val="14"/>
          <w:color w:val="2952A4"/>
        </w:rPr>
      </w:pPr>
      <w:r>
        <w:rPr>
          <w:rFonts w:ascii="Arial" w:cs="Arial" w:eastAsia="Arial" w:hAnsi="Arial"/>
          <w:sz w:val="14"/>
          <w:szCs w:val="14"/>
          <w:color w:val="231F20"/>
        </w:rPr>
        <w:t>We prohibit our NEOs from hedging or pledging Regeneron securities they hold, including those acquired through employee equity awards.</w:t>
      </w:r>
    </w:p>
    <w:p>
      <w:pPr>
        <w:spacing w:after="0" w:line="382" w:lineRule="exact"/>
        <w:rPr>
          <w:rFonts w:ascii="Arial" w:cs="Arial" w:eastAsia="Arial" w:hAnsi="Arial"/>
          <w:sz w:val="14"/>
          <w:szCs w:val="14"/>
          <w:color w:val="2952A4"/>
        </w:rPr>
      </w:pPr>
    </w:p>
    <w:p>
      <w:pPr>
        <w:ind w:left="1700" w:right="1600" w:hanging="121"/>
        <w:spacing w:after="0" w:line="247" w:lineRule="auto"/>
        <w:rPr>
          <w:rFonts w:ascii="Arial" w:cs="Arial" w:eastAsia="Arial" w:hAnsi="Arial"/>
          <w:sz w:val="14"/>
          <w:szCs w:val="14"/>
          <w:color w:val="2952A4"/>
        </w:rPr>
      </w:pPr>
      <w:r>
        <w:rPr>
          <w:rFonts w:ascii="Arial" w:cs="Arial" w:eastAsia="Arial" w:hAnsi="Arial"/>
          <w:sz w:val="14"/>
          <w:szCs w:val="14"/>
          <w:color w:val="231F20"/>
        </w:rPr>
        <w:t>* In the case of our CEO, this is subject to the terms of his employment agreement. See the subsection “Compensation Dashboard—2019 Compensation Tables—Post-Employment Compensation—Leonard S. Schleifer, M.D., Ph.D. Employment Agreement.” In the case of our CSO, any unvested stock options granted to him in December 2019 will continue to vest following his qualified retirement (as defined in the applicable Company policy).</w:t>
      </w:r>
    </w:p>
    <w:p>
      <w:pPr>
        <w:spacing w:after="0" w:line="139" w:lineRule="exact"/>
        <w:rPr>
          <w:sz w:val="20"/>
          <w:szCs w:val="20"/>
          <w:color w:val="auto"/>
        </w:rPr>
      </w:pPr>
    </w:p>
    <w:p>
      <w:pPr>
        <w:ind w:left="1580" w:right="1680"/>
        <w:spacing w:after="0" w:line="233" w:lineRule="auto"/>
        <w:rPr>
          <w:sz w:val="20"/>
          <w:szCs w:val="20"/>
          <w:color w:val="auto"/>
        </w:rPr>
      </w:pPr>
      <w:r>
        <w:rPr>
          <w:rFonts w:ascii="Arial" w:cs="Arial" w:eastAsia="Arial" w:hAnsi="Arial"/>
          <w:sz w:val="15"/>
          <w:szCs w:val="15"/>
          <w:color w:val="231F20"/>
        </w:rPr>
        <w:t>As outlined in the chart below, our Compensation Committee utilizes a customized framework for determining the size of the annual equity awards of our NEOs and other executives. The Compensation Committee’s primary consideration is the number of shares underlying the equity awards as a percentage of basic shares of capital stock outstanding, which is evaluated on an options-equivalent basis to allow for a meaningful year-over-year comparison.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73</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5" w:name="page86"/>
    <w:bookmarkEnd w:id="85"/>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212090</wp:posOffset>
            </wp:positionV>
            <wp:extent cx="5143500" cy="1974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77" w:lineRule="exact"/>
        <w:rPr>
          <w:sz w:val="20"/>
          <w:szCs w:val="20"/>
          <w:color w:val="auto"/>
        </w:rPr>
      </w:pPr>
    </w:p>
    <w:p>
      <w:pPr>
        <w:ind w:left="460"/>
        <w:spacing w:after="0" w:line="298" w:lineRule="auto"/>
        <w:rPr>
          <w:sz w:val="20"/>
          <w:szCs w:val="20"/>
          <w:color w:val="auto"/>
        </w:rPr>
      </w:pPr>
      <w:r>
        <w:rPr>
          <w:rFonts w:ascii="Arial" w:cs="Arial" w:eastAsia="Arial" w:hAnsi="Arial"/>
          <w:sz w:val="23"/>
          <w:szCs w:val="23"/>
          <w:b w:val="1"/>
          <w:bCs w:val="1"/>
          <w:color w:val="235BA7"/>
        </w:rPr>
        <w:t>PRIMARY CONSIDERATION</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FFFFFF"/>
        </w:rPr>
        <w:t>Targeted Percentage of Total Basic Shares Outstanding</w:t>
      </w:r>
    </w:p>
    <w:p>
      <w:pPr>
        <w:spacing w:after="0" w:line="128" w:lineRule="exact"/>
        <w:rPr>
          <w:sz w:val="20"/>
          <w:szCs w:val="20"/>
          <w:color w:val="auto"/>
        </w:rPr>
      </w:pPr>
    </w:p>
    <w:p>
      <w:pPr>
        <w:ind w:left="166" w:right="499" w:hanging="166"/>
        <w:spacing w:after="0" w:line="228" w:lineRule="auto"/>
        <w:tabs>
          <w:tab w:leader="none" w:pos="166" w:val="left"/>
        </w:tabs>
        <w:numPr>
          <w:ilvl w:val="0"/>
          <w:numId w:val="149"/>
        </w:numPr>
        <w:rPr>
          <w:rFonts w:ascii="Arial" w:cs="Arial" w:eastAsia="Arial" w:hAnsi="Arial"/>
          <w:sz w:val="15"/>
          <w:szCs w:val="15"/>
          <w:color w:val="2952A4"/>
        </w:rPr>
      </w:pPr>
      <w:r>
        <w:rPr>
          <w:rFonts w:ascii="Arial" w:cs="Arial" w:eastAsia="Arial" w:hAnsi="Arial"/>
          <w:sz w:val="15"/>
          <w:szCs w:val="15"/>
          <w:color w:val="231F20"/>
        </w:rPr>
        <w:t>Our evaluation of the awards as a percentage of the total basic shares outstanding compared to our Peer Group and the Market Composite Data. This enables us to evaluate grants on a consistent basis regardless of stock price fluctuations of our or our reference companies’ stock prices. Focusing on the number of shares also avoids an outcome where NEOs are provided larger grants following stock price declines or penalizing high performance with smaller grants. For our CEO, we generally target between the 50th and 75th percentiles of the Market Composite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25400</wp:posOffset>
            </wp:positionV>
            <wp:extent cx="5143500" cy="1974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400" w:space="214"/>
            <w:col w:w="6405"/>
          </w:cols>
          <w:pgMar w:left="1440" w:top="405" w:right="1440" w:bottom="1440" w:gutter="0" w:footer="0" w:header="0"/>
          <w:type w:val="continuous"/>
        </w:sectPr>
      </w:pPr>
    </w:p>
    <w:p>
      <w:pPr>
        <w:spacing w:after="0" w:line="2" w:lineRule="exact"/>
        <w:rPr>
          <w:sz w:val="20"/>
          <w:szCs w:val="20"/>
          <w:color w:val="auto"/>
        </w:rPr>
      </w:pPr>
    </w:p>
    <w:p>
      <w:pPr>
        <w:ind w:left="460"/>
        <w:spacing w:after="0" w:line="298" w:lineRule="auto"/>
        <w:rPr>
          <w:sz w:val="20"/>
          <w:szCs w:val="20"/>
          <w:color w:val="auto"/>
        </w:rPr>
      </w:pPr>
      <w:r>
        <w:rPr>
          <w:rFonts w:ascii="Arial" w:cs="Arial" w:eastAsia="Arial" w:hAnsi="Arial"/>
          <w:sz w:val="23"/>
          <w:szCs w:val="23"/>
          <w:b w:val="1"/>
          <w:bCs w:val="1"/>
          <w:color w:val="235BA7"/>
        </w:rPr>
        <w:t>SECONDARY CONSIDERATIONS</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7"/>
          <w:szCs w:val="17"/>
          <w:b w:val="1"/>
          <w:bCs w:val="1"/>
          <w:color w:val="FFFFFF"/>
        </w:rPr>
        <w:t>Corporate Performance Assessment</w:t>
      </w:r>
    </w:p>
    <w:p>
      <w:pPr>
        <w:spacing w:after="0" w:line="128" w:lineRule="exact"/>
        <w:rPr>
          <w:sz w:val="20"/>
          <w:szCs w:val="20"/>
          <w:color w:val="auto"/>
        </w:rPr>
      </w:pPr>
    </w:p>
    <w:p>
      <w:pPr>
        <w:ind w:left="166" w:right="659" w:hanging="166"/>
        <w:spacing w:after="0" w:line="236" w:lineRule="auto"/>
        <w:tabs>
          <w:tab w:leader="none" w:pos="166" w:val="left"/>
        </w:tabs>
        <w:numPr>
          <w:ilvl w:val="0"/>
          <w:numId w:val="150"/>
        </w:numPr>
        <w:rPr>
          <w:rFonts w:ascii="Arial" w:cs="Arial" w:eastAsia="Arial" w:hAnsi="Arial"/>
          <w:sz w:val="15"/>
          <w:szCs w:val="15"/>
          <w:color w:val="2952A4"/>
        </w:rPr>
      </w:pPr>
      <w:r>
        <w:rPr>
          <w:rFonts w:ascii="Arial" w:cs="Arial" w:eastAsia="Arial" w:hAnsi="Arial"/>
          <w:sz w:val="15"/>
          <w:szCs w:val="15"/>
          <w:color w:val="231F20"/>
        </w:rPr>
        <w:t>Our assessment of Regeneron’s corporate accomplishments for 2019, particularly as they relate to our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24130</wp:posOffset>
            </wp:positionV>
            <wp:extent cx="3806190" cy="1885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06190" cy="188595"/>
                    </a:xfrm>
                    <a:prstGeom prst="rect">
                      <a:avLst/>
                    </a:prstGeom>
                    <a:noFill/>
                  </pic:spPr>
                </pic:pic>
              </a:graphicData>
            </a:graphic>
          </wp:anchor>
        </w:drawing>
      </w:r>
    </w:p>
    <w:p>
      <w:pPr>
        <w:spacing w:after="0" w:line="46"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FFFFFF"/>
        </w:rPr>
        <w:t>Individual Performance Assessment</w:t>
      </w:r>
    </w:p>
    <w:p>
      <w:pPr>
        <w:spacing w:after="0" w:line="128" w:lineRule="exact"/>
        <w:rPr>
          <w:sz w:val="20"/>
          <w:szCs w:val="20"/>
          <w:color w:val="auto"/>
        </w:rPr>
      </w:pPr>
    </w:p>
    <w:p>
      <w:pPr>
        <w:sectPr>
          <w:pgSz w:w="11900" w:h="16838" w:orient="portrait"/>
          <w:cols w:equalWidth="0" w:num="2">
            <w:col w:w="2560" w:space="54"/>
            <w:col w:w="6405"/>
          </w:cols>
          <w:pgMar w:left="1440" w:top="405" w:right="1440" w:bottom="1440" w:gutter="0" w:footer="0" w:header="0"/>
          <w:type w:val="continuous"/>
        </w:sectPr>
      </w:pPr>
    </w:p>
    <w:p>
      <w:pPr>
        <w:ind w:left="2780" w:right="619" w:hanging="166"/>
        <w:spacing w:after="0" w:line="231" w:lineRule="auto"/>
        <w:tabs>
          <w:tab w:leader="none" w:pos="2780" w:val="left"/>
        </w:tabs>
        <w:numPr>
          <w:ilvl w:val="0"/>
          <w:numId w:val="151"/>
        </w:numPr>
        <w:rPr>
          <w:rFonts w:ascii="Arial" w:cs="Arial" w:eastAsia="Arial" w:hAnsi="Arial"/>
          <w:sz w:val="15"/>
          <w:szCs w:val="15"/>
          <w:color w:val="2952A4"/>
        </w:rPr>
      </w:pPr>
      <w:r>
        <w:rPr>
          <w:rFonts w:ascii="Arial" w:cs="Arial" w:eastAsia="Arial" w:hAnsi="Arial"/>
          <w:sz w:val="15"/>
          <w:szCs w:val="15"/>
          <w:color w:val="231F20"/>
        </w:rPr>
        <w:t>Our assessment of performance against the corporate goals established by the board of directors for the CEO and the goals established by the Committee and/or the CEO for the other NEOs, as well as an assessment of the individual’s importance to the Company’s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23495</wp:posOffset>
            </wp:positionV>
            <wp:extent cx="3806190"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06190" cy="188595"/>
                    </a:xfrm>
                    <a:prstGeom prst="rect">
                      <a:avLst/>
                    </a:prstGeom>
                    <a:noFill/>
                  </pic:spPr>
                </pic:pic>
              </a:graphicData>
            </a:graphic>
          </wp:anchor>
        </w:drawing>
      </w:r>
    </w:p>
    <w:p>
      <w:pPr>
        <w:spacing w:after="0" w:line="45" w:lineRule="exact"/>
        <w:rPr>
          <w:sz w:val="20"/>
          <w:szCs w:val="20"/>
          <w:color w:val="auto"/>
        </w:rPr>
      </w:pPr>
    </w:p>
    <w:p>
      <w:pPr>
        <w:jc w:val="center"/>
        <w:ind w:left="2100"/>
        <w:spacing w:after="0"/>
        <w:rPr>
          <w:sz w:val="20"/>
          <w:szCs w:val="20"/>
          <w:color w:val="auto"/>
        </w:rPr>
      </w:pPr>
      <w:r>
        <w:rPr>
          <w:rFonts w:ascii="Arial" w:cs="Arial" w:eastAsia="Arial" w:hAnsi="Arial"/>
          <w:sz w:val="17"/>
          <w:szCs w:val="17"/>
          <w:b w:val="1"/>
          <w:bCs w:val="1"/>
          <w:color w:val="FFFFFF"/>
        </w:rPr>
        <w:t>NEO Grant History and Retention Considerations</w:t>
      </w:r>
    </w:p>
    <w:p>
      <w:pPr>
        <w:spacing w:after="0" w:line="128" w:lineRule="exact"/>
        <w:rPr>
          <w:sz w:val="20"/>
          <w:szCs w:val="20"/>
          <w:color w:val="auto"/>
        </w:rPr>
      </w:pPr>
    </w:p>
    <w:p>
      <w:pPr>
        <w:ind w:left="2780" w:right="559" w:hanging="166"/>
        <w:spacing w:after="0" w:line="231" w:lineRule="auto"/>
        <w:tabs>
          <w:tab w:leader="none" w:pos="2780" w:val="left"/>
        </w:tabs>
        <w:numPr>
          <w:ilvl w:val="0"/>
          <w:numId w:val="152"/>
        </w:numPr>
        <w:rPr>
          <w:rFonts w:ascii="Arial" w:cs="Arial" w:eastAsia="Arial" w:hAnsi="Arial"/>
          <w:sz w:val="15"/>
          <w:szCs w:val="15"/>
          <w:color w:val="2952A4"/>
        </w:rPr>
      </w:pPr>
      <w:r>
        <w:rPr>
          <w:rFonts w:ascii="Arial" w:cs="Arial" w:eastAsia="Arial" w:hAnsi="Arial"/>
          <w:sz w:val="15"/>
          <w:szCs w:val="15"/>
          <w:color w:val="231F20"/>
        </w:rPr>
        <w:t>Our evaluation of each NEO’s grant history and prior grant size amounts. For retention purposes, the Committee also assesses the amount of outstanding unvested and/or vested but unexercised stock options and other equity awards (if applicable) held, including whether such awards are “in-the-money.”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wp:posOffset>
            </wp:positionV>
            <wp:extent cx="51435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9" w:lineRule="exact"/>
        <w:rPr>
          <w:sz w:val="20"/>
          <w:szCs w:val="20"/>
          <w:color w:val="auto"/>
        </w:rPr>
      </w:pPr>
    </w:p>
    <w:p>
      <w:pPr>
        <w:ind w:left="460" w:right="559"/>
        <w:spacing w:after="0" w:line="233" w:lineRule="auto"/>
        <w:rPr>
          <w:sz w:val="20"/>
          <w:szCs w:val="20"/>
          <w:color w:val="auto"/>
        </w:rPr>
      </w:pPr>
      <w:r>
        <w:rPr>
          <w:rFonts w:ascii="Arial" w:cs="Arial" w:eastAsia="Arial" w:hAnsi="Arial"/>
          <w:sz w:val="15"/>
          <w:szCs w:val="15"/>
          <w:color w:val="231F20"/>
        </w:rPr>
        <w:t>In applying this framework, the number of shares underlying the annual equity awards (on an options-equivalent basis) granted in 2019 to our CEO and CSO (as well as our other employees, generally) was set 10% lower compared to 2018. The 2019 annual awards to our other NEOs are described in greater detail below. With respect to our CEO and CSO, the grant date fair value of their 2019 annual equity awards was nearly 22% lower than in 2018.</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122"/>
        </w:trPr>
        <w:tc>
          <w:tcPr>
            <w:tcW w:w="1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2952A4"/>
                <w:w w:val="98"/>
              </w:rPr>
              <w:t>Year-over-Year</w:t>
            </w:r>
          </w:p>
        </w:tc>
        <w:tc>
          <w:tcPr>
            <w:tcW w:w="1120" w:type="dxa"/>
            <w:vAlign w:val="bottom"/>
          </w:tcPr>
          <w:p>
            <w:pPr>
              <w:spacing w:after="0"/>
              <w:rPr>
                <w:sz w:val="10"/>
                <w:szCs w:val="10"/>
                <w:color w:val="auto"/>
              </w:rPr>
            </w:pPr>
          </w:p>
        </w:tc>
        <w:tc>
          <w:tcPr>
            <w:tcW w:w="1440" w:type="dxa"/>
            <w:vAlign w:val="bottom"/>
            <w:vMerge w:val="restart"/>
          </w:tcPr>
          <w:p>
            <w:pPr>
              <w:jc w:val="center"/>
              <w:ind w:left="1"/>
              <w:spacing w:after="0"/>
              <w:rPr>
                <w:sz w:val="20"/>
                <w:szCs w:val="20"/>
                <w:color w:val="auto"/>
              </w:rPr>
            </w:pPr>
            <w:r>
              <w:rPr>
                <w:rFonts w:ascii="Arial" w:cs="Arial" w:eastAsia="Arial" w:hAnsi="Arial"/>
                <w:sz w:val="10"/>
                <w:szCs w:val="10"/>
                <w:b w:val="1"/>
                <w:bCs w:val="1"/>
                <w:color w:val="2952A4"/>
                <w:w w:val="98"/>
              </w:rPr>
              <w:t>Change in Shares Underlying</w:t>
            </w:r>
          </w:p>
        </w:tc>
        <w:tc>
          <w:tcPr>
            <w:tcW w:w="0" w:type="dxa"/>
            <w:vAlign w:val="bottom"/>
          </w:tcPr>
          <w:p>
            <w:pPr>
              <w:spacing w:after="0"/>
              <w:rPr>
                <w:sz w:val="1"/>
                <w:szCs w:val="1"/>
                <w:color w:val="auto"/>
              </w:rPr>
            </w:pPr>
          </w:p>
        </w:tc>
      </w:tr>
      <w:tr>
        <w:trPr>
          <w:trHeight w:val="102"/>
        </w:trPr>
        <w:tc>
          <w:tcPr>
            <w:tcW w:w="1540" w:type="dxa"/>
            <w:vAlign w:val="bottom"/>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0"/>
                <w:szCs w:val="10"/>
                <w:b w:val="1"/>
                <w:bCs w:val="1"/>
                <w:color w:val="2952A4"/>
                <w:w w:val="99"/>
              </w:rPr>
              <w:t>Annual Equity Award</w:t>
            </w:r>
            <w:r>
              <w:rPr>
                <w:rFonts w:ascii="Arial" w:cs="Arial" w:eastAsia="Arial" w:hAnsi="Arial"/>
                <w:sz w:val="16"/>
                <w:szCs w:val="16"/>
                <w:b w:val="1"/>
                <w:bCs w:val="1"/>
                <w:color w:val="2952A4"/>
                <w:w w:val="99"/>
                <w:vertAlign w:val="superscript"/>
              </w:rPr>
              <w:t>1</w:t>
            </w:r>
          </w:p>
        </w:tc>
        <w:tc>
          <w:tcPr>
            <w:tcW w:w="1780" w:type="dxa"/>
            <w:vAlign w:val="bottom"/>
          </w:tcPr>
          <w:p>
            <w:pPr>
              <w:spacing w:after="0"/>
              <w:rPr>
                <w:sz w:val="8"/>
                <w:szCs w:val="8"/>
                <w:color w:val="auto"/>
              </w:rPr>
            </w:pPr>
          </w:p>
        </w:tc>
        <w:tc>
          <w:tcPr>
            <w:tcW w:w="1040" w:type="dxa"/>
            <w:vAlign w:val="bottom"/>
          </w:tcPr>
          <w:p>
            <w:pPr>
              <w:jc w:val="center"/>
              <w:spacing w:after="0" w:line="102" w:lineRule="exact"/>
              <w:rPr>
                <w:sz w:val="20"/>
                <w:szCs w:val="20"/>
                <w:color w:val="auto"/>
              </w:rPr>
            </w:pPr>
            <w:r>
              <w:rPr>
                <w:rFonts w:ascii="Arial" w:cs="Arial" w:eastAsia="Arial" w:hAnsi="Arial"/>
                <w:sz w:val="10"/>
                <w:szCs w:val="10"/>
                <w:b w:val="1"/>
                <w:bCs w:val="1"/>
                <w:color w:val="2952A4"/>
                <w:w w:val="97"/>
              </w:rPr>
              <w:t>Change in Shares</w:t>
            </w:r>
          </w:p>
        </w:tc>
        <w:tc>
          <w:tcPr>
            <w:tcW w:w="1120" w:type="dxa"/>
            <w:vAlign w:val="bottom"/>
          </w:tcPr>
          <w:p>
            <w:pPr>
              <w:jc w:val="center"/>
              <w:spacing w:after="0" w:line="102" w:lineRule="exact"/>
              <w:rPr>
                <w:sz w:val="20"/>
                <w:szCs w:val="20"/>
                <w:color w:val="auto"/>
              </w:rPr>
            </w:pPr>
            <w:r>
              <w:rPr>
                <w:rFonts w:ascii="Arial" w:cs="Arial" w:eastAsia="Arial" w:hAnsi="Arial"/>
                <w:sz w:val="10"/>
                <w:szCs w:val="10"/>
                <w:b w:val="1"/>
                <w:bCs w:val="1"/>
                <w:color w:val="2952A4"/>
                <w:w w:val="98"/>
              </w:rPr>
              <w:t>Year-over-Year</w:t>
            </w: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2952A4"/>
                <w:w w:val="99"/>
              </w:rPr>
              <w:t>Breakdown of</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2952A4"/>
                <w:w w:val="98"/>
              </w:rPr>
              <w:t>Underlying Annual</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952A4"/>
                <w:w w:val="99"/>
              </w:rPr>
              <w:t>Change in</w:t>
            </w:r>
          </w:p>
        </w:tc>
        <w:tc>
          <w:tcPr>
            <w:tcW w:w="1440" w:type="dxa"/>
            <w:vAlign w:val="bottom"/>
          </w:tcPr>
          <w:p>
            <w:pPr>
              <w:jc w:val="center"/>
              <w:spacing w:after="0"/>
              <w:rPr>
                <w:sz w:val="20"/>
                <w:szCs w:val="20"/>
                <w:color w:val="auto"/>
              </w:rPr>
            </w:pPr>
            <w:r>
              <w:rPr>
                <w:rFonts w:ascii="Arial" w:cs="Arial" w:eastAsia="Arial" w:hAnsi="Arial"/>
                <w:sz w:val="10"/>
                <w:szCs w:val="10"/>
                <w:b w:val="1"/>
                <w:bCs w:val="1"/>
                <w:color w:val="2952A4"/>
                <w:w w:val="99"/>
              </w:rPr>
              <w:t>Annual Equity Award</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2952A4"/>
            </w:tcBorders>
          </w:tcPr>
          <w:p>
            <w:pPr>
              <w:spacing w:after="0"/>
              <w:rPr>
                <w:sz w:val="20"/>
                <w:szCs w:val="20"/>
                <w:color w:val="auto"/>
              </w:rPr>
            </w:pPr>
            <w:r>
              <w:rPr>
                <w:rFonts w:ascii="Arial" w:cs="Arial" w:eastAsia="Arial" w:hAnsi="Arial"/>
                <w:sz w:val="10"/>
                <w:szCs w:val="10"/>
                <w:b w:val="1"/>
                <w:bCs w:val="1"/>
                <w:color w:val="2952A4"/>
              </w:rPr>
              <w:t>Named Executive Officer</w:t>
            </w:r>
          </w:p>
        </w:tc>
        <w:tc>
          <w:tcPr>
            <w:tcW w:w="1180" w:type="dxa"/>
            <w:vAlign w:val="bottom"/>
            <w:tcBorders>
              <w:bottom w:val="single" w:sz="8" w:color="2952A4"/>
            </w:tcBorders>
          </w:tcPr>
          <w:p>
            <w:pPr>
              <w:ind w:left="100"/>
              <w:spacing w:after="0"/>
              <w:rPr>
                <w:sz w:val="20"/>
                <w:szCs w:val="20"/>
                <w:color w:val="auto"/>
              </w:rPr>
            </w:pPr>
            <w:r>
              <w:rPr>
                <w:rFonts w:ascii="Arial" w:cs="Arial" w:eastAsia="Arial" w:hAnsi="Arial"/>
                <w:sz w:val="10"/>
                <w:szCs w:val="10"/>
                <w:b w:val="1"/>
                <w:bCs w:val="1"/>
                <w:color w:val="2952A4"/>
              </w:rPr>
              <w:t>(Options-Equivalents)</w:t>
            </w:r>
          </w:p>
        </w:tc>
        <w:tc>
          <w:tcPr>
            <w:tcW w:w="1780" w:type="dxa"/>
            <w:vAlign w:val="bottom"/>
            <w:tcBorders>
              <w:bottom w:val="single" w:sz="8" w:color="2952A4"/>
            </w:tcBorders>
          </w:tcPr>
          <w:p>
            <w:pPr>
              <w:jc w:val="center"/>
              <w:spacing w:after="0"/>
              <w:rPr>
                <w:sz w:val="20"/>
                <w:szCs w:val="20"/>
                <w:color w:val="auto"/>
              </w:rPr>
            </w:pPr>
            <w:r>
              <w:rPr>
                <w:rFonts w:ascii="Arial" w:cs="Arial" w:eastAsia="Arial" w:hAnsi="Arial"/>
                <w:sz w:val="10"/>
                <w:szCs w:val="10"/>
                <w:b w:val="1"/>
                <w:bCs w:val="1"/>
                <w:color w:val="2952A4"/>
                <w:w w:val="97"/>
              </w:rPr>
              <w:t>Annual Equity Award</w:t>
            </w:r>
          </w:p>
        </w:tc>
        <w:tc>
          <w:tcPr>
            <w:tcW w:w="1040" w:type="dxa"/>
            <w:vAlign w:val="bottom"/>
            <w:tcBorders>
              <w:bottom w:val="single" w:sz="8" w:color="2952A4"/>
            </w:tcBorders>
          </w:tcPr>
          <w:p>
            <w:pPr>
              <w:jc w:val="center"/>
              <w:spacing w:after="0"/>
              <w:rPr>
                <w:sz w:val="20"/>
                <w:szCs w:val="20"/>
                <w:color w:val="auto"/>
              </w:rPr>
            </w:pPr>
            <w:r>
              <w:rPr>
                <w:rFonts w:ascii="Arial" w:cs="Arial" w:eastAsia="Arial" w:hAnsi="Arial"/>
                <w:sz w:val="10"/>
                <w:szCs w:val="10"/>
                <w:b w:val="1"/>
                <w:bCs w:val="1"/>
                <w:color w:val="2952A4"/>
                <w:w w:val="96"/>
              </w:rPr>
              <w:t>Equity Award</w:t>
            </w:r>
          </w:p>
        </w:tc>
        <w:tc>
          <w:tcPr>
            <w:tcW w:w="1120" w:type="dxa"/>
            <w:vAlign w:val="bottom"/>
            <w:tcBorders>
              <w:bottom w:val="single" w:sz="8" w:color="2952A4"/>
            </w:tcBorders>
          </w:tcPr>
          <w:p>
            <w:pPr>
              <w:jc w:val="center"/>
              <w:spacing w:after="0"/>
              <w:rPr>
                <w:sz w:val="20"/>
                <w:szCs w:val="20"/>
                <w:color w:val="auto"/>
              </w:rPr>
            </w:pPr>
            <w:r>
              <w:rPr>
                <w:rFonts w:ascii="Arial" w:cs="Arial" w:eastAsia="Arial" w:hAnsi="Arial"/>
                <w:sz w:val="10"/>
                <w:szCs w:val="10"/>
                <w:b w:val="1"/>
                <w:bCs w:val="1"/>
                <w:color w:val="2952A4"/>
                <w:w w:val="98"/>
              </w:rPr>
              <w:t>Grant Date Fair Value</w:t>
            </w:r>
          </w:p>
        </w:tc>
        <w:tc>
          <w:tcPr>
            <w:tcW w:w="1440" w:type="dxa"/>
            <w:vAlign w:val="bottom"/>
            <w:tcBorders>
              <w:bottom w:val="single" w:sz="8" w:color="2952A4"/>
            </w:tcBorders>
          </w:tcPr>
          <w:p>
            <w:pPr>
              <w:jc w:val="center"/>
              <w:ind w:left="1"/>
              <w:spacing w:after="0" w:line="148" w:lineRule="exact"/>
              <w:rPr>
                <w:sz w:val="20"/>
                <w:szCs w:val="20"/>
                <w:color w:val="auto"/>
              </w:rPr>
            </w:pPr>
            <w:r>
              <w:rPr>
                <w:rFonts w:ascii="Arial" w:cs="Arial" w:eastAsia="Arial" w:hAnsi="Arial"/>
                <w:sz w:val="10"/>
                <w:szCs w:val="10"/>
                <w:b w:val="1"/>
                <w:bCs w:val="1"/>
                <w:color w:val="2952A4"/>
                <w:w w:val="97"/>
              </w:rPr>
              <w:t>Compared to 2012</w:t>
            </w:r>
            <w:r>
              <w:rPr>
                <w:rFonts w:ascii="Arial" w:cs="Arial" w:eastAsia="Arial" w:hAnsi="Arial"/>
                <w:sz w:val="16"/>
                <w:szCs w:val="16"/>
                <w:b w:val="1"/>
                <w:bCs w:val="1"/>
                <w:color w:val="2952A4"/>
                <w:w w:val="97"/>
                <w:vertAlign w:val="superscript"/>
              </w:rPr>
              <w:t>2</w:t>
            </w:r>
          </w:p>
        </w:tc>
        <w:tc>
          <w:tcPr>
            <w:tcW w:w="0" w:type="dxa"/>
            <w:vAlign w:val="bottom"/>
          </w:tcPr>
          <w:p>
            <w:pPr>
              <w:spacing w:after="0"/>
              <w:rPr>
                <w:sz w:val="1"/>
                <w:szCs w:val="1"/>
                <w:color w:val="auto"/>
              </w:rPr>
            </w:pPr>
          </w:p>
        </w:tc>
      </w:tr>
      <w:tr>
        <w:trPr>
          <w:trHeight w:val="127"/>
        </w:trPr>
        <w:tc>
          <w:tcPr>
            <w:tcW w:w="1540" w:type="dxa"/>
            <w:vAlign w:val="bottom"/>
          </w:tcPr>
          <w:p>
            <w:pPr>
              <w:spacing w:after="0" w:line="127" w:lineRule="exact"/>
              <w:rPr>
                <w:sz w:val="20"/>
                <w:szCs w:val="20"/>
                <w:color w:val="auto"/>
              </w:rPr>
            </w:pPr>
            <w:r>
              <w:rPr>
                <w:rFonts w:ascii="Arial" w:cs="Arial" w:eastAsia="Arial" w:hAnsi="Arial"/>
                <w:sz w:val="13"/>
                <w:szCs w:val="13"/>
                <w:b w:val="1"/>
                <w:bCs w:val="1"/>
                <w:color w:val="C04C57"/>
              </w:rPr>
              <w:t>Leonard S. Schleifer,</w:t>
            </w:r>
          </w:p>
        </w:tc>
        <w:tc>
          <w:tcPr>
            <w:tcW w:w="1180" w:type="dxa"/>
            <w:vAlign w:val="bottom"/>
            <w:vMerge w:val="restart"/>
          </w:tcPr>
          <w:p>
            <w:pPr>
              <w:ind w:left="80"/>
              <w:spacing w:after="0"/>
              <w:rPr>
                <w:sz w:val="20"/>
                <w:szCs w:val="20"/>
                <w:color w:val="auto"/>
              </w:rPr>
            </w:pPr>
            <w:r>
              <w:rPr>
                <w:rFonts w:ascii="Arial" w:cs="Arial" w:eastAsia="Arial" w:hAnsi="Arial"/>
                <w:sz w:val="13"/>
                <w:szCs w:val="13"/>
                <w:color w:val="2952A4"/>
              </w:rPr>
              <w:t>116,111</w:t>
            </w:r>
          </w:p>
        </w:tc>
        <w:tc>
          <w:tcPr>
            <w:tcW w:w="1780" w:type="dxa"/>
            <w:vAlign w:val="bottom"/>
          </w:tcPr>
          <w:p>
            <w:pPr>
              <w:jc w:val="center"/>
              <w:spacing w:after="0" w:line="127" w:lineRule="exact"/>
              <w:rPr>
                <w:sz w:val="20"/>
                <w:szCs w:val="20"/>
                <w:color w:val="auto"/>
              </w:rPr>
            </w:pPr>
            <w:r>
              <w:rPr>
                <w:rFonts w:ascii="Arial" w:cs="Arial" w:eastAsia="Arial" w:hAnsi="Arial"/>
                <w:sz w:val="13"/>
                <w:szCs w:val="13"/>
                <w:color w:val="231F20"/>
              </w:rPr>
              <w:t>81,278 Stock Options (70%)</w:t>
            </w:r>
          </w:p>
        </w:tc>
        <w:tc>
          <w:tcPr>
            <w:tcW w:w="1040" w:type="dxa"/>
            <w:vAlign w:val="bottom"/>
            <w:vMerge w:val="restart"/>
          </w:tcPr>
          <w:p>
            <w:pPr>
              <w:jc w:val="right"/>
              <w:ind w:right="462"/>
              <w:spacing w:after="0"/>
              <w:rPr>
                <w:sz w:val="20"/>
                <w:szCs w:val="20"/>
                <w:color w:val="auto"/>
              </w:rPr>
            </w:pPr>
            <w:r>
              <w:rPr>
                <w:rFonts w:ascii="Arial" w:cs="Arial" w:eastAsia="Arial" w:hAnsi="Arial"/>
                <w:sz w:val="13"/>
                <w:szCs w:val="13"/>
                <w:color w:val="231F20"/>
              </w:rPr>
              <w:t>-10%</w:t>
            </w:r>
          </w:p>
        </w:tc>
        <w:tc>
          <w:tcPr>
            <w:tcW w:w="1120" w:type="dxa"/>
            <w:vAlign w:val="bottom"/>
            <w:vMerge w:val="restart"/>
          </w:tcPr>
          <w:p>
            <w:pPr>
              <w:jc w:val="right"/>
              <w:ind w:right="401"/>
              <w:spacing w:after="0"/>
              <w:rPr>
                <w:sz w:val="20"/>
                <w:szCs w:val="20"/>
                <w:color w:val="auto"/>
              </w:rPr>
            </w:pPr>
            <w:r>
              <w:rPr>
                <w:rFonts w:ascii="Arial" w:cs="Arial" w:eastAsia="Arial" w:hAnsi="Arial"/>
                <w:sz w:val="13"/>
                <w:szCs w:val="13"/>
                <w:color w:val="231F20"/>
              </w:rPr>
              <w:t>-21.8%</w:t>
            </w:r>
          </w:p>
        </w:tc>
        <w:tc>
          <w:tcPr>
            <w:tcW w:w="1440" w:type="dxa"/>
            <w:vAlign w:val="bottom"/>
            <w:vMerge w:val="restart"/>
          </w:tcPr>
          <w:p>
            <w:pPr>
              <w:jc w:val="right"/>
              <w:ind w:right="501"/>
              <w:spacing w:after="0"/>
              <w:rPr>
                <w:sz w:val="20"/>
                <w:szCs w:val="20"/>
                <w:color w:val="auto"/>
              </w:rPr>
            </w:pPr>
            <w:r>
              <w:rPr>
                <w:rFonts w:ascii="Arial" w:cs="Arial" w:eastAsia="Arial" w:hAnsi="Arial"/>
                <w:sz w:val="13"/>
                <w:szCs w:val="13"/>
                <w:color w:val="231F20"/>
              </w:rPr>
              <w:t>-58.7%</w:t>
            </w:r>
          </w:p>
        </w:tc>
        <w:tc>
          <w:tcPr>
            <w:tcW w:w="0" w:type="dxa"/>
            <w:vAlign w:val="bottom"/>
          </w:tcPr>
          <w:p>
            <w:pPr>
              <w:spacing w:after="0"/>
              <w:rPr>
                <w:sz w:val="1"/>
                <w:szCs w:val="1"/>
                <w:color w:val="auto"/>
              </w:rPr>
            </w:pPr>
          </w:p>
        </w:tc>
      </w:tr>
      <w:tr>
        <w:trPr>
          <w:trHeight w:val="100"/>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C04C57"/>
              </w:rPr>
              <w:t>M.D., Ph.D.</w:t>
            </w:r>
          </w:p>
        </w:tc>
        <w:tc>
          <w:tcPr>
            <w:tcW w:w="1180" w:type="dxa"/>
            <w:vAlign w:val="bottom"/>
            <w:vMerge w:val="continue"/>
          </w:tcPr>
          <w:p>
            <w:pPr>
              <w:spacing w:after="0"/>
              <w:rPr>
                <w:sz w:val="8"/>
                <w:szCs w:val="8"/>
                <w:color w:val="auto"/>
              </w:rPr>
            </w:pPr>
          </w:p>
        </w:tc>
        <w:tc>
          <w:tcPr>
            <w:tcW w:w="1780" w:type="dxa"/>
            <w:vAlign w:val="bottom"/>
            <w:vMerge w:val="restart"/>
          </w:tcPr>
          <w:p>
            <w:pPr>
              <w:jc w:val="right"/>
              <w:spacing w:after="0"/>
              <w:rPr>
                <w:sz w:val="20"/>
                <w:szCs w:val="20"/>
                <w:color w:val="auto"/>
              </w:rPr>
            </w:pPr>
            <w:r>
              <w:rPr>
                <w:rFonts w:ascii="Arial" w:cs="Arial" w:eastAsia="Arial" w:hAnsi="Arial"/>
                <w:sz w:val="13"/>
                <w:szCs w:val="13"/>
                <w:color w:val="231F20"/>
              </w:rPr>
              <w:t>11,180 Target PSUs (30%)</w:t>
            </w:r>
          </w:p>
        </w:tc>
        <w:tc>
          <w:tcPr>
            <w:tcW w:w="10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54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40" w:type="dxa"/>
            <w:vAlign w:val="bottom"/>
            <w:shd w:val="clear" w:color="auto" w:fill="EAEAEC"/>
          </w:tcPr>
          <w:p>
            <w:pPr>
              <w:spacing w:after="0" w:line="120" w:lineRule="exact"/>
              <w:rPr>
                <w:sz w:val="20"/>
                <w:szCs w:val="20"/>
                <w:color w:val="auto"/>
              </w:rPr>
            </w:pPr>
            <w:r>
              <w:rPr>
                <w:rFonts w:ascii="Arial" w:cs="Arial" w:eastAsia="Arial" w:hAnsi="Arial"/>
                <w:sz w:val="13"/>
                <w:szCs w:val="13"/>
                <w:b w:val="1"/>
                <w:bCs w:val="1"/>
                <w:color w:val="C04C57"/>
              </w:rPr>
              <w:t>George D. Yancopoulos,</w:t>
            </w:r>
          </w:p>
        </w:tc>
        <w:tc>
          <w:tcPr>
            <w:tcW w:w="1180" w:type="dxa"/>
            <w:vAlign w:val="bottom"/>
            <w:vMerge w:val="restart"/>
            <w:shd w:val="clear" w:color="auto" w:fill="EAEAEC"/>
          </w:tcPr>
          <w:p>
            <w:pPr>
              <w:ind w:left="80"/>
              <w:spacing w:after="0"/>
              <w:rPr>
                <w:sz w:val="20"/>
                <w:szCs w:val="20"/>
                <w:color w:val="auto"/>
              </w:rPr>
            </w:pPr>
            <w:r>
              <w:rPr>
                <w:rFonts w:ascii="Arial" w:cs="Arial" w:eastAsia="Arial" w:hAnsi="Arial"/>
                <w:sz w:val="13"/>
                <w:szCs w:val="13"/>
                <w:color w:val="2952A4"/>
              </w:rPr>
              <w:t>116,111</w:t>
            </w:r>
          </w:p>
        </w:tc>
        <w:tc>
          <w:tcPr>
            <w:tcW w:w="1780" w:type="dxa"/>
            <w:vAlign w:val="bottom"/>
            <w:shd w:val="clear" w:color="auto" w:fill="EAEAEC"/>
          </w:tcPr>
          <w:p>
            <w:pPr>
              <w:jc w:val="right"/>
              <w:spacing w:after="0" w:line="120" w:lineRule="exact"/>
              <w:rPr>
                <w:sz w:val="20"/>
                <w:szCs w:val="20"/>
                <w:color w:val="auto"/>
              </w:rPr>
            </w:pPr>
            <w:r>
              <w:rPr>
                <w:rFonts w:ascii="Arial" w:cs="Arial" w:eastAsia="Arial" w:hAnsi="Arial"/>
                <w:sz w:val="13"/>
                <w:szCs w:val="13"/>
                <w:color w:val="231F20"/>
              </w:rPr>
              <w:t>81,278 Stock Options (70%)</w:t>
            </w:r>
          </w:p>
        </w:tc>
        <w:tc>
          <w:tcPr>
            <w:tcW w:w="1040" w:type="dxa"/>
            <w:vAlign w:val="bottom"/>
            <w:vMerge w:val="restart"/>
            <w:shd w:val="clear" w:color="auto" w:fill="EAEAEC"/>
          </w:tcPr>
          <w:p>
            <w:pPr>
              <w:jc w:val="right"/>
              <w:ind w:right="462"/>
              <w:spacing w:after="0"/>
              <w:rPr>
                <w:sz w:val="20"/>
                <w:szCs w:val="20"/>
                <w:color w:val="auto"/>
              </w:rPr>
            </w:pPr>
            <w:r>
              <w:rPr>
                <w:rFonts w:ascii="Arial" w:cs="Arial" w:eastAsia="Arial" w:hAnsi="Arial"/>
                <w:sz w:val="13"/>
                <w:szCs w:val="13"/>
                <w:color w:val="231F20"/>
              </w:rPr>
              <w:t>-10%</w:t>
            </w:r>
          </w:p>
        </w:tc>
        <w:tc>
          <w:tcPr>
            <w:tcW w:w="1120" w:type="dxa"/>
            <w:vAlign w:val="bottom"/>
            <w:vMerge w:val="restart"/>
            <w:shd w:val="clear" w:color="auto" w:fill="EAEAEC"/>
          </w:tcPr>
          <w:p>
            <w:pPr>
              <w:jc w:val="right"/>
              <w:ind w:right="401"/>
              <w:spacing w:after="0"/>
              <w:rPr>
                <w:sz w:val="20"/>
                <w:szCs w:val="20"/>
                <w:color w:val="auto"/>
              </w:rPr>
            </w:pPr>
            <w:r>
              <w:rPr>
                <w:rFonts w:ascii="Arial" w:cs="Arial" w:eastAsia="Arial" w:hAnsi="Arial"/>
                <w:sz w:val="13"/>
                <w:szCs w:val="13"/>
                <w:color w:val="231F20"/>
              </w:rPr>
              <w:t>-21.8%</w:t>
            </w:r>
          </w:p>
        </w:tc>
        <w:tc>
          <w:tcPr>
            <w:tcW w:w="1440" w:type="dxa"/>
            <w:vAlign w:val="bottom"/>
            <w:vMerge w:val="restart"/>
            <w:shd w:val="clear" w:color="auto" w:fill="EAEAEC"/>
          </w:tcPr>
          <w:p>
            <w:pPr>
              <w:jc w:val="right"/>
              <w:ind w:right="501"/>
              <w:spacing w:after="0"/>
              <w:rPr>
                <w:sz w:val="20"/>
                <w:szCs w:val="20"/>
                <w:color w:val="auto"/>
              </w:rPr>
            </w:pPr>
            <w:r>
              <w:rPr>
                <w:rFonts w:ascii="Arial" w:cs="Arial" w:eastAsia="Arial" w:hAnsi="Arial"/>
                <w:sz w:val="13"/>
                <w:szCs w:val="13"/>
                <w:color w:val="231F20"/>
              </w:rPr>
              <w:t>-51.4%</w:t>
            </w:r>
          </w:p>
        </w:tc>
        <w:tc>
          <w:tcPr>
            <w:tcW w:w="0" w:type="dxa"/>
            <w:vAlign w:val="bottom"/>
          </w:tcPr>
          <w:p>
            <w:pPr>
              <w:spacing w:after="0"/>
              <w:rPr>
                <w:sz w:val="1"/>
                <w:szCs w:val="1"/>
                <w:color w:val="auto"/>
              </w:rPr>
            </w:pPr>
          </w:p>
        </w:tc>
      </w:tr>
      <w:tr>
        <w:trPr>
          <w:trHeight w:val="100"/>
        </w:trPr>
        <w:tc>
          <w:tcPr>
            <w:tcW w:w="1540" w:type="dxa"/>
            <w:vAlign w:val="bottom"/>
            <w:vMerge w:val="restart"/>
            <w:shd w:val="clear" w:color="auto" w:fill="EAEAEC"/>
          </w:tcPr>
          <w:p>
            <w:pPr>
              <w:spacing w:after="0"/>
              <w:rPr>
                <w:sz w:val="20"/>
                <w:szCs w:val="20"/>
                <w:color w:val="auto"/>
              </w:rPr>
            </w:pPr>
            <w:r>
              <w:rPr>
                <w:rFonts w:ascii="Arial" w:cs="Arial" w:eastAsia="Arial" w:hAnsi="Arial"/>
                <w:sz w:val="13"/>
                <w:szCs w:val="13"/>
                <w:b w:val="1"/>
                <w:bCs w:val="1"/>
                <w:color w:val="C04C57"/>
              </w:rPr>
              <w:t>M.D., Ph.D.</w:t>
            </w:r>
          </w:p>
        </w:tc>
        <w:tc>
          <w:tcPr>
            <w:tcW w:w="1180" w:type="dxa"/>
            <w:vAlign w:val="bottom"/>
            <w:vMerge w:val="continue"/>
            <w:shd w:val="clear" w:color="auto" w:fill="EAEAEC"/>
          </w:tcPr>
          <w:p>
            <w:pPr>
              <w:spacing w:after="0"/>
              <w:rPr>
                <w:sz w:val="8"/>
                <w:szCs w:val="8"/>
                <w:color w:val="auto"/>
              </w:rPr>
            </w:pPr>
          </w:p>
        </w:tc>
        <w:tc>
          <w:tcPr>
            <w:tcW w:w="1780" w:type="dxa"/>
            <w:vAlign w:val="bottom"/>
            <w:vMerge w:val="restart"/>
            <w:shd w:val="clear" w:color="auto" w:fill="EAEAEC"/>
          </w:tcPr>
          <w:p>
            <w:pPr>
              <w:jc w:val="right"/>
              <w:spacing w:after="0"/>
              <w:rPr>
                <w:sz w:val="20"/>
                <w:szCs w:val="20"/>
                <w:color w:val="auto"/>
              </w:rPr>
            </w:pPr>
            <w:r>
              <w:rPr>
                <w:rFonts w:ascii="Arial" w:cs="Arial" w:eastAsia="Arial" w:hAnsi="Arial"/>
                <w:sz w:val="13"/>
                <w:szCs w:val="13"/>
                <w:color w:val="231F20"/>
              </w:rPr>
              <w:t>11,180 Target PSUs (30%)</w:t>
            </w:r>
          </w:p>
        </w:tc>
        <w:tc>
          <w:tcPr>
            <w:tcW w:w="1040" w:type="dxa"/>
            <w:vAlign w:val="bottom"/>
            <w:vMerge w:val="continue"/>
            <w:shd w:val="clear" w:color="auto" w:fill="EAEAEC"/>
          </w:tcPr>
          <w:p>
            <w:pPr>
              <w:spacing w:after="0"/>
              <w:rPr>
                <w:sz w:val="8"/>
                <w:szCs w:val="8"/>
                <w:color w:val="auto"/>
              </w:rPr>
            </w:pPr>
          </w:p>
        </w:tc>
        <w:tc>
          <w:tcPr>
            <w:tcW w:w="1120" w:type="dxa"/>
            <w:vAlign w:val="bottom"/>
            <w:vMerge w:val="continue"/>
            <w:shd w:val="clear" w:color="auto" w:fill="EAEAEC"/>
          </w:tcPr>
          <w:p>
            <w:pPr>
              <w:spacing w:after="0"/>
              <w:rPr>
                <w:sz w:val="8"/>
                <w:szCs w:val="8"/>
                <w:color w:val="auto"/>
              </w:rPr>
            </w:pPr>
          </w:p>
        </w:tc>
        <w:tc>
          <w:tcPr>
            <w:tcW w:w="1440" w:type="dxa"/>
            <w:vAlign w:val="bottom"/>
            <w:vMerge w:val="continue"/>
            <w:shd w:val="clear" w:color="auto" w:fill="EAEAEC"/>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540" w:type="dxa"/>
            <w:vAlign w:val="bottom"/>
            <w:tcBorders>
              <w:bottom w:val="single" w:sz="8" w:color="auto"/>
            </w:tcBorders>
            <w:vMerge w:val="continue"/>
            <w:shd w:val="clear" w:color="auto" w:fill="EAEAEC"/>
          </w:tcPr>
          <w:p>
            <w:pPr>
              <w:spacing w:after="0"/>
              <w:rPr>
                <w:sz w:val="6"/>
                <w:szCs w:val="6"/>
                <w:color w:val="auto"/>
              </w:rPr>
            </w:pPr>
          </w:p>
        </w:tc>
        <w:tc>
          <w:tcPr>
            <w:tcW w:w="1180" w:type="dxa"/>
            <w:vAlign w:val="bottom"/>
            <w:tcBorders>
              <w:bottom w:val="single" w:sz="8" w:color="auto"/>
            </w:tcBorders>
            <w:shd w:val="clear" w:color="auto" w:fill="EAEAEC"/>
          </w:tcPr>
          <w:p>
            <w:pPr>
              <w:spacing w:after="0"/>
              <w:rPr>
                <w:sz w:val="6"/>
                <w:szCs w:val="6"/>
                <w:color w:val="auto"/>
              </w:rPr>
            </w:pPr>
          </w:p>
        </w:tc>
        <w:tc>
          <w:tcPr>
            <w:tcW w:w="1780" w:type="dxa"/>
            <w:vAlign w:val="bottom"/>
            <w:tcBorders>
              <w:bottom w:val="single" w:sz="8" w:color="auto"/>
            </w:tcBorders>
            <w:vMerge w:val="continue"/>
            <w:shd w:val="clear" w:color="auto" w:fill="EAEAEC"/>
          </w:tcPr>
          <w:p>
            <w:pPr>
              <w:spacing w:after="0"/>
              <w:rPr>
                <w:sz w:val="6"/>
                <w:szCs w:val="6"/>
                <w:color w:val="auto"/>
              </w:rPr>
            </w:pPr>
          </w:p>
        </w:tc>
        <w:tc>
          <w:tcPr>
            <w:tcW w:w="1040" w:type="dxa"/>
            <w:vAlign w:val="bottom"/>
            <w:tcBorders>
              <w:bottom w:val="single" w:sz="8" w:color="auto"/>
            </w:tcBorders>
            <w:shd w:val="clear" w:color="auto" w:fill="EAEAEC"/>
          </w:tcPr>
          <w:p>
            <w:pPr>
              <w:spacing w:after="0"/>
              <w:rPr>
                <w:sz w:val="6"/>
                <w:szCs w:val="6"/>
                <w:color w:val="auto"/>
              </w:rPr>
            </w:pPr>
          </w:p>
        </w:tc>
        <w:tc>
          <w:tcPr>
            <w:tcW w:w="1120" w:type="dxa"/>
            <w:vAlign w:val="bottom"/>
            <w:tcBorders>
              <w:bottom w:val="single" w:sz="8" w:color="auto"/>
            </w:tcBorders>
            <w:shd w:val="clear" w:color="auto" w:fill="EAEAEC"/>
          </w:tcPr>
          <w:p>
            <w:pPr>
              <w:spacing w:after="0"/>
              <w:rPr>
                <w:sz w:val="6"/>
                <w:szCs w:val="6"/>
                <w:color w:val="auto"/>
              </w:rPr>
            </w:pPr>
          </w:p>
        </w:tc>
        <w:tc>
          <w:tcPr>
            <w:tcW w:w="1440" w:type="dxa"/>
            <w:vAlign w:val="bottom"/>
            <w:tcBorders>
              <w:bottom w:val="single" w:sz="8" w:color="auto"/>
            </w:tcBorders>
            <w:shd w:val="clear" w:color="auto" w:fill="EAEAEC"/>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C04C57"/>
              </w:rPr>
              <w:t>Robert E. Landry</w:t>
            </w:r>
          </w:p>
        </w:tc>
        <w:tc>
          <w:tcPr>
            <w:tcW w:w="1180" w:type="dxa"/>
            <w:vAlign w:val="bottom"/>
            <w:vMerge w:val="restart"/>
          </w:tcPr>
          <w:p>
            <w:pPr>
              <w:ind w:left="160"/>
              <w:spacing w:after="0"/>
              <w:rPr>
                <w:sz w:val="20"/>
                <w:szCs w:val="20"/>
                <w:color w:val="auto"/>
              </w:rPr>
            </w:pPr>
            <w:r>
              <w:rPr>
                <w:rFonts w:ascii="Arial" w:cs="Arial" w:eastAsia="Arial" w:hAnsi="Arial"/>
                <w:sz w:val="13"/>
                <w:szCs w:val="13"/>
                <w:color w:val="2952A4"/>
              </w:rPr>
              <w:t>35,000</w:t>
            </w:r>
            <w:r>
              <w:rPr>
                <w:rFonts w:ascii="Arial" w:cs="Arial" w:eastAsia="Arial" w:hAnsi="Arial"/>
                <w:sz w:val="21"/>
                <w:szCs w:val="21"/>
                <w:color w:val="000000"/>
                <w:vertAlign w:val="superscript"/>
              </w:rPr>
              <w:t>3</w:t>
            </w:r>
          </w:p>
        </w:tc>
        <w:tc>
          <w:tcPr>
            <w:tcW w:w="1780" w:type="dxa"/>
            <w:vAlign w:val="bottom"/>
          </w:tcPr>
          <w:p>
            <w:pPr>
              <w:jc w:val="right"/>
              <w:spacing w:after="0" w:line="146" w:lineRule="exact"/>
              <w:rPr>
                <w:sz w:val="20"/>
                <w:szCs w:val="20"/>
                <w:color w:val="auto"/>
              </w:rPr>
            </w:pPr>
            <w:r>
              <w:rPr>
                <w:rFonts w:ascii="Arial" w:cs="Arial" w:eastAsia="Arial" w:hAnsi="Arial"/>
                <w:sz w:val="13"/>
                <w:szCs w:val="13"/>
                <w:color w:val="231F20"/>
              </w:rPr>
              <w:t>24,500 Stock Options (70%)</w:t>
            </w:r>
          </w:p>
        </w:tc>
        <w:tc>
          <w:tcPr>
            <w:tcW w:w="1040" w:type="dxa"/>
            <w:vAlign w:val="bottom"/>
            <w:vMerge w:val="restart"/>
          </w:tcPr>
          <w:p>
            <w:pPr>
              <w:jc w:val="right"/>
              <w:ind w:right="382"/>
              <w:spacing w:after="0"/>
              <w:rPr>
                <w:sz w:val="20"/>
                <w:szCs w:val="20"/>
                <w:color w:val="auto"/>
              </w:rPr>
            </w:pPr>
            <w:r>
              <w:rPr>
                <w:rFonts w:ascii="Arial" w:cs="Arial" w:eastAsia="Arial" w:hAnsi="Arial"/>
                <w:sz w:val="13"/>
                <w:szCs w:val="13"/>
                <w:color w:val="231F20"/>
              </w:rPr>
              <w:t>75%</w:t>
            </w:r>
            <w:r>
              <w:rPr>
                <w:rFonts w:ascii="Arial" w:cs="Arial" w:eastAsia="Arial" w:hAnsi="Arial"/>
                <w:sz w:val="21"/>
                <w:szCs w:val="21"/>
                <w:color w:val="000000"/>
                <w:vertAlign w:val="superscript"/>
              </w:rPr>
              <w:t>3</w:t>
            </w:r>
          </w:p>
        </w:tc>
        <w:tc>
          <w:tcPr>
            <w:tcW w:w="1120" w:type="dxa"/>
            <w:vAlign w:val="bottom"/>
            <w:vMerge w:val="restart"/>
          </w:tcPr>
          <w:p>
            <w:pPr>
              <w:jc w:val="right"/>
              <w:ind w:right="341"/>
              <w:spacing w:after="0"/>
              <w:rPr>
                <w:sz w:val="20"/>
                <w:szCs w:val="20"/>
                <w:color w:val="auto"/>
              </w:rPr>
            </w:pPr>
            <w:r>
              <w:rPr>
                <w:rFonts w:ascii="Arial" w:cs="Arial" w:eastAsia="Arial" w:hAnsi="Arial"/>
                <w:sz w:val="13"/>
                <w:szCs w:val="13"/>
                <w:color w:val="231F20"/>
              </w:rPr>
              <w:t>36.2%</w:t>
            </w:r>
            <w:r>
              <w:rPr>
                <w:rFonts w:ascii="Arial" w:cs="Arial" w:eastAsia="Arial" w:hAnsi="Arial"/>
                <w:sz w:val="21"/>
                <w:szCs w:val="21"/>
                <w:color w:val="000000"/>
                <w:vertAlign w:val="superscript"/>
              </w:rPr>
              <w:t>3</w:t>
            </w:r>
          </w:p>
        </w:tc>
        <w:tc>
          <w:tcPr>
            <w:tcW w:w="1440" w:type="dxa"/>
            <w:vAlign w:val="bottom"/>
            <w:vMerge w:val="restart"/>
          </w:tcPr>
          <w:p>
            <w:pPr>
              <w:jc w:val="right"/>
              <w:ind w:right="441"/>
              <w:spacing w:after="0"/>
              <w:rPr>
                <w:sz w:val="20"/>
                <w:szCs w:val="20"/>
                <w:color w:val="auto"/>
              </w:rPr>
            </w:pPr>
            <w:r>
              <w:rPr>
                <w:rFonts w:ascii="Arial" w:cs="Arial" w:eastAsia="Arial" w:hAnsi="Arial"/>
                <w:sz w:val="13"/>
                <w:szCs w:val="13"/>
                <w:color w:val="231F20"/>
              </w:rPr>
              <w:t>N/A</w:t>
            </w:r>
            <w:r>
              <w:rPr>
                <w:rFonts w:ascii="Arial" w:cs="Arial" w:eastAsia="Arial" w:hAnsi="Arial"/>
                <w:sz w:val="21"/>
                <w:szCs w:val="21"/>
                <w:color w:val="000000"/>
                <w:vertAlign w:val="superscript"/>
              </w:rPr>
              <w:t>4</w:t>
            </w:r>
          </w:p>
        </w:tc>
        <w:tc>
          <w:tcPr>
            <w:tcW w:w="0" w:type="dxa"/>
            <w:vAlign w:val="bottom"/>
          </w:tcPr>
          <w:p>
            <w:pPr>
              <w:spacing w:after="0"/>
              <w:rPr>
                <w:sz w:val="1"/>
                <w:szCs w:val="1"/>
                <w:color w:val="auto"/>
              </w:rPr>
            </w:pPr>
          </w:p>
        </w:tc>
      </w:tr>
      <w:tr>
        <w:trPr>
          <w:trHeight w:val="118"/>
        </w:trPr>
        <w:tc>
          <w:tcPr>
            <w:tcW w:w="15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780" w:type="dxa"/>
            <w:vAlign w:val="bottom"/>
            <w:vMerge w:val="restart"/>
          </w:tcPr>
          <w:p>
            <w:pPr>
              <w:jc w:val="right"/>
              <w:spacing w:after="0" w:line="145" w:lineRule="exact"/>
              <w:rPr>
                <w:sz w:val="20"/>
                <w:szCs w:val="20"/>
                <w:color w:val="auto"/>
              </w:rPr>
            </w:pPr>
            <w:r>
              <w:rPr>
                <w:rFonts w:ascii="Arial" w:cs="Arial" w:eastAsia="Arial" w:hAnsi="Arial"/>
                <w:sz w:val="13"/>
                <w:szCs w:val="13"/>
                <w:color w:val="231F20"/>
              </w:rPr>
              <w:t>2,625 RSAs (30%)</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vMerge w:val="continue"/>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540" w:type="dxa"/>
            <w:vAlign w:val="bottom"/>
            <w:vMerge w:val="restart"/>
            <w:shd w:val="clear" w:color="auto" w:fill="EAEAEC"/>
          </w:tcPr>
          <w:p>
            <w:pPr>
              <w:spacing w:after="0"/>
              <w:rPr>
                <w:sz w:val="20"/>
                <w:szCs w:val="20"/>
                <w:color w:val="auto"/>
              </w:rPr>
            </w:pPr>
            <w:r>
              <w:rPr>
                <w:rFonts w:ascii="Arial" w:cs="Arial" w:eastAsia="Arial" w:hAnsi="Arial"/>
                <w:sz w:val="13"/>
                <w:szCs w:val="13"/>
                <w:b w:val="1"/>
                <w:bCs w:val="1"/>
                <w:color w:val="C04C57"/>
              </w:rPr>
              <w:t>Daniel P. Van Plew</w:t>
            </w:r>
          </w:p>
        </w:tc>
        <w:tc>
          <w:tcPr>
            <w:tcW w:w="1180" w:type="dxa"/>
            <w:vAlign w:val="bottom"/>
            <w:vMerge w:val="restart"/>
            <w:shd w:val="clear" w:color="auto" w:fill="EAEAEC"/>
          </w:tcPr>
          <w:p>
            <w:pPr>
              <w:ind w:left="160"/>
              <w:spacing w:after="0"/>
              <w:rPr>
                <w:sz w:val="20"/>
                <w:szCs w:val="20"/>
                <w:color w:val="auto"/>
              </w:rPr>
            </w:pPr>
            <w:r>
              <w:rPr>
                <w:rFonts w:ascii="Arial" w:cs="Arial" w:eastAsia="Arial" w:hAnsi="Arial"/>
                <w:sz w:val="13"/>
                <w:szCs w:val="13"/>
                <w:color w:val="2952A4"/>
              </w:rPr>
              <w:t>35,000</w:t>
            </w:r>
            <w:r>
              <w:rPr>
                <w:rFonts w:ascii="Arial" w:cs="Arial" w:eastAsia="Arial" w:hAnsi="Arial"/>
                <w:sz w:val="21"/>
                <w:szCs w:val="21"/>
                <w:color w:val="000000"/>
                <w:vertAlign w:val="superscript"/>
              </w:rPr>
              <w:t>5</w:t>
            </w:r>
          </w:p>
        </w:tc>
        <w:tc>
          <w:tcPr>
            <w:tcW w:w="1780" w:type="dxa"/>
            <w:vAlign w:val="bottom"/>
            <w:shd w:val="clear" w:color="auto" w:fill="EAEAEC"/>
          </w:tcPr>
          <w:p>
            <w:pPr>
              <w:jc w:val="right"/>
              <w:spacing w:after="0" w:line="146" w:lineRule="exact"/>
              <w:rPr>
                <w:sz w:val="20"/>
                <w:szCs w:val="20"/>
                <w:color w:val="auto"/>
              </w:rPr>
            </w:pPr>
            <w:r>
              <w:rPr>
                <w:rFonts w:ascii="Arial" w:cs="Arial" w:eastAsia="Arial" w:hAnsi="Arial"/>
                <w:sz w:val="13"/>
                <w:szCs w:val="13"/>
                <w:color w:val="231F20"/>
              </w:rPr>
              <w:t>24,500 Stock Options (70%)</w:t>
            </w:r>
          </w:p>
        </w:tc>
        <w:tc>
          <w:tcPr>
            <w:tcW w:w="1040" w:type="dxa"/>
            <w:vAlign w:val="bottom"/>
            <w:vMerge w:val="restart"/>
            <w:shd w:val="clear" w:color="auto" w:fill="EAEAEC"/>
          </w:tcPr>
          <w:p>
            <w:pPr>
              <w:jc w:val="right"/>
              <w:ind w:right="382"/>
              <w:spacing w:after="0"/>
              <w:rPr>
                <w:sz w:val="20"/>
                <w:szCs w:val="20"/>
                <w:color w:val="auto"/>
              </w:rPr>
            </w:pPr>
            <w:r>
              <w:rPr>
                <w:rFonts w:ascii="Arial" w:cs="Arial" w:eastAsia="Arial" w:hAnsi="Arial"/>
                <w:sz w:val="13"/>
                <w:szCs w:val="13"/>
                <w:color w:val="231F20"/>
              </w:rPr>
              <w:t>-24.3%</w:t>
            </w:r>
            <w:r>
              <w:rPr>
                <w:rFonts w:ascii="Arial" w:cs="Arial" w:eastAsia="Arial" w:hAnsi="Arial"/>
                <w:sz w:val="21"/>
                <w:szCs w:val="21"/>
                <w:color w:val="000000"/>
                <w:vertAlign w:val="superscript"/>
              </w:rPr>
              <w:t>5</w:t>
            </w:r>
          </w:p>
        </w:tc>
        <w:tc>
          <w:tcPr>
            <w:tcW w:w="1120" w:type="dxa"/>
            <w:vAlign w:val="bottom"/>
            <w:vMerge w:val="restart"/>
            <w:shd w:val="clear" w:color="auto" w:fill="EAEAEC"/>
          </w:tcPr>
          <w:p>
            <w:pPr>
              <w:jc w:val="right"/>
              <w:ind w:right="341"/>
              <w:spacing w:after="0"/>
              <w:rPr>
                <w:sz w:val="20"/>
                <w:szCs w:val="20"/>
                <w:color w:val="auto"/>
              </w:rPr>
            </w:pPr>
            <w:r>
              <w:rPr>
                <w:rFonts w:ascii="Arial" w:cs="Arial" w:eastAsia="Arial" w:hAnsi="Arial"/>
                <w:sz w:val="13"/>
                <w:szCs w:val="13"/>
                <w:color w:val="231F20"/>
              </w:rPr>
              <w:t>-41.1%</w:t>
            </w:r>
            <w:r>
              <w:rPr>
                <w:rFonts w:ascii="Arial" w:cs="Arial" w:eastAsia="Arial" w:hAnsi="Arial"/>
                <w:sz w:val="21"/>
                <w:szCs w:val="21"/>
                <w:color w:val="000000"/>
                <w:vertAlign w:val="superscript"/>
              </w:rPr>
              <w:t>5</w:t>
            </w:r>
          </w:p>
        </w:tc>
        <w:tc>
          <w:tcPr>
            <w:tcW w:w="1440" w:type="dxa"/>
            <w:vAlign w:val="bottom"/>
            <w:vMerge w:val="restart"/>
            <w:shd w:val="clear" w:color="auto" w:fill="EAEAEC"/>
          </w:tcPr>
          <w:p>
            <w:pPr>
              <w:jc w:val="right"/>
              <w:ind w:right="501"/>
              <w:spacing w:after="0"/>
              <w:rPr>
                <w:sz w:val="20"/>
                <w:szCs w:val="20"/>
                <w:color w:val="auto"/>
              </w:rPr>
            </w:pPr>
            <w:r>
              <w:rPr>
                <w:rFonts w:ascii="Arial" w:cs="Arial" w:eastAsia="Arial" w:hAnsi="Arial"/>
                <w:sz w:val="13"/>
                <w:szCs w:val="13"/>
                <w:color w:val="231F20"/>
              </w:rPr>
              <w:t>-53.3%</w:t>
            </w:r>
          </w:p>
        </w:tc>
        <w:tc>
          <w:tcPr>
            <w:tcW w:w="0" w:type="dxa"/>
            <w:vAlign w:val="bottom"/>
          </w:tcPr>
          <w:p>
            <w:pPr>
              <w:spacing w:after="0"/>
              <w:rPr>
                <w:sz w:val="1"/>
                <w:szCs w:val="1"/>
                <w:color w:val="auto"/>
              </w:rPr>
            </w:pPr>
          </w:p>
        </w:tc>
      </w:tr>
      <w:tr>
        <w:trPr>
          <w:trHeight w:val="145"/>
        </w:trPr>
        <w:tc>
          <w:tcPr>
            <w:tcW w:w="1540" w:type="dxa"/>
            <w:vAlign w:val="bottom"/>
            <w:tcBorders>
              <w:bottom w:val="single" w:sz="8" w:color="EAEAEC"/>
            </w:tcBorders>
            <w:vMerge w:val="continue"/>
            <w:shd w:val="clear" w:color="auto" w:fill="EAEAEC"/>
          </w:tcPr>
          <w:p>
            <w:pPr>
              <w:spacing w:after="0"/>
              <w:rPr>
                <w:sz w:val="12"/>
                <w:szCs w:val="12"/>
                <w:color w:val="auto"/>
              </w:rPr>
            </w:pPr>
          </w:p>
        </w:tc>
        <w:tc>
          <w:tcPr>
            <w:tcW w:w="1180" w:type="dxa"/>
            <w:vAlign w:val="bottom"/>
            <w:tcBorders>
              <w:bottom w:val="single" w:sz="8" w:color="EAEAEC"/>
            </w:tcBorders>
            <w:vMerge w:val="continue"/>
            <w:shd w:val="clear" w:color="auto" w:fill="EAEAEC"/>
          </w:tcPr>
          <w:p>
            <w:pPr>
              <w:spacing w:after="0"/>
              <w:rPr>
                <w:sz w:val="12"/>
                <w:szCs w:val="12"/>
                <w:color w:val="auto"/>
              </w:rPr>
            </w:pPr>
          </w:p>
        </w:tc>
        <w:tc>
          <w:tcPr>
            <w:tcW w:w="1780" w:type="dxa"/>
            <w:vAlign w:val="bottom"/>
            <w:tcBorders>
              <w:bottom w:val="single" w:sz="8" w:color="EAEAEC"/>
            </w:tcBorders>
            <w:shd w:val="clear" w:color="auto" w:fill="EAEAEC"/>
          </w:tcPr>
          <w:p>
            <w:pPr>
              <w:jc w:val="right"/>
              <w:spacing w:after="0" w:line="145" w:lineRule="exact"/>
              <w:rPr>
                <w:sz w:val="20"/>
                <w:szCs w:val="20"/>
                <w:color w:val="auto"/>
              </w:rPr>
            </w:pPr>
            <w:r>
              <w:rPr>
                <w:rFonts w:ascii="Arial" w:cs="Arial" w:eastAsia="Arial" w:hAnsi="Arial"/>
                <w:sz w:val="13"/>
                <w:szCs w:val="13"/>
                <w:color w:val="231F20"/>
              </w:rPr>
              <w:t>2,625 RSAs (30%)</w:t>
            </w:r>
          </w:p>
        </w:tc>
        <w:tc>
          <w:tcPr>
            <w:tcW w:w="1040" w:type="dxa"/>
            <w:vAlign w:val="bottom"/>
            <w:tcBorders>
              <w:bottom w:val="single" w:sz="8" w:color="EAEAEC"/>
            </w:tcBorders>
            <w:vMerge w:val="continue"/>
            <w:shd w:val="clear" w:color="auto" w:fill="EAEAEC"/>
          </w:tcPr>
          <w:p>
            <w:pPr>
              <w:spacing w:after="0"/>
              <w:rPr>
                <w:sz w:val="12"/>
                <w:szCs w:val="12"/>
                <w:color w:val="auto"/>
              </w:rPr>
            </w:pPr>
          </w:p>
        </w:tc>
        <w:tc>
          <w:tcPr>
            <w:tcW w:w="1120" w:type="dxa"/>
            <w:vAlign w:val="bottom"/>
            <w:tcBorders>
              <w:bottom w:val="single" w:sz="8" w:color="EAEAEC"/>
            </w:tcBorders>
            <w:vMerge w:val="continue"/>
            <w:shd w:val="clear" w:color="auto" w:fill="EAEAEC"/>
          </w:tcPr>
          <w:p>
            <w:pPr>
              <w:spacing w:after="0"/>
              <w:rPr>
                <w:sz w:val="12"/>
                <w:szCs w:val="12"/>
                <w:color w:val="auto"/>
              </w:rPr>
            </w:pPr>
          </w:p>
        </w:tc>
        <w:tc>
          <w:tcPr>
            <w:tcW w:w="1440" w:type="dxa"/>
            <w:vAlign w:val="bottom"/>
            <w:tcBorders>
              <w:bottom w:val="single" w:sz="8" w:color="EAEAEC"/>
            </w:tcBorders>
            <w:vMerge w:val="continue"/>
            <w:shd w:val="clear" w:color="auto" w:fill="EAEAE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C04C57"/>
                <w:w w:val="99"/>
              </w:rPr>
              <w:t>Andrew J. Murphy, Ph.D.</w:t>
            </w:r>
          </w:p>
        </w:tc>
        <w:tc>
          <w:tcPr>
            <w:tcW w:w="1180" w:type="dxa"/>
            <w:vAlign w:val="bottom"/>
            <w:tcBorders>
              <w:top w:val="single" w:sz="8" w:color="auto"/>
            </w:tcBorders>
            <w:vMerge w:val="restart"/>
          </w:tcPr>
          <w:p>
            <w:pPr>
              <w:ind w:left="160"/>
              <w:spacing w:after="0"/>
              <w:rPr>
                <w:sz w:val="20"/>
                <w:szCs w:val="20"/>
                <w:color w:val="auto"/>
              </w:rPr>
            </w:pPr>
            <w:r>
              <w:rPr>
                <w:rFonts w:ascii="Arial" w:cs="Arial" w:eastAsia="Arial" w:hAnsi="Arial"/>
                <w:sz w:val="13"/>
                <w:szCs w:val="13"/>
                <w:color w:val="2952A4"/>
              </w:rPr>
              <w:t>35,000</w:t>
            </w:r>
            <w:r>
              <w:rPr>
                <w:rFonts w:ascii="Arial" w:cs="Arial" w:eastAsia="Arial" w:hAnsi="Arial"/>
                <w:sz w:val="21"/>
                <w:szCs w:val="21"/>
                <w:color w:val="000000"/>
                <w:vertAlign w:val="superscript"/>
              </w:rPr>
              <w:t>6</w:t>
            </w:r>
          </w:p>
        </w:tc>
        <w:tc>
          <w:tcPr>
            <w:tcW w:w="17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231F20"/>
              </w:rPr>
              <w:t>24,500 Stock Options (70%)</w:t>
            </w:r>
          </w:p>
        </w:tc>
        <w:tc>
          <w:tcPr>
            <w:tcW w:w="104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color w:val="231F20"/>
              </w:rPr>
              <w:t>40%</w:t>
            </w:r>
            <w:r>
              <w:rPr>
                <w:rFonts w:ascii="Arial" w:cs="Arial" w:eastAsia="Arial" w:hAnsi="Arial"/>
                <w:sz w:val="21"/>
                <w:szCs w:val="21"/>
                <w:color w:val="000000"/>
                <w:vertAlign w:val="superscript"/>
              </w:rPr>
              <w:t>6</w:t>
            </w:r>
          </w:p>
        </w:tc>
        <w:tc>
          <w:tcPr>
            <w:tcW w:w="1120" w:type="dxa"/>
            <w:vAlign w:val="bottom"/>
            <w:tcBorders>
              <w:top w:val="single" w:sz="8" w:color="auto"/>
            </w:tcBorders>
            <w:vMerge w:val="restart"/>
          </w:tcPr>
          <w:p>
            <w:pPr>
              <w:jc w:val="right"/>
              <w:ind w:right="341"/>
              <w:spacing w:after="0"/>
              <w:rPr>
                <w:sz w:val="20"/>
                <w:szCs w:val="20"/>
                <w:color w:val="auto"/>
              </w:rPr>
            </w:pPr>
            <w:r>
              <w:rPr>
                <w:rFonts w:ascii="Arial" w:cs="Arial" w:eastAsia="Arial" w:hAnsi="Arial"/>
                <w:sz w:val="13"/>
                <w:szCs w:val="13"/>
                <w:color w:val="231F20"/>
              </w:rPr>
              <w:t>8.9%</w:t>
            </w:r>
            <w:r>
              <w:rPr>
                <w:rFonts w:ascii="Arial" w:cs="Arial" w:eastAsia="Arial" w:hAnsi="Arial"/>
                <w:sz w:val="21"/>
                <w:szCs w:val="21"/>
                <w:color w:val="000000"/>
                <w:vertAlign w:val="superscript"/>
              </w:rPr>
              <w:t>6</w:t>
            </w:r>
          </w:p>
        </w:tc>
        <w:tc>
          <w:tcPr>
            <w:tcW w:w="1440" w:type="dxa"/>
            <w:vAlign w:val="bottom"/>
            <w:tcBorders>
              <w:top w:val="single" w:sz="8" w:color="auto"/>
            </w:tcBorders>
            <w:vMerge w:val="restart"/>
          </w:tcPr>
          <w:p>
            <w:pPr>
              <w:jc w:val="right"/>
              <w:ind w:right="501"/>
              <w:spacing w:after="0"/>
              <w:rPr>
                <w:sz w:val="20"/>
                <w:szCs w:val="20"/>
                <w:color w:val="auto"/>
              </w:rPr>
            </w:pPr>
            <w:r>
              <w:rPr>
                <w:rFonts w:ascii="Arial" w:cs="Arial" w:eastAsia="Arial" w:hAnsi="Arial"/>
                <w:sz w:val="13"/>
                <w:szCs w:val="13"/>
                <w:color w:val="231F20"/>
              </w:rPr>
              <w:t>12.5%</w:t>
            </w:r>
          </w:p>
        </w:tc>
        <w:tc>
          <w:tcPr>
            <w:tcW w:w="0" w:type="dxa"/>
            <w:vAlign w:val="bottom"/>
          </w:tcPr>
          <w:p>
            <w:pPr>
              <w:spacing w:after="0"/>
              <w:rPr>
                <w:sz w:val="1"/>
                <w:szCs w:val="1"/>
                <w:color w:val="auto"/>
              </w:rPr>
            </w:pPr>
          </w:p>
        </w:tc>
      </w:tr>
      <w:tr>
        <w:trPr>
          <w:trHeight w:val="118"/>
        </w:trPr>
        <w:tc>
          <w:tcPr>
            <w:tcW w:w="15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780" w:type="dxa"/>
            <w:vAlign w:val="bottom"/>
            <w:vMerge w:val="restart"/>
          </w:tcPr>
          <w:p>
            <w:pPr>
              <w:jc w:val="right"/>
              <w:spacing w:after="0" w:line="145" w:lineRule="exact"/>
              <w:rPr>
                <w:sz w:val="20"/>
                <w:szCs w:val="20"/>
                <w:color w:val="auto"/>
              </w:rPr>
            </w:pPr>
            <w:r>
              <w:rPr>
                <w:rFonts w:ascii="Arial" w:cs="Arial" w:eastAsia="Arial" w:hAnsi="Arial"/>
                <w:sz w:val="13"/>
                <w:szCs w:val="13"/>
                <w:color w:val="231F20"/>
              </w:rPr>
              <w:t>2,625 RSAs (30%)</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2952A4"/>
            </w:tcBorders>
          </w:tcPr>
          <w:p>
            <w:pPr>
              <w:spacing w:after="0"/>
              <w:rPr>
                <w:sz w:val="2"/>
                <w:szCs w:val="2"/>
                <w:color w:val="auto"/>
              </w:rPr>
            </w:pPr>
          </w:p>
        </w:tc>
        <w:tc>
          <w:tcPr>
            <w:tcW w:w="1180" w:type="dxa"/>
            <w:vAlign w:val="bottom"/>
            <w:tcBorders>
              <w:bottom w:val="single" w:sz="8" w:color="2952A4"/>
            </w:tcBorders>
          </w:tcPr>
          <w:p>
            <w:pPr>
              <w:spacing w:after="0"/>
              <w:rPr>
                <w:sz w:val="2"/>
                <w:szCs w:val="2"/>
                <w:color w:val="auto"/>
              </w:rPr>
            </w:pPr>
          </w:p>
        </w:tc>
        <w:tc>
          <w:tcPr>
            <w:tcW w:w="1780" w:type="dxa"/>
            <w:vAlign w:val="bottom"/>
            <w:tcBorders>
              <w:bottom w:val="single" w:sz="8" w:color="2952A4"/>
            </w:tcBorders>
            <w:vMerge w:val="continue"/>
          </w:tcPr>
          <w:p>
            <w:pPr>
              <w:spacing w:after="0"/>
              <w:rPr>
                <w:sz w:val="2"/>
                <w:szCs w:val="2"/>
                <w:color w:val="auto"/>
              </w:rPr>
            </w:pPr>
          </w:p>
        </w:tc>
        <w:tc>
          <w:tcPr>
            <w:tcW w:w="1040" w:type="dxa"/>
            <w:vAlign w:val="bottom"/>
            <w:tcBorders>
              <w:bottom w:val="single" w:sz="8" w:color="2952A4"/>
            </w:tcBorders>
          </w:tcPr>
          <w:p>
            <w:pPr>
              <w:spacing w:after="0"/>
              <w:rPr>
                <w:sz w:val="2"/>
                <w:szCs w:val="2"/>
                <w:color w:val="auto"/>
              </w:rPr>
            </w:pPr>
          </w:p>
        </w:tc>
        <w:tc>
          <w:tcPr>
            <w:tcW w:w="1120" w:type="dxa"/>
            <w:vAlign w:val="bottom"/>
            <w:tcBorders>
              <w:bottom w:val="single" w:sz="8" w:color="2952A4"/>
            </w:tcBorders>
          </w:tcPr>
          <w:p>
            <w:pPr>
              <w:spacing w:after="0"/>
              <w:rPr>
                <w:sz w:val="2"/>
                <w:szCs w:val="2"/>
                <w:color w:val="auto"/>
              </w:rPr>
            </w:pPr>
          </w:p>
        </w:tc>
        <w:tc>
          <w:tcPr>
            <w:tcW w:w="1440" w:type="dxa"/>
            <w:vAlign w:val="bottom"/>
            <w:tcBorders>
              <w:bottom w:val="single" w:sz="8" w:color="2952A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620" w:right="599" w:hanging="166"/>
        <w:spacing w:after="0" w:line="235" w:lineRule="auto"/>
        <w:tabs>
          <w:tab w:leader="none" w:pos="620" w:val="left"/>
        </w:tabs>
        <w:numPr>
          <w:ilvl w:val="0"/>
          <w:numId w:val="153"/>
        </w:numPr>
        <w:rPr>
          <w:rFonts w:ascii="Arial" w:cs="Arial" w:eastAsia="Arial" w:hAnsi="Arial"/>
          <w:sz w:val="15"/>
          <w:szCs w:val="15"/>
          <w:b w:val="1"/>
          <w:bCs w:val="1"/>
          <w:color w:val="2952A4"/>
        </w:rPr>
      </w:pPr>
      <w:r>
        <w:rPr>
          <w:rFonts w:ascii="Arial" w:cs="Arial" w:eastAsia="Arial" w:hAnsi="Arial"/>
          <w:sz w:val="15"/>
          <w:szCs w:val="15"/>
          <w:color w:val="231F20"/>
        </w:rPr>
        <w:t>Aggregate number representing, on an options-equivalent basis, awards of stock options, PSUs, and/or RSAs. See “Compensation Dashboard – 2019 Executive Compensation Tables – 2019 Grants of Plan-Based Awards” for more information on the terms of these awards.</w:t>
      </w:r>
    </w:p>
    <w:p>
      <w:pPr>
        <w:spacing w:after="0" w:line="114" w:lineRule="exact"/>
        <w:rPr>
          <w:sz w:val="20"/>
          <w:szCs w:val="20"/>
          <w:color w:val="auto"/>
        </w:rPr>
      </w:pPr>
    </w:p>
    <w:p>
      <w:pPr>
        <w:jc w:val="both"/>
        <w:ind w:left="620" w:right="579" w:hanging="166"/>
        <w:spacing w:after="0" w:line="235" w:lineRule="auto"/>
        <w:tabs>
          <w:tab w:leader="none" w:pos="620" w:val="left"/>
        </w:tabs>
        <w:numPr>
          <w:ilvl w:val="0"/>
          <w:numId w:val="154"/>
        </w:numPr>
        <w:rPr>
          <w:rFonts w:ascii="Arial" w:cs="Arial" w:eastAsia="Arial" w:hAnsi="Arial"/>
          <w:sz w:val="15"/>
          <w:szCs w:val="15"/>
          <w:b w:val="1"/>
          <w:bCs w:val="1"/>
          <w:color w:val="2952A4"/>
        </w:rPr>
      </w:pPr>
      <w:r>
        <w:rPr>
          <w:rFonts w:ascii="Arial" w:cs="Arial" w:eastAsia="Arial" w:hAnsi="Arial"/>
          <w:sz w:val="15"/>
          <w:szCs w:val="15"/>
          <w:color w:val="231F20"/>
        </w:rPr>
        <w:t>For comparison purposes, this column shows, on an options-equivalent basis, a percentage change over the period in which we reduced, on a year-over-year basis, the number of shares underlying equity awards to our CEO as well as per employee.</w:t>
      </w:r>
    </w:p>
    <w:p>
      <w:pPr>
        <w:spacing w:after="0" w:line="114" w:lineRule="exact"/>
        <w:rPr>
          <w:sz w:val="20"/>
          <w:szCs w:val="20"/>
          <w:color w:val="auto"/>
        </w:rPr>
      </w:pPr>
    </w:p>
    <w:p>
      <w:pPr>
        <w:jc w:val="both"/>
        <w:ind w:left="620" w:right="579" w:hanging="166"/>
        <w:spacing w:after="0" w:line="235" w:lineRule="auto"/>
        <w:tabs>
          <w:tab w:leader="none" w:pos="620" w:val="left"/>
        </w:tabs>
        <w:numPr>
          <w:ilvl w:val="0"/>
          <w:numId w:val="155"/>
        </w:numPr>
        <w:rPr>
          <w:rFonts w:ascii="Arial" w:cs="Arial" w:eastAsia="Arial" w:hAnsi="Arial"/>
          <w:sz w:val="15"/>
          <w:szCs w:val="15"/>
          <w:b w:val="1"/>
          <w:bCs w:val="1"/>
          <w:color w:val="2952A4"/>
        </w:rPr>
      </w:pPr>
      <w:r>
        <w:rPr>
          <w:rFonts w:ascii="Arial" w:cs="Arial" w:eastAsia="Arial" w:hAnsi="Arial"/>
          <w:sz w:val="15"/>
          <w:szCs w:val="15"/>
          <w:color w:val="231F20"/>
        </w:rPr>
        <w:t>Mr. Landry’s 2019 annual equity award reflects his promotion to Executive Vice President effective January 1, 2019. Mr. Landry also received a special RSA in 2019, which is not reflected in the table above and is separately reported in “Compensation Dashboard – 2019 Executive Compensation Tables – 2019 Grants of Plan-Based Awards.”</w:t>
      </w:r>
    </w:p>
    <w:p>
      <w:pPr>
        <w:spacing w:after="0" w:line="114" w:lineRule="exact"/>
        <w:rPr>
          <w:sz w:val="20"/>
          <w:szCs w:val="20"/>
          <w:color w:val="auto"/>
        </w:rPr>
      </w:pPr>
    </w:p>
    <w:p>
      <w:pPr>
        <w:ind w:left="620" w:hanging="166"/>
        <w:spacing w:after="0"/>
        <w:tabs>
          <w:tab w:leader="none" w:pos="620" w:val="left"/>
        </w:tabs>
        <w:numPr>
          <w:ilvl w:val="0"/>
          <w:numId w:val="156"/>
        </w:numPr>
        <w:rPr>
          <w:rFonts w:ascii="Arial" w:cs="Arial" w:eastAsia="Arial" w:hAnsi="Arial"/>
          <w:sz w:val="15"/>
          <w:szCs w:val="15"/>
          <w:b w:val="1"/>
          <w:bCs w:val="1"/>
          <w:color w:val="2952A4"/>
        </w:rPr>
      </w:pPr>
      <w:r>
        <w:rPr>
          <w:rFonts w:ascii="Arial" w:cs="Arial" w:eastAsia="Arial" w:hAnsi="Arial"/>
          <w:sz w:val="15"/>
          <w:szCs w:val="15"/>
          <w:color w:val="231F20"/>
        </w:rPr>
        <w:t>Mr. Landry joined the Company in 2013.</w:t>
      </w:r>
    </w:p>
    <w:p>
      <w:pPr>
        <w:spacing w:after="0" w:line="125" w:lineRule="exact"/>
        <w:rPr>
          <w:sz w:val="20"/>
          <w:szCs w:val="20"/>
          <w:color w:val="auto"/>
        </w:rPr>
      </w:pPr>
    </w:p>
    <w:p>
      <w:pPr>
        <w:ind w:left="620" w:right="619" w:hanging="166"/>
        <w:spacing w:after="0" w:line="233" w:lineRule="auto"/>
        <w:tabs>
          <w:tab w:leader="none" w:pos="620" w:val="left"/>
        </w:tabs>
        <w:numPr>
          <w:ilvl w:val="0"/>
          <w:numId w:val="157"/>
        </w:numPr>
        <w:rPr>
          <w:rFonts w:ascii="Arial" w:cs="Arial" w:eastAsia="Arial" w:hAnsi="Arial"/>
          <w:sz w:val="15"/>
          <w:szCs w:val="15"/>
          <w:b w:val="1"/>
          <w:bCs w:val="1"/>
          <w:color w:val="2952A4"/>
        </w:rPr>
      </w:pPr>
      <w:r>
        <w:rPr>
          <w:rFonts w:ascii="Arial" w:cs="Arial" w:eastAsia="Arial" w:hAnsi="Arial"/>
          <w:sz w:val="15"/>
          <w:szCs w:val="15"/>
          <w:color w:val="231F20"/>
        </w:rPr>
        <w:t>Mr. Van Plew’s 2019 annual equity award was adjusted to better align with the annual equity awards of other senior executives. Mr. Van Plew also received a special RSA in 2019, which is not reflected in the table above and is separately reported in “Compensation Dashboard – 2019 Executive Compensation Tables – 2019 Grants of Plan-Based Awards.”</w:t>
      </w:r>
    </w:p>
    <w:p>
      <w:pPr>
        <w:spacing w:after="0" w:line="113" w:lineRule="exact"/>
        <w:rPr>
          <w:sz w:val="20"/>
          <w:szCs w:val="20"/>
          <w:color w:val="auto"/>
        </w:rPr>
      </w:pPr>
    </w:p>
    <w:p>
      <w:pPr>
        <w:jc w:val="both"/>
        <w:ind w:left="620" w:right="559" w:hanging="166"/>
        <w:spacing w:after="0" w:line="235" w:lineRule="auto"/>
        <w:tabs>
          <w:tab w:leader="none" w:pos="620" w:val="left"/>
        </w:tabs>
        <w:numPr>
          <w:ilvl w:val="0"/>
          <w:numId w:val="158"/>
        </w:numPr>
        <w:rPr>
          <w:rFonts w:ascii="Arial" w:cs="Arial" w:eastAsia="Arial" w:hAnsi="Arial"/>
          <w:sz w:val="15"/>
          <w:szCs w:val="15"/>
          <w:b w:val="1"/>
          <w:bCs w:val="1"/>
          <w:color w:val="2952A4"/>
        </w:rPr>
      </w:pPr>
      <w:r>
        <w:rPr>
          <w:rFonts w:ascii="Arial" w:cs="Arial" w:eastAsia="Arial" w:hAnsi="Arial"/>
          <w:sz w:val="15"/>
          <w:szCs w:val="15"/>
          <w:color w:val="231F20"/>
        </w:rPr>
        <w:t>Dr. Murphy’s 2019 annual equity award reflects his promotion to Executive Vice President effective January 1, 2019. Dr. Murphy also received a special RSA in 2019, which is not reflected in the table above and is separately reported in “Compensation Dashboard – 2019 Executive Compensation Tables –2019 Grants of Plan-Based Awards.”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74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86" w:name="page87"/>
    <w:bookmarkEnd w:id="86"/>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Annual Stock Option Awards</w:t>
      </w:r>
    </w:p>
    <w:p>
      <w:pPr>
        <w:spacing w:after="0" w:line="177" w:lineRule="exact"/>
        <w:rPr>
          <w:sz w:val="20"/>
          <w:szCs w:val="20"/>
          <w:color w:val="auto"/>
        </w:rPr>
      </w:pPr>
    </w:p>
    <w:p>
      <w:pPr>
        <w:ind w:left="1580" w:right="1720"/>
        <w:spacing w:after="0" w:line="230" w:lineRule="auto"/>
        <w:rPr>
          <w:sz w:val="20"/>
          <w:szCs w:val="20"/>
          <w:color w:val="auto"/>
        </w:rPr>
      </w:pPr>
      <w:r>
        <w:rPr>
          <w:rFonts w:ascii="Arial" w:cs="Arial" w:eastAsia="Arial" w:hAnsi="Arial"/>
          <w:sz w:val="15"/>
          <w:szCs w:val="15"/>
          <w:color w:val="231F20"/>
        </w:rPr>
        <w:t>As in years past, stock options remained the principal component of the annual equity awards granted to our NEOs in 2019 (comprising 70% of each NEO’s award). We have used stock options in such a prominent manner because they are inherently performance-based, requiring stock price appreciation before there is any real value earned, and simple. No amount of time will make a stock option deliver any value unless the company’s stock price increases. In addition, stock options reward our NEOs for increasing shareholder value over the entire 10-year option term, which we believe is consistent with the drug discovery and development cycle.</w:t>
      </w:r>
    </w:p>
    <w:p>
      <w:pPr>
        <w:spacing w:after="0" w:line="142" w:lineRule="exact"/>
        <w:rPr>
          <w:sz w:val="20"/>
          <w:szCs w:val="20"/>
          <w:color w:val="auto"/>
        </w:rPr>
      </w:pPr>
    </w:p>
    <w:p>
      <w:pPr>
        <w:ind w:left="1580" w:right="1760"/>
        <w:spacing w:after="0" w:line="231" w:lineRule="auto"/>
        <w:rPr>
          <w:sz w:val="20"/>
          <w:szCs w:val="20"/>
          <w:color w:val="auto"/>
        </w:rPr>
      </w:pPr>
      <w:r>
        <w:rPr>
          <w:rFonts w:ascii="Arial" w:cs="Arial" w:eastAsia="Arial" w:hAnsi="Arial"/>
          <w:sz w:val="15"/>
          <w:szCs w:val="15"/>
          <w:color w:val="231F20"/>
        </w:rPr>
        <w:t>The 2019 stock options all have an exercise price of $372.46 per share, the average of the high and low sales price per share of our common stock as quoted on the NASDAQ Global Select Market on the date of grant. All of these grants consist of non-qualified stock options, which vest ratably over a period of four years. Except as set forth below in the subsection “Compensation Dashboard—2019 Compensation Tables—Post-Employment Compensation,” stock option vesting ceases, and unvested stock options are forfeited, upon termination of employment.</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Annual PSUs</w:t>
      </w:r>
    </w:p>
    <w:p>
      <w:pPr>
        <w:spacing w:after="0" w:line="177" w:lineRule="exact"/>
        <w:rPr>
          <w:sz w:val="20"/>
          <w:szCs w:val="20"/>
          <w:color w:val="auto"/>
        </w:rPr>
      </w:pPr>
    </w:p>
    <w:p>
      <w:pPr>
        <w:ind w:left="1580" w:right="1700"/>
        <w:spacing w:after="0" w:line="233" w:lineRule="auto"/>
        <w:rPr>
          <w:sz w:val="20"/>
          <w:szCs w:val="20"/>
          <w:color w:val="auto"/>
        </w:rPr>
      </w:pPr>
      <w:r>
        <w:rPr>
          <w:rFonts w:ascii="Arial" w:cs="Arial" w:eastAsia="Arial" w:hAnsi="Arial"/>
          <w:sz w:val="15"/>
          <w:szCs w:val="15"/>
          <w:color w:val="231F20"/>
        </w:rPr>
        <w:t>In 2019, we introduced PSUs as a secondary component of the annual equity awards for our CEO and CSO (30% of each such executive’s annual equity award on an options-equivalent basis). The PSUs are performance-based because they will not vest and will not deliver realizable compensation if shareholders fail to benefit from a meaningful increase in TSR over the long-term performance period.</w:t>
      </w:r>
    </w:p>
    <w:p>
      <w:pPr>
        <w:spacing w:after="0" w:line="140" w:lineRule="exact"/>
        <w:rPr>
          <w:sz w:val="20"/>
          <w:szCs w:val="20"/>
          <w:color w:val="auto"/>
        </w:rPr>
      </w:pPr>
    </w:p>
    <w:p>
      <w:pPr>
        <w:ind w:left="1580" w:right="1720"/>
        <w:spacing w:after="0" w:line="233" w:lineRule="auto"/>
        <w:rPr>
          <w:sz w:val="20"/>
          <w:szCs w:val="20"/>
          <w:color w:val="auto"/>
        </w:rPr>
      </w:pPr>
      <w:r>
        <w:rPr>
          <w:rFonts w:ascii="Arial" w:cs="Arial" w:eastAsia="Arial" w:hAnsi="Arial"/>
          <w:sz w:val="15"/>
          <w:szCs w:val="15"/>
          <w:color w:val="231F20"/>
        </w:rPr>
        <w:t>The PSUs have a primary performance period of five years from the date of grant. Between 50% and 225% of the target number of PSUs granted to each executive (i.e.</w:t>
      </w:r>
      <w:r>
        <w:rPr>
          <w:rFonts w:ascii="Arial" w:cs="Arial" w:eastAsia="Arial" w:hAnsi="Arial"/>
          <w:sz w:val="15"/>
          <w:szCs w:val="15"/>
          <w:i w:val="1"/>
          <w:iCs w:val="1"/>
          <w:color w:val="231F20"/>
        </w:rPr>
        <w:t>,</w:t>
      </w:r>
      <w:r>
        <w:rPr>
          <w:rFonts w:ascii="Arial" w:cs="Arial" w:eastAsia="Arial" w:hAnsi="Arial"/>
          <w:sz w:val="15"/>
          <w:szCs w:val="15"/>
          <w:color w:val="231F20"/>
        </w:rPr>
        <w:t xml:space="preserve"> between 50% and 225% of 11,180 PSUs) may vest upon achievement of predetermined, cumulative TSR goals that were derived from compound annual growth rates of 5% to 15%, as set forth in the schedule below:</w:t>
      </w:r>
    </w:p>
    <w:p>
      <w:pPr>
        <w:spacing w:after="0" w:line="101" w:lineRule="exact"/>
        <w:rPr>
          <w:sz w:val="20"/>
          <w:szCs w:val="20"/>
          <w:color w:val="auto"/>
        </w:rPr>
      </w:pPr>
    </w:p>
    <w:tbl>
      <w:tblPr>
        <w:tblLayout w:type="fixed"/>
        <w:tblInd w:w="2880" w:type="dxa"/>
        <w:tblCellMar>
          <w:top w:w="0" w:type="dxa"/>
          <w:left w:w="0" w:type="dxa"/>
          <w:bottom w:w="0" w:type="dxa"/>
          <w:right w:w="0" w:type="dxa"/>
        </w:tblCellMar>
      </w:tblPr>
      <w:tr>
        <w:trPr>
          <w:trHeight w:val="218"/>
        </w:trPr>
        <w:tc>
          <w:tcPr>
            <w:tcW w:w="1660" w:type="dxa"/>
            <w:vAlign w:val="bottom"/>
            <w:tcBorders>
              <w:bottom w:val="single" w:sz="8" w:color="2952A4"/>
            </w:tcBorders>
          </w:tcPr>
          <w:p>
            <w:pPr>
              <w:ind w:left="60"/>
              <w:spacing w:after="0"/>
              <w:rPr>
                <w:sz w:val="20"/>
                <w:szCs w:val="20"/>
                <w:color w:val="auto"/>
              </w:rPr>
            </w:pPr>
            <w:r>
              <w:rPr>
                <w:rFonts w:ascii="Arial" w:cs="Arial" w:eastAsia="Arial" w:hAnsi="Arial"/>
                <w:sz w:val="12"/>
                <w:szCs w:val="12"/>
                <w:b w:val="1"/>
                <w:bCs w:val="1"/>
                <w:color w:val="2952A4"/>
              </w:rPr>
              <w:t>Performance Level</w:t>
            </w:r>
          </w:p>
        </w:tc>
        <w:tc>
          <w:tcPr>
            <w:tcW w:w="2660" w:type="dxa"/>
            <w:vAlign w:val="bottom"/>
            <w:tcBorders>
              <w:bottom w:val="single" w:sz="8" w:color="2952A4"/>
            </w:tcBorders>
          </w:tcPr>
          <w:p>
            <w:pPr>
              <w:jc w:val="right"/>
              <w:ind w:right="476"/>
              <w:spacing w:after="0"/>
              <w:rPr>
                <w:sz w:val="20"/>
                <w:szCs w:val="20"/>
                <w:color w:val="auto"/>
              </w:rPr>
            </w:pPr>
            <w:r>
              <w:rPr>
                <w:rFonts w:ascii="Arial" w:cs="Arial" w:eastAsia="Arial" w:hAnsi="Arial"/>
                <w:sz w:val="12"/>
                <w:szCs w:val="12"/>
                <w:b w:val="1"/>
                <w:bCs w:val="1"/>
                <w:color w:val="2952A4"/>
              </w:rPr>
              <w:t>5-year Cumulative TSR Goal</w:t>
            </w:r>
          </w:p>
        </w:tc>
        <w:tc>
          <w:tcPr>
            <w:tcW w:w="1080" w:type="dxa"/>
            <w:vAlign w:val="bottom"/>
            <w:tcBorders>
              <w:bottom w:val="single" w:sz="8" w:color="2952A4"/>
            </w:tcBorders>
          </w:tcPr>
          <w:p>
            <w:pPr>
              <w:jc w:val="right"/>
              <w:ind w:right="36"/>
              <w:spacing w:after="0"/>
              <w:rPr>
                <w:sz w:val="20"/>
                <w:szCs w:val="20"/>
                <w:color w:val="auto"/>
              </w:rPr>
            </w:pPr>
            <w:r>
              <w:rPr>
                <w:rFonts w:ascii="Arial" w:cs="Arial" w:eastAsia="Arial" w:hAnsi="Arial"/>
                <w:sz w:val="12"/>
                <w:szCs w:val="12"/>
                <w:b w:val="1"/>
                <w:bCs w:val="1"/>
                <w:color w:val="2952A4"/>
              </w:rPr>
              <w:t>Payout</w:t>
            </w:r>
            <w:r>
              <w:rPr>
                <w:rFonts w:ascii="Arial" w:cs="Arial" w:eastAsia="Arial" w:hAnsi="Arial"/>
                <w:sz w:val="19"/>
                <w:szCs w:val="19"/>
                <w:b w:val="1"/>
                <w:bCs w:val="1"/>
                <w:color w:val="2952A4"/>
                <w:vertAlign w:val="superscript"/>
              </w:rPr>
              <w:t>1</w:t>
            </w:r>
          </w:p>
        </w:tc>
      </w:tr>
      <w:tr>
        <w:trPr>
          <w:trHeight w:val="142"/>
        </w:trPr>
        <w:tc>
          <w:tcPr>
            <w:tcW w:w="166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231F20"/>
              </w:rPr>
              <w:t>Maximum</w:t>
            </w:r>
          </w:p>
        </w:tc>
        <w:tc>
          <w:tcPr>
            <w:tcW w:w="2660" w:type="dxa"/>
            <w:vAlign w:val="bottom"/>
            <w:tcBorders>
              <w:bottom w:val="single" w:sz="8" w:color="auto"/>
            </w:tcBorders>
            <w:shd w:val="clear" w:color="auto" w:fill="EAEAEC"/>
          </w:tcPr>
          <w:p>
            <w:pPr>
              <w:jc w:val="right"/>
              <w:ind w:right="476"/>
              <w:spacing w:after="0" w:line="142" w:lineRule="exact"/>
              <w:rPr>
                <w:sz w:val="20"/>
                <w:szCs w:val="20"/>
                <w:color w:val="auto"/>
              </w:rPr>
            </w:pPr>
            <w:r>
              <w:rPr>
                <w:rFonts w:ascii="Arial" w:cs="Arial" w:eastAsia="Arial" w:hAnsi="Arial"/>
                <w:sz w:val="13"/>
                <w:szCs w:val="13"/>
                <w:b w:val="1"/>
                <w:bCs w:val="1"/>
                <w:color w:val="231F20"/>
              </w:rPr>
              <w:t>+101%</w:t>
            </w:r>
          </w:p>
        </w:tc>
        <w:tc>
          <w:tcPr>
            <w:tcW w:w="1080" w:type="dxa"/>
            <w:vAlign w:val="bottom"/>
            <w:tcBorders>
              <w:bottom w:val="single" w:sz="8" w:color="auto"/>
            </w:tcBorders>
            <w:shd w:val="clear" w:color="auto" w:fill="EAEAEC"/>
          </w:tcPr>
          <w:p>
            <w:pPr>
              <w:jc w:val="right"/>
              <w:ind w:right="36"/>
              <w:spacing w:after="0" w:line="142" w:lineRule="exact"/>
              <w:rPr>
                <w:sz w:val="20"/>
                <w:szCs w:val="20"/>
                <w:color w:val="auto"/>
              </w:rPr>
            </w:pPr>
            <w:r>
              <w:rPr>
                <w:rFonts w:ascii="Arial" w:cs="Arial" w:eastAsia="Arial" w:hAnsi="Arial"/>
                <w:sz w:val="13"/>
                <w:szCs w:val="13"/>
                <w:b w:val="1"/>
                <w:bCs w:val="1"/>
                <w:color w:val="231F20"/>
              </w:rPr>
              <w:t>225%</w:t>
            </w:r>
          </w:p>
        </w:tc>
      </w:tr>
      <w:tr>
        <w:trPr>
          <w:trHeight w:val="142"/>
        </w:trPr>
        <w:tc>
          <w:tcPr>
            <w:tcW w:w="16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3"/>
                <w:szCs w:val="13"/>
                <w:color w:val="231F20"/>
              </w:rPr>
              <w:t>+93%</w:t>
            </w:r>
          </w:p>
        </w:tc>
        <w:tc>
          <w:tcPr>
            <w:tcW w:w="10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color w:val="231F20"/>
              </w:rPr>
              <w:t>200%</w:t>
            </w:r>
          </w:p>
        </w:tc>
      </w:tr>
      <w:tr>
        <w:trPr>
          <w:trHeight w:val="142"/>
        </w:trPr>
        <w:tc>
          <w:tcPr>
            <w:tcW w:w="16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3"/>
                <w:szCs w:val="13"/>
                <w:color w:val="231F20"/>
              </w:rPr>
              <w:t>+84%</w:t>
            </w:r>
          </w:p>
        </w:tc>
        <w:tc>
          <w:tcPr>
            <w:tcW w:w="10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color w:val="231F20"/>
              </w:rPr>
              <w:t>175%</w:t>
            </w:r>
          </w:p>
        </w:tc>
      </w:tr>
      <w:tr>
        <w:trPr>
          <w:trHeight w:val="142"/>
        </w:trPr>
        <w:tc>
          <w:tcPr>
            <w:tcW w:w="16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3"/>
                <w:szCs w:val="13"/>
                <w:color w:val="231F20"/>
              </w:rPr>
              <w:t>+76%</w:t>
            </w:r>
          </w:p>
        </w:tc>
        <w:tc>
          <w:tcPr>
            <w:tcW w:w="10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color w:val="231F20"/>
              </w:rPr>
              <w:t>150%</w:t>
            </w:r>
          </w:p>
        </w:tc>
      </w:tr>
      <w:tr>
        <w:trPr>
          <w:trHeight w:val="142"/>
        </w:trPr>
        <w:tc>
          <w:tcPr>
            <w:tcW w:w="16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3"/>
                <w:szCs w:val="13"/>
                <w:color w:val="231F20"/>
              </w:rPr>
              <w:t>+69%</w:t>
            </w:r>
          </w:p>
        </w:tc>
        <w:tc>
          <w:tcPr>
            <w:tcW w:w="10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color w:val="231F20"/>
              </w:rPr>
              <w:t>125%</w:t>
            </w:r>
          </w:p>
        </w:tc>
      </w:tr>
      <w:tr>
        <w:trPr>
          <w:trHeight w:val="142"/>
        </w:trPr>
        <w:tc>
          <w:tcPr>
            <w:tcW w:w="1660" w:type="dxa"/>
            <w:vAlign w:val="bottom"/>
            <w:tcBorders>
              <w:bottom w:val="single" w:sz="8" w:color="auto"/>
            </w:tcBorders>
            <w:shd w:val="clear" w:color="auto" w:fill="2952A4"/>
          </w:tcPr>
          <w:p>
            <w:pPr>
              <w:ind w:left="60"/>
              <w:spacing w:after="0" w:line="142" w:lineRule="exact"/>
              <w:rPr>
                <w:sz w:val="20"/>
                <w:szCs w:val="20"/>
                <w:color w:val="auto"/>
              </w:rPr>
            </w:pPr>
            <w:r>
              <w:rPr>
                <w:rFonts w:ascii="Arial" w:cs="Arial" w:eastAsia="Arial" w:hAnsi="Arial"/>
                <w:sz w:val="13"/>
                <w:szCs w:val="13"/>
                <w:b w:val="1"/>
                <w:bCs w:val="1"/>
                <w:color w:val="FFFFFF"/>
              </w:rPr>
              <w:t>Target</w:t>
            </w:r>
          </w:p>
        </w:tc>
        <w:tc>
          <w:tcPr>
            <w:tcW w:w="2660" w:type="dxa"/>
            <w:vAlign w:val="bottom"/>
            <w:tcBorders>
              <w:bottom w:val="single" w:sz="8" w:color="auto"/>
            </w:tcBorders>
            <w:shd w:val="clear" w:color="auto" w:fill="2952A4"/>
          </w:tcPr>
          <w:p>
            <w:pPr>
              <w:jc w:val="right"/>
              <w:ind w:right="476"/>
              <w:spacing w:after="0" w:line="142" w:lineRule="exact"/>
              <w:rPr>
                <w:sz w:val="20"/>
                <w:szCs w:val="20"/>
                <w:color w:val="auto"/>
              </w:rPr>
            </w:pPr>
            <w:r>
              <w:rPr>
                <w:rFonts w:ascii="Arial" w:cs="Arial" w:eastAsia="Arial" w:hAnsi="Arial"/>
                <w:sz w:val="13"/>
                <w:szCs w:val="13"/>
                <w:b w:val="1"/>
                <w:bCs w:val="1"/>
                <w:color w:val="FFFFFF"/>
              </w:rPr>
              <w:t>+61%</w:t>
            </w:r>
          </w:p>
        </w:tc>
        <w:tc>
          <w:tcPr>
            <w:tcW w:w="1080" w:type="dxa"/>
            <w:vAlign w:val="bottom"/>
            <w:tcBorders>
              <w:bottom w:val="single" w:sz="8" w:color="auto"/>
            </w:tcBorders>
            <w:shd w:val="clear" w:color="auto" w:fill="2952A4"/>
          </w:tcPr>
          <w:p>
            <w:pPr>
              <w:jc w:val="right"/>
              <w:ind w:right="36"/>
              <w:spacing w:after="0" w:line="142" w:lineRule="exact"/>
              <w:rPr>
                <w:sz w:val="20"/>
                <w:szCs w:val="20"/>
                <w:color w:val="auto"/>
              </w:rPr>
            </w:pPr>
            <w:r>
              <w:rPr>
                <w:rFonts w:ascii="Arial" w:cs="Arial" w:eastAsia="Arial" w:hAnsi="Arial"/>
                <w:sz w:val="13"/>
                <w:szCs w:val="13"/>
                <w:b w:val="1"/>
                <w:bCs w:val="1"/>
                <w:color w:val="FFFFFF"/>
              </w:rPr>
              <w:t>100%</w:t>
            </w:r>
          </w:p>
        </w:tc>
      </w:tr>
      <w:tr>
        <w:trPr>
          <w:trHeight w:val="142"/>
        </w:trPr>
        <w:tc>
          <w:tcPr>
            <w:tcW w:w="16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3"/>
                <w:szCs w:val="13"/>
                <w:color w:val="231F20"/>
              </w:rPr>
              <w:t>+44%</w:t>
            </w:r>
          </w:p>
        </w:tc>
        <w:tc>
          <w:tcPr>
            <w:tcW w:w="10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color w:val="231F20"/>
              </w:rPr>
              <w:t>75%</w:t>
            </w:r>
          </w:p>
        </w:tc>
      </w:tr>
      <w:tr>
        <w:trPr>
          <w:trHeight w:val="142"/>
        </w:trPr>
        <w:tc>
          <w:tcPr>
            <w:tcW w:w="1660" w:type="dxa"/>
            <w:vAlign w:val="bottom"/>
            <w:tcBorders>
              <w:bottom w:val="single" w:sz="8" w:color="2952A4"/>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231F20"/>
              </w:rPr>
              <w:t>Threshold</w:t>
            </w:r>
          </w:p>
        </w:tc>
        <w:tc>
          <w:tcPr>
            <w:tcW w:w="2660" w:type="dxa"/>
            <w:vAlign w:val="bottom"/>
            <w:tcBorders>
              <w:bottom w:val="single" w:sz="8" w:color="2952A4"/>
            </w:tcBorders>
            <w:shd w:val="clear" w:color="auto" w:fill="EAEAEC"/>
          </w:tcPr>
          <w:p>
            <w:pPr>
              <w:jc w:val="right"/>
              <w:ind w:right="476"/>
              <w:spacing w:after="0" w:line="142" w:lineRule="exact"/>
              <w:rPr>
                <w:sz w:val="20"/>
                <w:szCs w:val="20"/>
                <w:color w:val="auto"/>
              </w:rPr>
            </w:pPr>
            <w:r>
              <w:rPr>
                <w:rFonts w:ascii="Arial" w:cs="Arial" w:eastAsia="Arial" w:hAnsi="Arial"/>
                <w:sz w:val="13"/>
                <w:szCs w:val="13"/>
                <w:b w:val="1"/>
                <w:bCs w:val="1"/>
                <w:color w:val="231F20"/>
              </w:rPr>
              <w:t>+28%</w:t>
            </w:r>
          </w:p>
        </w:tc>
        <w:tc>
          <w:tcPr>
            <w:tcW w:w="1080" w:type="dxa"/>
            <w:vAlign w:val="bottom"/>
            <w:tcBorders>
              <w:bottom w:val="single" w:sz="8" w:color="2952A4"/>
            </w:tcBorders>
            <w:shd w:val="clear" w:color="auto" w:fill="EAEAEC"/>
          </w:tcPr>
          <w:p>
            <w:pPr>
              <w:jc w:val="right"/>
              <w:ind w:right="36"/>
              <w:spacing w:after="0" w:line="142" w:lineRule="exact"/>
              <w:rPr>
                <w:sz w:val="20"/>
                <w:szCs w:val="20"/>
                <w:color w:val="auto"/>
              </w:rPr>
            </w:pPr>
            <w:r>
              <w:rPr>
                <w:rFonts w:ascii="Arial" w:cs="Arial" w:eastAsia="Arial" w:hAnsi="Arial"/>
                <w:sz w:val="13"/>
                <w:szCs w:val="13"/>
                <w:b w:val="1"/>
                <w:bCs w:val="1"/>
                <w:color w:val="231F20"/>
              </w:rPr>
              <w:t>50%</w:t>
            </w:r>
          </w:p>
        </w:tc>
      </w:tr>
    </w:tbl>
    <w:p>
      <w:pPr>
        <w:spacing w:after="0" w:line="86" w:lineRule="exact"/>
        <w:rPr>
          <w:sz w:val="20"/>
          <w:szCs w:val="20"/>
          <w:color w:val="auto"/>
        </w:rPr>
      </w:pPr>
    </w:p>
    <w:p>
      <w:pPr>
        <w:ind w:left="3060" w:right="2980" w:hanging="181"/>
        <w:spacing w:after="0" w:line="258" w:lineRule="auto"/>
        <w:tabs>
          <w:tab w:leader="none" w:pos="3060" w:val="left"/>
        </w:tabs>
        <w:numPr>
          <w:ilvl w:val="0"/>
          <w:numId w:val="159"/>
        </w:numPr>
        <w:rPr>
          <w:rFonts w:ascii="Arial" w:cs="Arial" w:eastAsia="Arial" w:hAnsi="Arial"/>
          <w:sz w:val="14"/>
          <w:szCs w:val="14"/>
          <w:b w:val="1"/>
          <w:bCs w:val="1"/>
          <w:color w:val="2952A4"/>
        </w:rPr>
      </w:pPr>
      <w:r>
        <w:rPr>
          <w:rFonts w:ascii="Arial" w:cs="Arial" w:eastAsia="Arial" w:hAnsi="Arial"/>
          <w:sz w:val="14"/>
          <w:szCs w:val="14"/>
          <w:color w:val="231F20"/>
        </w:rPr>
        <w:t>Payouts are expressed as a percentage of the target number of PSUs awarded to each executive.</w:t>
      </w:r>
    </w:p>
    <w:p>
      <w:pPr>
        <w:spacing w:after="0" w:line="132" w:lineRule="exact"/>
        <w:rPr>
          <w:sz w:val="20"/>
          <w:szCs w:val="20"/>
          <w:color w:val="auto"/>
        </w:rPr>
      </w:pPr>
    </w:p>
    <w:p>
      <w:pPr>
        <w:jc w:val="both"/>
        <w:ind w:left="1580" w:right="1680"/>
        <w:spacing w:after="0" w:line="235" w:lineRule="auto"/>
        <w:rPr>
          <w:sz w:val="20"/>
          <w:szCs w:val="20"/>
          <w:color w:val="auto"/>
        </w:rPr>
      </w:pPr>
      <w:r>
        <w:rPr>
          <w:rFonts w:ascii="Arial" w:cs="Arial" w:eastAsia="Arial" w:hAnsi="Arial"/>
          <w:sz w:val="15"/>
          <w:szCs w:val="15"/>
          <w:color w:val="231F20"/>
        </w:rPr>
        <w:t>In addition, the terms of the PSU awards provide the recipient an opportunity for accelerated vesting after four years if performance is strong, as measured against four-year cumulative TSR goals derived from the same compound annual growth rates used to calculate the cumulative TSR goals for the five-year performance period.</w:t>
      </w:r>
    </w:p>
    <w:p>
      <w:pPr>
        <w:spacing w:after="0" w:line="141" w:lineRule="exact"/>
        <w:rPr>
          <w:sz w:val="20"/>
          <w:szCs w:val="20"/>
          <w:color w:val="auto"/>
        </w:rPr>
      </w:pPr>
    </w:p>
    <w:p>
      <w:pPr>
        <w:ind w:left="1580" w:right="1680"/>
        <w:spacing w:after="0" w:line="229" w:lineRule="auto"/>
        <w:rPr>
          <w:sz w:val="20"/>
          <w:szCs w:val="20"/>
          <w:color w:val="auto"/>
        </w:rPr>
      </w:pPr>
      <w:r>
        <w:rPr>
          <w:rFonts w:ascii="Arial" w:cs="Arial" w:eastAsia="Arial" w:hAnsi="Arial"/>
          <w:sz w:val="15"/>
          <w:szCs w:val="15"/>
          <w:color w:val="231F20"/>
        </w:rPr>
        <w:t>If no PSUs have vested at the end of the five-year performance period as a result of not having achieved the threshold cumulative TSR goals, the recipient will have an opportunity to earn a payout at threshold (50% of the target number of PSUs) if the Company’s cumulative TSR over such five-year period exceeds, on a relative basis, the cumulative TSR of the Nasdaq Biotech Index (composite return) by at least 200 basis points. The rationale for the minimum payout for exceeding the industry five-year index is that there may be circumstances in which Regeneron outperforms the broader market without delivering a positive return, such as in the case of a recession or industry-wide developments outside management’s control.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75</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Annual RSAs</w:t>
      </w:r>
    </w:p>
    <w:p>
      <w:pPr>
        <w:spacing w:after="0" w:line="177" w:lineRule="exact"/>
        <w:rPr>
          <w:sz w:val="20"/>
          <w:szCs w:val="20"/>
          <w:color w:val="auto"/>
        </w:rPr>
      </w:pPr>
    </w:p>
    <w:p>
      <w:pPr>
        <w:ind w:left="460" w:right="559"/>
        <w:spacing w:after="0" w:line="229" w:lineRule="auto"/>
        <w:rPr>
          <w:sz w:val="20"/>
          <w:szCs w:val="20"/>
          <w:color w:val="auto"/>
        </w:rPr>
      </w:pPr>
      <w:r>
        <w:rPr>
          <w:rFonts w:ascii="Arial" w:cs="Arial" w:eastAsia="Arial" w:hAnsi="Arial"/>
          <w:sz w:val="15"/>
          <w:szCs w:val="15"/>
          <w:color w:val="231F20"/>
        </w:rPr>
        <w:t>In 2019, we introduced time-based RSAs as a secondary component of the annual equity awards for our NEOs other than our CEO and CSO as part of the Company-wide decision to introduce an RSA/RSU component to the regular long-term incentive mix for broad-based employees. RSAs comprise 30% of participating NEOs awards on an options-equivalent basis. We believe diversifying the mix of equity awards in this manner responds to shareholder feedback about dilution (burn rate) and retention, as well as employee input. Each such RSA vests 50% on the second anniversary of the date of grant and 50% on the fourth anniversary of the date of grant, which is a more backloaded vesting schedule than is typical in the industry.</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Special RSAs to Certain NEOs</w:t>
      </w:r>
    </w:p>
    <w:p>
      <w:pPr>
        <w:spacing w:after="0" w:line="177" w:lineRule="exact"/>
        <w:rPr>
          <w:sz w:val="20"/>
          <w:szCs w:val="20"/>
          <w:color w:val="auto"/>
        </w:rPr>
      </w:pPr>
    </w:p>
    <w:p>
      <w:pPr>
        <w:ind w:left="460" w:right="699"/>
        <w:spacing w:after="0" w:line="231" w:lineRule="auto"/>
        <w:rPr>
          <w:sz w:val="20"/>
          <w:szCs w:val="20"/>
          <w:color w:val="auto"/>
        </w:rPr>
      </w:pPr>
      <w:r>
        <w:rPr>
          <w:rFonts w:ascii="Arial" w:cs="Arial" w:eastAsia="Arial" w:hAnsi="Arial"/>
          <w:sz w:val="15"/>
          <w:szCs w:val="15"/>
          <w:color w:val="231F20"/>
        </w:rPr>
        <w:t>We supplemented our annual equity awards in 2019 with highly targeted grants of time-based RSAs/RSUs to certain key employees (including three of our NEOs) to further promote employee retention and reward exceptional performance. Based on this determination, in December 2019 Mr. Landry and Mr. Van Plew each received 5,000 RSAs and Dr. Murphy received 10,000 RSAs. Each such RSA vests on the fourth anniversary of the date of grant to promote long-term employment.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460" w:right="679"/>
        <w:spacing w:after="0" w:line="231" w:lineRule="auto"/>
        <w:rPr>
          <w:sz w:val="20"/>
          <w:szCs w:val="20"/>
          <w:color w:val="auto"/>
        </w:rPr>
      </w:pPr>
      <w:r>
        <w:rPr>
          <w:rFonts w:ascii="Arial" w:cs="Arial" w:eastAsia="Arial" w:hAnsi="Arial"/>
          <w:sz w:val="15"/>
          <w:szCs w:val="15"/>
          <w:color w:val="231F20"/>
        </w:rPr>
        <w:t>Similar to other employees, our NEOs may participate in Company-wide health, disability, life insurance, and other benefit plans, as well as our 401(k) Savings Plan. See details concerning the 401(k) Savings Plan in the subsection “Compensation Dashboard—Additional Compensation Information—Perquisites and Personal Benefits.” Our NEOs are eligible to receive a limited number of additional perquisites. These include financial and tax planning assistance, which are taxable benefits.</w:t>
      </w:r>
    </w:p>
    <w:p>
      <w:pPr>
        <w:spacing w:after="0" w:line="142" w:lineRule="exact"/>
        <w:rPr>
          <w:sz w:val="20"/>
          <w:szCs w:val="20"/>
          <w:color w:val="auto"/>
        </w:rPr>
      </w:pPr>
    </w:p>
    <w:p>
      <w:pPr>
        <w:ind w:left="460" w:right="599"/>
        <w:spacing w:after="0" w:line="235" w:lineRule="auto"/>
        <w:rPr>
          <w:sz w:val="20"/>
          <w:szCs w:val="20"/>
          <w:color w:val="auto"/>
        </w:rPr>
      </w:pPr>
      <w:r>
        <w:rPr>
          <w:rFonts w:ascii="Arial" w:cs="Arial" w:eastAsia="Arial" w:hAnsi="Arial"/>
          <w:sz w:val="15"/>
          <w:szCs w:val="15"/>
          <w:color w:val="231F20"/>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spacing w:after="0" w:line="141" w:lineRule="exact"/>
        <w:rPr>
          <w:sz w:val="20"/>
          <w:szCs w:val="20"/>
          <w:color w:val="auto"/>
        </w:rPr>
      </w:pPr>
    </w:p>
    <w:p>
      <w:pPr>
        <w:ind w:left="460" w:right="699"/>
        <w:spacing w:after="0" w:line="231" w:lineRule="auto"/>
        <w:rPr>
          <w:sz w:val="20"/>
          <w:szCs w:val="20"/>
          <w:color w:val="auto"/>
        </w:rPr>
      </w:pPr>
      <w:r>
        <w:rPr>
          <w:rFonts w:ascii="Arial" w:cs="Arial" w:eastAsia="Arial" w:hAnsi="Arial"/>
          <w:sz w:val="15"/>
          <w:szCs w:val="15"/>
          <w:color w:val="231F20"/>
        </w:rPr>
        <w:t>Our CEO and CSO are also eligible for various benefits under our Company security policy, which was approved by the board of directors in 2015 for the purpose of ensuring increased efficiencies and providing a more secure environment for these executives. Based on the recommendation of an independent, third-party security study, our security policy and related guidelines require our CEO and CSO (as well as their spouses and children when they accompany them) to use, as much as practicable, Company-provided aircraft for all business and personal air travel.</w:t>
      </w:r>
    </w:p>
    <w:p>
      <w:pPr>
        <w:spacing w:after="0" w:line="142" w:lineRule="exact"/>
        <w:rPr>
          <w:sz w:val="20"/>
          <w:szCs w:val="20"/>
          <w:color w:val="auto"/>
        </w:rPr>
      </w:pPr>
    </w:p>
    <w:p>
      <w:pPr>
        <w:jc w:val="both"/>
        <w:ind w:left="460" w:right="719"/>
        <w:spacing w:after="0" w:line="235" w:lineRule="auto"/>
        <w:rPr>
          <w:sz w:val="20"/>
          <w:szCs w:val="20"/>
          <w:color w:val="auto"/>
        </w:rPr>
      </w:pPr>
      <w:r>
        <w:rPr>
          <w:rFonts w:ascii="Arial" w:cs="Arial" w:eastAsia="Arial" w:hAnsi="Arial"/>
          <w:sz w:val="15"/>
          <w:szCs w:val="15"/>
          <w:color w:val="231F20"/>
        </w:rPr>
        <w:t>Additional information regarding perquisites and other personal benefits provided to our NEOs in, or with respect to, 2019 is given in the applicable footnotes to the Summary Compensation Table and in the subsection “Compensation Dashboard—Additional Compensation Information—Perquisites and Personal Benefits.”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We believe the following three points are key to understanding our change-in-control and other severance provisions:</w:t>
      </w:r>
    </w:p>
    <w:p>
      <w:pPr>
        <w:spacing w:after="0" w:line="152" w:lineRule="exact"/>
        <w:rPr>
          <w:sz w:val="20"/>
          <w:szCs w:val="20"/>
          <w:color w:val="auto"/>
        </w:rPr>
      </w:pPr>
    </w:p>
    <w:p>
      <w:pPr>
        <w:ind w:left="720" w:right="519" w:hanging="266"/>
        <w:spacing w:after="0" w:line="231" w:lineRule="auto"/>
        <w:tabs>
          <w:tab w:leader="none" w:pos="720" w:val="left"/>
        </w:tabs>
        <w:numPr>
          <w:ilvl w:val="0"/>
          <w:numId w:val="160"/>
        </w:numPr>
        <w:rPr>
          <w:rFonts w:ascii="Arial" w:cs="Arial" w:eastAsia="Arial" w:hAnsi="Arial"/>
          <w:sz w:val="15"/>
          <w:szCs w:val="15"/>
          <w:color w:val="2952A4"/>
        </w:rPr>
      </w:pPr>
      <w:r>
        <w:rPr>
          <w:rFonts w:ascii="Arial" w:cs="Arial" w:eastAsia="Arial" w:hAnsi="Arial"/>
          <w:sz w:val="15"/>
          <w:szCs w:val="15"/>
          <w:color w:val="231F20"/>
        </w:rPr>
        <w:t>Outstanding equity award agreements (with the exceptions and qualifications described in the subsection “Compensation Dashboard—Additional Compensation Information—Potential Severance Payments”) for all employees other than Dr. Vagelos include a governance best-practice “</w:t>
      </w:r>
      <w:r>
        <w:rPr>
          <w:rFonts w:ascii="Arial" w:cs="Arial" w:eastAsia="Arial" w:hAnsi="Arial"/>
          <w:sz w:val="15"/>
          <w:szCs w:val="15"/>
          <w:b w:val="1"/>
          <w:bCs w:val="1"/>
          <w:color w:val="231F20"/>
        </w:rPr>
        <w:t>double trigger</w:t>
      </w:r>
      <w:r>
        <w:rPr>
          <w:rFonts w:ascii="Arial" w:cs="Arial" w:eastAsia="Arial" w:hAnsi="Arial"/>
          <w:sz w:val="15"/>
          <w:szCs w:val="15"/>
          <w:color w:val="231F20"/>
        </w:rPr>
        <w:t>” provision for the acceleration of vesting of awards granted thereunder only upon a without-cause termination by the Company within two years of a change in control.</w:t>
      </w:r>
    </w:p>
    <w:p>
      <w:pPr>
        <w:spacing w:after="0" w:line="123" w:lineRule="exact"/>
        <w:rPr>
          <w:rFonts w:ascii="Arial" w:cs="Arial" w:eastAsia="Arial" w:hAnsi="Arial"/>
          <w:sz w:val="15"/>
          <w:szCs w:val="15"/>
          <w:color w:val="2952A4"/>
        </w:rPr>
      </w:pPr>
    </w:p>
    <w:p>
      <w:pPr>
        <w:ind w:left="720" w:right="519" w:hanging="266"/>
        <w:spacing w:after="0" w:line="246" w:lineRule="auto"/>
        <w:tabs>
          <w:tab w:leader="none" w:pos="720" w:val="left"/>
        </w:tabs>
        <w:numPr>
          <w:ilvl w:val="0"/>
          <w:numId w:val="160"/>
        </w:numPr>
        <w:rPr>
          <w:rFonts w:ascii="Arial" w:cs="Arial" w:eastAsia="Arial" w:hAnsi="Arial"/>
          <w:sz w:val="15"/>
          <w:szCs w:val="15"/>
          <w:color w:val="2952A4"/>
        </w:rPr>
      </w:pPr>
      <w:r>
        <w:rPr>
          <w:rFonts w:ascii="Arial" w:cs="Arial" w:eastAsia="Arial" w:hAnsi="Arial"/>
          <w:sz w:val="15"/>
          <w:szCs w:val="15"/>
          <w:color w:val="231F20"/>
        </w:rPr>
        <w:t xml:space="preserve">We have a </w:t>
      </w:r>
      <w:r>
        <w:rPr>
          <w:rFonts w:ascii="Arial" w:cs="Arial" w:eastAsia="Arial" w:hAnsi="Arial"/>
          <w:sz w:val="15"/>
          <w:szCs w:val="15"/>
          <w:b w:val="1"/>
          <w:bCs w:val="1"/>
          <w:color w:val="231F20"/>
        </w:rPr>
        <w:t>policy against excise tax gross-up provisions</w:t>
      </w:r>
      <w:r>
        <w:rPr>
          <w:rFonts w:ascii="Arial" w:cs="Arial" w:eastAsia="Arial" w:hAnsi="Arial"/>
          <w:sz w:val="15"/>
          <w:szCs w:val="15"/>
          <w:color w:val="231F20"/>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117" w:lineRule="exact"/>
        <w:rPr>
          <w:rFonts w:ascii="Arial" w:cs="Arial" w:eastAsia="Arial" w:hAnsi="Arial"/>
          <w:sz w:val="15"/>
          <w:szCs w:val="15"/>
          <w:color w:val="2952A4"/>
        </w:rPr>
      </w:pPr>
    </w:p>
    <w:p>
      <w:pPr>
        <w:ind w:left="720" w:right="739" w:hanging="266"/>
        <w:spacing w:after="0" w:line="267" w:lineRule="auto"/>
        <w:tabs>
          <w:tab w:leader="none" w:pos="720" w:val="left"/>
        </w:tabs>
        <w:numPr>
          <w:ilvl w:val="0"/>
          <w:numId w:val="160"/>
        </w:numPr>
        <w:rPr>
          <w:rFonts w:ascii="Arial" w:cs="Arial" w:eastAsia="Arial" w:hAnsi="Arial"/>
          <w:sz w:val="15"/>
          <w:szCs w:val="15"/>
          <w:color w:val="2952A4"/>
        </w:rPr>
      </w:pPr>
      <w:r>
        <w:rPr>
          <w:rFonts w:ascii="Arial" w:cs="Arial" w:eastAsia="Arial" w:hAnsi="Arial"/>
          <w:sz w:val="15"/>
          <w:szCs w:val="15"/>
          <w:color w:val="231F20"/>
        </w:rPr>
        <w:t xml:space="preserve">Regeneron has </w:t>
      </w:r>
      <w:r>
        <w:rPr>
          <w:rFonts w:ascii="Arial" w:cs="Arial" w:eastAsia="Arial" w:hAnsi="Arial"/>
          <w:sz w:val="15"/>
          <w:szCs w:val="15"/>
          <w:b w:val="1"/>
          <w:bCs w:val="1"/>
          <w:color w:val="231F20"/>
        </w:rPr>
        <w:t>no pension, deferred compensation, or retirement plans</w:t>
      </w:r>
      <w:r>
        <w:rPr>
          <w:rFonts w:ascii="Arial" w:cs="Arial" w:eastAsia="Arial" w:hAnsi="Arial"/>
          <w:sz w:val="15"/>
          <w:szCs w:val="15"/>
          <w:color w:val="231F20"/>
        </w:rPr>
        <w:t xml:space="preserve"> other than our 401(k) Savings Plan described above.</w:t>
      </w:r>
    </w:p>
    <w:p>
      <w:pPr>
        <w:spacing w:after="0" w:line="120" w:lineRule="exact"/>
        <w:rPr>
          <w:sz w:val="20"/>
          <w:szCs w:val="20"/>
          <w:color w:val="auto"/>
        </w:rPr>
      </w:pPr>
    </w:p>
    <w:p>
      <w:pPr>
        <w:ind w:left="460" w:right="1119"/>
        <w:spacing w:after="0" w:line="242" w:lineRule="auto"/>
        <w:rPr>
          <w:sz w:val="20"/>
          <w:szCs w:val="20"/>
          <w:color w:val="auto"/>
        </w:rPr>
      </w:pPr>
      <w:r>
        <w:rPr>
          <w:rFonts w:ascii="Arial" w:cs="Arial" w:eastAsia="Arial" w:hAnsi="Arial"/>
          <w:sz w:val="15"/>
          <w:szCs w:val="15"/>
          <w:color w:val="231F20"/>
        </w:rPr>
        <w:t>For additional details, see the subsection “Compensation Dashboard—Additional Compensation Information— Potential Severance Payments.”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76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88" w:name="page89"/>
    <w:bookmarkEnd w:id="88"/>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60" w:lineRule="exact"/>
        <w:rPr>
          <w:sz w:val="20"/>
          <w:szCs w:val="20"/>
          <w:color w:val="auto"/>
        </w:rPr>
      </w:pPr>
    </w:p>
    <w:p>
      <w:pPr>
        <w:ind w:left="1580" w:right="3380"/>
        <w:spacing w:after="0" w:line="278" w:lineRule="auto"/>
        <w:rPr>
          <w:sz w:val="20"/>
          <w:szCs w:val="20"/>
          <w:color w:val="auto"/>
        </w:rPr>
      </w:pPr>
      <w:r>
        <w:rPr>
          <w:rFonts w:ascii="Arial" w:cs="Arial" w:eastAsia="Arial" w:hAnsi="Arial"/>
          <w:sz w:val="58"/>
          <w:szCs w:val="58"/>
          <w:b w:val="1"/>
          <w:bCs w:val="1"/>
          <w:color w:val="2952A4"/>
        </w:rPr>
        <w:t>OUR COMPENSATION PROCESSES</w:t>
      </w:r>
    </w:p>
    <w:p>
      <w:pPr>
        <w:ind w:left="1580"/>
        <w:spacing w:after="0"/>
        <w:rPr>
          <w:sz w:val="20"/>
          <w:szCs w:val="20"/>
          <w:color w:val="auto"/>
        </w:rPr>
      </w:pPr>
      <w:r>
        <w:rPr>
          <w:rFonts w:ascii="Arial" w:cs="Arial" w:eastAsia="Arial" w:hAnsi="Arial"/>
          <w:sz w:val="29"/>
          <w:szCs w:val="29"/>
          <w:b w:val="1"/>
          <w:bCs w:val="1"/>
          <w:color w:val="C04C57"/>
        </w:rPr>
        <w:t>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right="1660"/>
        <w:spacing w:after="0" w:line="230" w:lineRule="auto"/>
        <w:rPr>
          <w:sz w:val="20"/>
          <w:szCs w:val="20"/>
          <w:color w:val="auto"/>
        </w:rPr>
      </w:pPr>
      <w:r>
        <w:rPr>
          <w:rFonts w:ascii="Arial" w:cs="Arial" w:eastAsia="Arial" w:hAnsi="Arial"/>
          <w:sz w:val="15"/>
          <w:szCs w:val="15"/>
          <w:color w:val="231F20"/>
        </w:rPr>
        <w:t xml:space="preserve">The Compensation Committee is responsible for overseeing the Company’s general compensation objectives and programs. The Compensation Committee evaluates the performance of our NEOs and approves their compensation— 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5"/>
          <w:szCs w:val="15"/>
          <w:b w:val="1"/>
          <w:bCs w:val="1"/>
          <w:color w:val="231F20"/>
        </w:rPr>
        <w:t xml:space="preserve">www.regeneron.com </w:t>
      </w:r>
      <w:r>
        <w:rPr>
          <w:rFonts w:ascii="Arial" w:cs="Arial" w:eastAsia="Arial" w:hAnsi="Arial"/>
          <w:sz w:val="15"/>
          <w:szCs w:val="15"/>
          <w:color w:val="231F20"/>
        </w:rPr>
        <w:t>under the “Corporate Governance” heading on the “Investors &amp; Media” page.</w:t>
      </w:r>
    </w:p>
    <w:p>
      <w:pPr>
        <w:spacing w:after="0" w:line="142" w:lineRule="exact"/>
        <w:rPr>
          <w:sz w:val="20"/>
          <w:szCs w:val="20"/>
          <w:color w:val="auto"/>
        </w:rPr>
      </w:pPr>
    </w:p>
    <w:p>
      <w:pPr>
        <w:ind w:left="1580" w:right="1660"/>
        <w:spacing w:after="0" w:line="229" w:lineRule="auto"/>
        <w:rPr>
          <w:sz w:val="20"/>
          <w:szCs w:val="20"/>
          <w:color w:val="auto"/>
        </w:rPr>
      </w:pPr>
      <w:r>
        <w:rPr>
          <w:rFonts w:ascii="Arial" w:cs="Arial" w:eastAsia="Arial" w:hAnsi="Arial"/>
          <w:sz w:val="15"/>
          <w:szCs w:val="15"/>
          <w:color w:val="231F20"/>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non-employee directors and the Chairman of the Board are also involved in reviewing the Company’s performance for purposes of setting the annual cash incentive.</w:t>
      </w:r>
    </w:p>
    <w:p>
      <w:pPr>
        <w:spacing w:after="0" w:line="144" w:lineRule="exact"/>
        <w:rPr>
          <w:sz w:val="20"/>
          <w:szCs w:val="20"/>
          <w:color w:val="auto"/>
        </w:rPr>
      </w:pPr>
    </w:p>
    <w:p>
      <w:pPr>
        <w:ind w:left="1580" w:right="1740"/>
        <w:spacing w:after="0" w:line="233" w:lineRule="auto"/>
        <w:rPr>
          <w:sz w:val="20"/>
          <w:szCs w:val="20"/>
          <w:color w:val="auto"/>
        </w:rPr>
      </w:pPr>
      <w:r>
        <w:rPr>
          <w:rFonts w:ascii="Arial" w:cs="Arial" w:eastAsia="Arial" w:hAnsi="Arial"/>
          <w:sz w:val="15"/>
          <w:szCs w:val="15"/>
          <w:color w:val="231F20"/>
        </w:rPr>
        <w:t>We make our annual equity awards on a regular, pre-set schedule. The meetings at which such grants are approved are generally scheduled well in advance of the grant date, without regard to the timing of earnings or other major announcements. We generally grant annual equity awards to eligible employees whose performance is determined to merit an annual grant, including the NEOs, at a meeting held during December.</w:t>
      </w:r>
    </w:p>
    <w:p>
      <w:pPr>
        <w:spacing w:after="0" w:line="140" w:lineRule="exact"/>
        <w:rPr>
          <w:sz w:val="20"/>
          <w:szCs w:val="20"/>
          <w:color w:val="auto"/>
        </w:rPr>
      </w:pPr>
    </w:p>
    <w:p>
      <w:pPr>
        <w:ind w:left="1580" w:right="1680"/>
        <w:spacing w:after="0" w:line="231" w:lineRule="auto"/>
        <w:rPr>
          <w:sz w:val="20"/>
          <w:szCs w:val="20"/>
          <w:color w:val="auto"/>
        </w:rPr>
      </w:pPr>
      <w:r>
        <w:rPr>
          <w:rFonts w:ascii="Arial" w:cs="Arial" w:eastAsia="Arial" w:hAnsi="Arial"/>
          <w:sz w:val="15"/>
          <w:szCs w:val="15"/>
          <w:color w:val="231F20"/>
        </w:rPr>
        <w:t>Pursuant to the terms of the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142" w:lineRule="exact"/>
        <w:rPr>
          <w:sz w:val="20"/>
          <w:szCs w:val="20"/>
          <w:color w:val="auto"/>
        </w:rPr>
      </w:pPr>
    </w:p>
    <w:p>
      <w:pPr>
        <w:ind w:left="1580" w:right="1820"/>
        <w:spacing w:after="0" w:line="242" w:lineRule="auto"/>
        <w:rPr>
          <w:sz w:val="20"/>
          <w:szCs w:val="20"/>
          <w:color w:val="auto"/>
        </w:rPr>
      </w:pPr>
      <w:r>
        <w:rPr>
          <w:rFonts w:ascii="Arial" w:cs="Arial" w:eastAsia="Arial" w:hAnsi="Arial"/>
          <w:sz w:val="15"/>
          <w:szCs w:val="15"/>
          <w:color w:val="231F20"/>
        </w:rPr>
        <w:t>We periodically evaluate the personal benefits and perquisites afforded to our NEOs. The Compensation Committee also regularly meets in executive session to discuss any of the matters that fall within its responsibilities.</w:t>
      </w:r>
    </w:p>
    <w:p>
      <w:pPr>
        <w:spacing w:after="0" w:line="101"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right="1720"/>
        <w:spacing w:after="0" w:line="229" w:lineRule="auto"/>
        <w:rPr>
          <w:sz w:val="20"/>
          <w:szCs w:val="20"/>
          <w:color w:val="auto"/>
        </w:rPr>
      </w:pPr>
      <w:r>
        <w:rPr>
          <w:rFonts w:ascii="Arial" w:cs="Arial" w:eastAsia="Arial" w:hAnsi="Arial"/>
          <w:sz w:val="15"/>
          <w:szCs w:val="15"/>
          <w:color w:val="231F20"/>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For our NEOs (other than our CEO), recommendations to the Compensation Committee regarding their compensation are made by, or with the approval of, our CEO, who also evaluates their performance. Our CEO’s performance is evaluated directly by the Compensation Committee based on the Company’s overall corporate performance against annual goals that are approved by the board of directors at the beginning of each year, as discussed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77</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89" w:name="page90"/>
    <w:bookmarkEnd w:id="89"/>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04C57"/>
        </w:rPr>
        <w:t>SHAREHOLDER INPUT AND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27940</wp:posOffset>
            </wp:positionV>
            <wp:extent cx="50831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460" w:right="779"/>
        <w:spacing w:after="0" w:line="230" w:lineRule="auto"/>
        <w:rPr>
          <w:sz w:val="20"/>
          <w:szCs w:val="20"/>
          <w:color w:val="auto"/>
        </w:rPr>
      </w:pPr>
      <w:r>
        <w:rPr>
          <w:rFonts w:ascii="Arial" w:cs="Arial" w:eastAsia="Arial" w:hAnsi="Arial"/>
          <w:sz w:val="15"/>
          <w:szCs w:val="15"/>
          <w:color w:val="231F20"/>
        </w:rPr>
        <w:t>We believe in casting a broad net for information, and think it is very important to reach out to our shareholders for ideas, input, and direct feedback. We do this formally through our triennial say-on-pay votes, as well as through discussions with our shareholders both in connection with our annual shareholder meetings and in the “off-season,” where we discuss compensation, governance, and other issues of importance and interest to our shareholders. In addition, on a more informal basis, we engage with our shareholders through regular investor relations channels, governance engagements, industry conferences, and informal exchanges in other settings.</w:t>
      </w:r>
    </w:p>
    <w:p>
      <w:pPr>
        <w:spacing w:after="0" w:line="124" w:lineRule="exact"/>
        <w:rPr>
          <w:sz w:val="20"/>
          <w:szCs w:val="20"/>
          <w:color w:val="auto"/>
        </w:rPr>
      </w:pPr>
    </w:p>
    <w:p>
      <w:pPr>
        <w:ind w:left="460" w:right="639"/>
        <w:spacing w:after="0" w:line="231" w:lineRule="auto"/>
        <w:rPr>
          <w:sz w:val="20"/>
          <w:szCs w:val="20"/>
          <w:color w:val="auto"/>
        </w:rPr>
      </w:pPr>
      <w:r>
        <w:rPr>
          <w:rFonts w:ascii="Arial" w:cs="Arial" w:eastAsia="Arial" w:hAnsi="Arial"/>
          <w:sz w:val="15"/>
          <w:szCs w:val="15"/>
          <w:b w:val="1"/>
          <w:bCs w:val="1"/>
          <w:color w:val="C04C57"/>
        </w:rPr>
        <w:t xml:space="preserve">Say-on-pay vote. </w:t>
      </w:r>
      <w:r>
        <w:rPr>
          <w:rFonts w:ascii="Arial" w:cs="Arial" w:eastAsia="Arial" w:hAnsi="Arial"/>
          <w:sz w:val="15"/>
          <w:szCs w:val="15"/>
          <w:color w:val="231F20"/>
        </w:rPr>
        <w:t>Our shareholders are provided with an opportunity to cast a non-binding, advisory vote every three</w:t>
      </w:r>
      <w:r>
        <w:rPr>
          <w:rFonts w:ascii="Arial" w:cs="Arial" w:eastAsia="Arial" w:hAnsi="Arial"/>
          <w:sz w:val="15"/>
          <w:szCs w:val="15"/>
          <w:b w:val="1"/>
          <w:bCs w:val="1"/>
          <w:color w:val="C04C57"/>
        </w:rPr>
        <w:t xml:space="preserve"> </w:t>
      </w:r>
      <w:r>
        <w:rPr>
          <w:rFonts w:ascii="Arial" w:cs="Arial" w:eastAsia="Arial" w:hAnsi="Arial"/>
          <w:sz w:val="15"/>
          <w:szCs w:val="15"/>
          <w:color w:val="231F20"/>
        </w:rPr>
        <w:t>years on our executive compensation program. You will have that opportunity again at the 2020 annual shareholder meeting. Our most recent advisory say-on-pay vote was held at our 2017 annual shareholder meeting, at which this advisory proposal was approved by 67% of the votes cast. As has been the case with previous say-on-pay votes, management and the Compensation Committee carefully considered the result of this say-on-pay vote and subsequently solicited further feedback from our key shareholders on compensation and governance matters. In the last several years, following our two most recent advisory say-on-pay votes, we implemented several changes to our executive compensation program and continued the implementation of our existing compensation and governance initiatives. These and other recent changes are summarized in the table below following the description of our shareholder outreach.</w:t>
      </w:r>
    </w:p>
    <w:p>
      <w:pPr>
        <w:spacing w:after="0" w:line="122" w:lineRule="exact"/>
        <w:rPr>
          <w:sz w:val="20"/>
          <w:szCs w:val="20"/>
          <w:color w:val="auto"/>
        </w:rPr>
      </w:pPr>
    </w:p>
    <w:p>
      <w:pPr>
        <w:ind w:left="460" w:right="599"/>
        <w:spacing w:after="0" w:line="236" w:lineRule="auto"/>
        <w:rPr>
          <w:sz w:val="20"/>
          <w:szCs w:val="20"/>
          <w:color w:val="auto"/>
        </w:rPr>
      </w:pPr>
      <w:r>
        <w:rPr>
          <w:rFonts w:ascii="Arial" w:cs="Arial" w:eastAsia="Arial" w:hAnsi="Arial"/>
          <w:sz w:val="15"/>
          <w:szCs w:val="15"/>
          <w:b w:val="1"/>
          <w:bCs w:val="1"/>
          <w:color w:val="C04C57"/>
        </w:rPr>
        <w:t xml:space="preserve">Shareholder outreach. </w:t>
      </w:r>
      <w:r>
        <w:rPr>
          <w:rFonts w:ascii="Arial" w:cs="Arial" w:eastAsia="Arial" w:hAnsi="Arial"/>
          <w:sz w:val="15"/>
          <w:szCs w:val="15"/>
          <w:color w:val="231F20"/>
        </w:rPr>
        <w:t>In addition to the more formal input of the say-on-pay vote discussed above, we maintain a</w:t>
      </w:r>
      <w:r>
        <w:rPr>
          <w:rFonts w:ascii="Arial" w:cs="Arial" w:eastAsia="Arial" w:hAnsi="Arial"/>
          <w:sz w:val="15"/>
          <w:szCs w:val="15"/>
          <w:b w:val="1"/>
          <w:bCs w:val="1"/>
          <w:color w:val="C04C57"/>
        </w:rPr>
        <w:t xml:space="preserve"> </w:t>
      </w:r>
      <w:r>
        <w:rPr>
          <w:rFonts w:ascii="Arial" w:cs="Arial" w:eastAsia="Arial" w:hAnsi="Arial"/>
          <w:sz w:val="15"/>
          <w:szCs w:val="15"/>
          <w:color w:val="231F20"/>
        </w:rPr>
        <w:t>robust shareholder outreach program (both in connection with our annual shareholder meetings and in the “off-season”) through which we seek input from shareholders and environmental, social, and governance (“ESG”)-focused groups regarding our executive compensation and other governance practices, and implement appropriate changes based on this input.</w:t>
      </w:r>
    </w:p>
    <w:p>
      <w:pPr>
        <w:spacing w:after="0" w:line="142" w:lineRule="exact"/>
        <w:rPr>
          <w:sz w:val="20"/>
          <w:szCs w:val="20"/>
          <w:color w:val="auto"/>
        </w:rPr>
      </w:pPr>
    </w:p>
    <w:p>
      <w:pPr>
        <w:ind w:left="460" w:right="559"/>
        <w:spacing w:after="0" w:line="228" w:lineRule="auto"/>
        <w:rPr>
          <w:sz w:val="20"/>
          <w:szCs w:val="20"/>
          <w:color w:val="auto"/>
        </w:rPr>
      </w:pPr>
      <w:r>
        <w:rPr>
          <w:rFonts w:ascii="Arial" w:cs="Arial" w:eastAsia="Arial" w:hAnsi="Arial"/>
          <w:sz w:val="15"/>
          <w:szCs w:val="15"/>
          <w:color w:val="231F20"/>
        </w:rPr>
        <w:t>Our annual shareholder outreach program is quite extensive – last year we approached shareholders collectively representing nearly 60% of the shares of common stock outstanding as of December 31, 2019 (excluding shares held by our directors and executive officers and Sanofi), which we refer to as “public shareholders”. As part of our outreach, we engaged in direct one-on-one discussions with over 50% of our public shareholders as well as both leading proxy advisory firms. We encourage director participation in our outreach, and our Compensation Committee Chair led many of these discussions.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including the changes discussed below.</w:t>
      </w:r>
    </w:p>
    <w:p>
      <w:pPr>
        <w:spacing w:after="0" w:line="143" w:lineRule="exact"/>
        <w:rPr>
          <w:sz w:val="20"/>
          <w:szCs w:val="20"/>
          <w:color w:val="auto"/>
        </w:rPr>
      </w:pPr>
    </w:p>
    <w:p>
      <w:pPr>
        <w:ind w:left="460" w:right="559"/>
        <w:spacing w:after="0" w:line="229" w:lineRule="auto"/>
        <w:rPr>
          <w:sz w:val="20"/>
          <w:szCs w:val="20"/>
          <w:color w:val="auto"/>
        </w:rPr>
      </w:pPr>
      <w:r>
        <w:rPr>
          <w:rFonts w:ascii="Arial" w:cs="Arial" w:eastAsia="Arial" w:hAnsi="Arial"/>
          <w:sz w:val="15"/>
          <w:szCs w:val="15"/>
          <w:color w:val="231F20"/>
        </w:rPr>
        <w:t>Our 2019 outreach discussions built on an active outreach program in prior years and focused on, among other matters, equity compensation matters, including investor views on performance-based equity, the appropriate scope of equity compensation programs, and acceptable burn rate and dilution. As discussed elsewhere in this CD&amp;A, influenced by shareholder feedback and input from the past several years, in December 2019 we introduced PSUs as a component of the annual equity awards for our CEO and CSO (as well as the Chairman of the Board). This change and other changes we have adopted in recent years while taking into account shareholder feedback, which we believe demonstrate our continued commitment to good governance, are outlined in the table below.</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78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90" w:name="page91"/>
    <w:bookmarkEnd w:id="90"/>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1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C04C57"/>
        </w:rPr>
        <w:t>Recent Changes Adopted Based on Shareholder Feedback</w:t>
      </w:r>
    </w:p>
    <w:p>
      <w:pPr>
        <w:spacing w:after="0" w:line="180"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2020" w:type="dxa"/>
            <w:vAlign w:val="bottom"/>
          </w:tcPr>
          <w:p>
            <w:pPr>
              <w:ind w:left="40"/>
              <w:spacing w:after="0"/>
              <w:rPr>
                <w:sz w:val="20"/>
                <w:szCs w:val="20"/>
                <w:color w:val="auto"/>
              </w:rPr>
            </w:pPr>
            <w:r>
              <w:rPr>
                <w:rFonts w:ascii="Arial" w:cs="Arial" w:eastAsia="Arial" w:hAnsi="Arial"/>
                <w:sz w:val="12"/>
                <w:szCs w:val="12"/>
                <w:b w:val="1"/>
                <w:bCs w:val="1"/>
                <w:color w:val="2952A4"/>
              </w:rPr>
              <w:t>What We Heard</w:t>
            </w:r>
          </w:p>
        </w:tc>
        <w:tc>
          <w:tcPr>
            <w:tcW w:w="4860" w:type="dxa"/>
            <w:vAlign w:val="bottom"/>
            <w:shd w:val="clear" w:color="auto" w:fill="2952A4"/>
          </w:tcPr>
          <w:p>
            <w:pPr>
              <w:ind w:left="60"/>
              <w:spacing w:after="0"/>
              <w:rPr>
                <w:sz w:val="20"/>
                <w:szCs w:val="20"/>
                <w:color w:val="auto"/>
              </w:rPr>
            </w:pPr>
            <w:r>
              <w:rPr>
                <w:rFonts w:ascii="Arial" w:cs="Arial" w:eastAsia="Arial" w:hAnsi="Arial"/>
                <w:sz w:val="12"/>
                <w:szCs w:val="12"/>
                <w:b w:val="1"/>
                <w:bCs w:val="1"/>
                <w:color w:val="FFFFFF"/>
              </w:rPr>
              <w:t>What We Did</w:t>
            </w:r>
          </w:p>
        </w:tc>
        <w:tc>
          <w:tcPr>
            <w:tcW w:w="1220" w:type="dxa"/>
            <w:vAlign w:val="bottom"/>
          </w:tcPr>
          <w:p>
            <w:pPr>
              <w:ind w:left="60"/>
              <w:spacing w:after="0"/>
              <w:rPr>
                <w:sz w:val="20"/>
                <w:szCs w:val="20"/>
                <w:color w:val="auto"/>
              </w:rPr>
            </w:pPr>
            <w:r>
              <w:rPr>
                <w:rFonts w:ascii="Arial" w:cs="Arial" w:eastAsia="Arial" w:hAnsi="Arial"/>
                <w:sz w:val="12"/>
                <w:szCs w:val="12"/>
                <w:b w:val="1"/>
                <w:bCs w:val="1"/>
                <w:color w:val="2952A4"/>
              </w:rPr>
              <w:t>When We Did It</w:t>
            </w:r>
          </w:p>
        </w:tc>
      </w:tr>
      <w:tr>
        <w:trPr>
          <w:trHeight w:val="54"/>
        </w:trPr>
        <w:tc>
          <w:tcPr>
            <w:tcW w:w="2020" w:type="dxa"/>
            <w:vAlign w:val="bottom"/>
            <w:tcBorders>
              <w:bottom w:val="single" w:sz="8" w:color="2952A4"/>
            </w:tcBorders>
          </w:tcPr>
          <w:p>
            <w:pPr>
              <w:spacing w:after="0"/>
              <w:rPr>
                <w:sz w:val="4"/>
                <w:szCs w:val="4"/>
                <w:color w:val="auto"/>
              </w:rPr>
            </w:pPr>
          </w:p>
        </w:tc>
        <w:tc>
          <w:tcPr>
            <w:tcW w:w="4860" w:type="dxa"/>
            <w:vAlign w:val="bottom"/>
            <w:tcBorders>
              <w:bottom w:val="single" w:sz="8" w:color="2952A4"/>
            </w:tcBorders>
            <w:shd w:val="clear" w:color="auto" w:fill="2952A4"/>
          </w:tcPr>
          <w:p>
            <w:pPr>
              <w:spacing w:after="0"/>
              <w:rPr>
                <w:sz w:val="4"/>
                <w:szCs w:val="4"/>
                <w:color w:val="auto"/>
              </w:rPr>
            </w:pPr>
          </w:p>
        </w:tc>
        <w:tc>
          <w:tcPr>
            <w:tcW w:w="1220" w:type="dxa"/>
            <w:vAlign w:val="bottom"/>
            <w:tcBorders>
              <w:bottom w:val="single" w:sz="8" w:color="2952A4"/>
            </w:tcBorders>
          </w:tcPr>
          <w:p>
            <w:pPr>
              <w:spacing w:after="0"/>
              <w:rPr>
                <w:sz w:val="4"/>
                <w:szCs w:val="4"/>
                <w:color w:val="auto"/>
              </w:rPr>
            </w:pPr>
          </w:p>
        </w:tc>
      </w:tr>
    </w:tbl>
    <w:p>
      <w:pPr>
        <w:spacing w:after="0" w:line="41" w:lineRule="exact"/>
        <w:rPr>
          <w:sz w:val="20"/>
          <w:szCs w:val="20"/>
          <w:color w:val="auto"/>
        </w:rPr>
      </w:pPr>
    </w:p>
    <w:p>
      <w:pPr>
        <w:sectPr>
          <w:pgSz w:w="11900" w:h="16838" w:orient="portrait"/>
          <w:cols w:equalWidth="0" w:num="1">
            <w:col w:w="11240"/>
          </w:cols>
          <w:pgMar w:left="320" w:top="405" w:right="339" w:bottom="1440" w:gutter="0" w:footer="0" w:header="0"/>
          <w:type w:val="continuous"/>
        </w:sectPr>
      </w:pPr>
    </w:p>
    <w:p>
      <w:pPr>
        <w:ind w:left="1620"/>
        <w:spacing w:after="0"/>
        <w:rPr>
          <w:sz w:val="20"/>
          <w:szCs w:val="20"/>
          <w:color w:val="auto"/>
        </w:rPr>
      </w:pPr>
      <w:r>
        <w:rPr>
          <w:rFonts w:ascii="Arial" w:cs="Arial" w:eastAsia="Arial" w:hAnsi="Arial"/>
          <w:sz w:val="13"/>
          <w:szCs w:val="13"/>
          <w:b w:val="1"/>
          <w:bCs w:val="1"/>
          <w:color w:val="231F20"/>
        </w:rPr>
        <w:t>Concern about size of NEO</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231F20"/>
        </w:rPr>
        <w:t>equity awards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20"/>
                <w:szCs w:val="20"/>
                <w:color w:val="auto"/>
              </w:rPr>
            </w:pPr>
            <w:r>
              <w:rPr>
                <w:rFonts w:ascii="Arial" w:cs="Arial" w:eastAsia="Arial" w:hAnsi="Arial"/>
                <w:sz w:val="13"/>
                <w:szCs w:val="13"/>
                <w:color w:val="231F20"/>
              </w:rPr>
              <w:t>Implemented seven consecutive reductions in the number of option-equivalent</w:t>
            </w:r>
          </w:p>
        </w:tc>
        <w:tc>
          <w:tcPr>
            <w:tcW w:w="820" w:type="dxa"/>
            <w:vAlign w:val="bottom"/>
          </w:tcPr>
          <w:p>
            <w:pPr>
              <w:ind w:left="180"/>
              <w:spacing w:after="0"/>
              <w:rPr>
                <w:sz w:val="20"/>
                <w:szCs w:val="20"/>
                <w:color w:val="auto"/>
              </w:rPr>
            </w:pPr>
            <w:r>
              <w:rPr>
                <w:rFonts w:ascii="Arial" w:cs="Arial" w:eastAsia="Arial" w:hAnsi="Arial"/>
                <w:sz w:val="13"/>
                <w:szCs w:val="13"/>
                <w:color w:val="231F20"/>
                <w:w w:val="95"/>
              </w:rPr>
              <w:t>2013–2019</w:t>
            </w:r>
          </w:p>
        </w:tc>
      </w:tr>
    </w:tbl>
    <w:p>
      <w:pPr>
        <w:ind w:right="3020"/>
        <w:spacing w:after="0" w:line="248" w:lineRule="auto"/>
        <w:rPr>
          <w:sz w:val="20"/>
          <w:szCs w:val="20"/>
          <w:color w:val="auto"/>
        </w:rPr>
      </w:pPr>
      <w:r>
        <w:rPr>
          <w:rFonts w:ascii="Arial" w:cs="Arial" w:eastAsia="Arial" w:hAnsi="Arial"/>
          <w:sz w:val="13"/>
          <w:szCs w:val="13"/>
          <w:color w:val="231F20"/>
        </w:rPr>
        <w:t>shares underlying the annual equity awards to most of our NEOs, regardless of the stock price on the grant date</w:t>
      </w:r>
    </w:p>
    <w:p>
      <w:pPr>
        <w:spacing w:after="0" w:line="19" w:lineRule="exact"/>
        <w:rPr>
          <w:sz w:val="20"/>
          <w:szCs w:val="20"/>
          <w:color w:val="auto"/>
        </w:rPr>
      </w:pPr>
    </w:p>
    <w:p>
      <w:pPr>
        <w:sectPr>
          <w:pgSz w:w="11900" w:h="16838" w:orient="portrait"/>
          <w:cols w:equalWidth="0" w:num="2">
            <w:col w:w="3300" w:space="360"/>
            <w:col w:w="758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2020" w:type="dxa"/>
            <w:vAlign w:val="bottom"/>
            <w:tcBorders>
              <w:top w:val="single" w:sz="8" w:color="999999"/>
            </w:tcBorders>
            <w:shd w:val="clear" w:color="auto" w:fill="EAEAEC"/>
          </w:tcPr>
          <w:p>
            <w:pPr>
              <w:ind w:left="40"/>
              <w:spacing w:after="0"/>
              <w:rPr>
                <w:sz w:val="20"/>
                <w:szCs w:val="20"/>
                <w:color w:val="auto"/>
              </w:rPr>
            </w:pPr>
            <w:r>
              <w:rPr>
                <w:rFonts w:ascii="Arial" w:cs="Arial" w:eastAsia="Arial" w:hAnsi="Arial"/>
                <w:sz w:val="13"/>
                <w:szCs w:val="13"/>
                <w:b w:val="1"/>
                <w:bCs w:val="1"/>
                <w:color w:val="231F20"/>
              </w:rPr>
              <w:t>Support for all-employee</w:t>
            </w:r>
          </w:p>
        </w:tc>
        <w:tc>
          <w:tcPr>
            <w:tcW w:w="4860" w:type="dxa"/>
            <w:vAlign w:val="bottom"/>
            <w:tcBorders>
              <w:top w:val="single" w:sz="8" w:color="999999"/>
            </w:tcBorders>
            <w:shd w:val="clear" w:color="auto" w:fill="C8CCE5"/>
          </w:tcPr>
          <w:p>
            <w:pPr>
              <w:ind w:left="60"/>
              <w:spacing w:after="0"/>
              <w:rPr>
                <w:sz w:val="20"/>
                <w:szCs w:val="20"/>
                <w:color w:val="auto"/>
              </w:rPr>
            </w:pPr>
            <w:r>
              <w:rPr>
                <w:rFonts w:ascii="Arial" w:cs="Arial" w:eastAsia="Arial" w:hAnsi="Arial"/>
                <w:sz w:val="13"/>
                <w:szCs w:val="13"/>
                <w:color w:val="231F20"/>
              </w:rPr>
              <w:t>Maintained our all-employee equity compensation strategy while addressing</w:t>
            </w:r>
          </w:p>
        </w:tc>
        <w:tc>
          <w:tcPr>
            <w:tcW w:w="1220" w:type="dxa"/>
            <w:vAlign w:val="bottom"/>
            <w:tcBorders>
              <w:top w:val="single" w:sz="8" w:color="999999"/>
            </w:tcBorders>
            <w:shd w:val="clear" w:color="auto" w:fill="EAEAEC"/>
          </w:tcPr>
          <w:p>
            <w:pPr>
              <w:ind w:left="60"/>
              <w:spacing w:after="0"/>
              <w:rPr>
                <w:sz w:val="20"/>
                <w:szCs w:val="20"/>
                <w:color w:val="auto"/>
              </w:rPr>
            </w:pPr>
            <w:r>
              <w:rPr>
                <w:rFonts w:ascii="Arial" w:cs="Arial" w:eastAsia="Arial" w:hAnsi="Arial"/>
                <w:sz w:val="13"/>
                <w:szCs w:val="13"/>
                <w:color w:val="231F20"/>
              </w:rPr>
              <w:t>2013–2019</w:t>
            </w:r>
          </w:p>
        </w:tc>
        <w:tc>
          <w:tcPr>
            <w:tcW w:w="1560" w:type="dxa"/>
            <w:vAlign w:val="bottom"/>
          </w:tcPr>
          <w:p>
            <w:pPr>
              <w:spacing w:after="0"/>
              <w:rPr>
                <w:sz w:val="17"/>
                <w:szCs w:val="17"/>
                <w:color w:val="auto"/>
              </w:rPr>
            </w:pPr>
          </w:p>
        </w:tc>
      </w:tr>
      <w:tr>
        <w:trPr>
          <w:trHeight w:val="148"/>
        </w:trPr>
        <w:tc>
          <w:tcPr>
            <w:tcW w:w="1580" w:type="dxa"/>
            <w:vAlign w:val="bottom"/>
          </w:tcPr>
          <w:p>
            <w:pPr>
              <w:spacing w:after="0"/>
              <w:rPr>
                <w:sz w:val="12"/>
                <w:szCs w:val="12"/>
                <w:color w:val="auto"/>
              </w:rPr>
            </w:pPr>
          </w:p>
        </w:tc>
        <w:tc>
          <w:tcPr>
            <w:tcW w:w="2020" w:type="dxa"/>
            <w:vAlign w:val="bottom"/>
            <w:shd w:val="clear" w:color="auto" w:fill="EAEAEC"/>
          </w:tcPr>
          <w:p>
            <w:pPr>
              <w:ind w:left="40"/>
              <w:spacing w:after="0"/>
              <w:rPr>
                <w:sz w:val="20"/>
                <w:szCs w:val="20"/>
                <w:color w:val="auto"/>
              </w:rPr>
            </w:pPr>
            <w:r>
              <w:rPr>
                <w:rFonts w:ascii="Arial" w:cs="Arial" w:eastAsia="Arial" w:hAnsi="Arial"/>
                <w:sz w:val="13"/>
                <w:szCs w:val="13"/>
                <w:b w:val="1"/>
                <w:bCs w:val="1"/>
                <w:color w:val="231F20"/>
              </w:rPr>
              <w:t>equity compensation strategy,</w:t>
            </w: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concerns about the resulting burn rate using a two-part approach:</w:t>
            </w: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1580" w:type="dxa"/>
            <w:vAlign w:val="bottom"/>
          </w:tcPr>
          <w:p>
            <w:pPr>
              <w:spacing w:after="0"/>
              <w:rPr>
                <w:sz w:val="12"/>
                <w:szCs w:val="12"/>
                <w:color w:val="auto"/>
              </w:rPr>
            </w:pPr>
          </w:p>
        </w:tc>
        <w:tc>
          <w:tcPr>
            <w:tcW w:w="2020" w:type="dxa"/>
            <w:vAlign w:val="bottom"/>
            <w:shd w:val="clear" w:color="auto" w:fill="EAEAEC"/>
          </w:tcPr>
          <w:p>
            <w:pPr>
              <w:ind w:left="40"/>
              <w:spacing w:after="0"/>
              <w:rPr>
                <w:sz w:val="20"/>
                <w:szCs w:val="20"/>
                <w:color w:val="auto"/>
              </w:rPr>
            </w:pPr>
            <w:r>
              <w:rPr>
                <w:rFonts w:ascii="Arial" w:cs="Arial" w:eastAsia="Arial" w:hAnsi="Arial"/>
                <w:sz w:val="13"/>
                <w:szCs w:val="13"/>
                <w:b w:val="1"/>
                <w:bCs w:val="1"/>
                <w:color w:val="231F20"/>
              </w:rPr>
              <w:t>but concern about resulting</w:t>
            </w:r>
          </w:p>
        </w:tc>
        <w:tc>
          <w:tcPr>
            <w:tcW w:w="4860" w:type="dxa"/>
            <w:vAlign w:val="bottom"/>
            <w:shd w:val="clear" w:color="auto" w:fill="C8CCE5"/>
          </w:tcPr>
          <w:p>
            <w:pPr>
              <w:spacing w:after="0"/>
              <w:rPr>
                <w:sz w:val="12"/>
                <w:szCs w:val="12"/>
                <w:color w:val="auto"/>
              </w:rPr>
            </w:pP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65"/>
        </w:trPr>
        <w:tc>
          <w:tcPr>
            <w:tcW w:w="1580" w:type="dxa"/>
            <w:vAlign w:val="bottom"/>
          </w:tcPr>
          <w:p>
            <w:pPr>
              <w:spacing w:after="0"/>
              <w:rPr>
                <w:sz w:val="14"/>
                <w:szCs w:val="14"/>
                <w:color w:val="auto"/>
              </w:rPr>
            </w:pPr>
          </w:p>
        </w:tc>
        <w:tc>
          <w:tcPr>
            <w:tcW w:w="2020" w:type="dxa"/>
            <w:vAlign w:val="bottom"/>
            <w:shd w:val="clear" w:color="auto" w:fill="EAEAEC"/>
          </w:tcPr>
          <w:p>
            <w:pPr>
              <w:ind w:left="40"/>
              <w:spacing w:after="0"/>
              <w:rPr>
                <w:sz w:val="20"/>
                <w:szCs w:val="20"/>
                <w:color w:val="auto"/>
              </w:rPr>
            </w:pPr>
            <w:r>
              <w:rPr>
                <w:rFonts w:ascii="Arial" w:cs="Arial" w:eastAsia="Arial" w:hAnsi="Arial"/>
                <w:sz w:val="13"/>
                <w:szCs w:val="13"/>
                <w:b w:val="1"/>
                <w:bCs w:val="1"/>
                <w:color w:val="231F20"/>
              </w:rPr>
              <w:t>burn rate</w:t>
            </w: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952A4"/>
              </w:rPr>
              <w:t xml:space="preserve">1  </w:t>
            </w:r>
            <w:r>
              <w:rPr>
                <w:rFonts w:ascii="Arial" w:cs="Arial" w:eastAsia="Arial" w:hAnsi="Arial"/>
                <w:sz w:val="13"/>
                <w:szCs w:val="13"/>
                <w:color w:val="231F20"/>
              </w:rPr>
              <w:t>Reduce equity award grant guidelines: size of CEO equity awards reduced by</w:t>
            </w:r>
          </w:p>
        </w:tc>
        <w:tc>
          <w:tcPr>
            <w:tcW w:w="1220" w:type="dxa"/>
            <w:vAlign w:val="bottom"/>
            <w:shd w:val="clear" w:color="auto" w:fill="EAEAEC"/>
          </w:tcPr>
          <w:p>
            <w:pPr>
              <w:spacing w:after="0"/>
              <w:rPr>
                <w:sz w:val="14"/>
                <w:szCs w:val="14"/>
                <w:color w:val="auto"/>
              </w:rPr>
            </w:pPr>
          </w:p>
        </w:tc>
        <w:tc>
          <w:tcPr>
            <w:tcW w:w="1560" w:type="dxa"/>
            <w:vAlign w:val="bottom"/>
          </w:tcPr>
          <w:p>
            <w:pPr>
              <w:spacing w:after="0"/>
              <w:rPr>
                <w:sz w:val="14"/>
                <w:szCs w:val="14"/>
                <w:color w:val="auto"/>
              </w:rPr>
            </w:pPr>
          </w:p>
        </w:tc>
      </w:tr>
      <w:tr>
        <w:trPr>
          <w:trHeight w:val="156"/>
        </w:trPr>
        <w:tc>
          <w:tcPr>
            <w:tcW w:w="1580" w:type="dxa"/>
            <w:vAlign w:val="bottom"/>
          </w:tcPr>
          <w:p>
            <w:pPr>
              <w:spacing w:after="0"/>
              <w:rPr>
                <w:sz w:val="13"/>
                <w:szCs w:val="13"/>
                <w:color w:val="auto"/>
              </w:rPr>
            </w:pPr>
          </w:p>
        </w:tc>
        <w:tc>
          <w:tcPr>
            <w:tcW w:w="2020" w:type="dxa"/>
            <w:vAlign w:val="bottom"/>
            <w:shd w:val="clear" w:color="auto" w:fill="EAEAEC"/>
          </w:tcPr>
          <w:p>
            <w:pPr>
              <w:spacing w:after="0"/>
              <w:rPr>
                <w:sz w:val="13"/>
                <w:szCs w:val="13"/>
                <w:color w:val="auto"/>
              </w:rPr>
            </w:pPr>
          </w:p>
        </w:tc>
        <w:tc>
          <w:tcPr>
            <w:tcW w:w="4860" w:type="dxa"/>
            <w:vAlign w:val="bottom"/>
            <w:shd w:val="clear" w:color="auto" w:fill="C8CCE5"/>
          </w:tcPr>
          <w:p>
            <w:pPr>
              <w:ind w:left="260"/>
              <w:spacing w:after="0"/>
              <w:rPr>
                <w:sz w:val="20"/>
                <w:szCs w:val="20"/>
                <w:color w:val="auto"/>
              </w:rPr>
            </w:pPr>
            <w:r>
              <w:rPr>
                <w:rFonts w:ascii="Arial" w:cs="Arial" w:eastAsia="Arial" w:hAnsi="Arial"/>
                <w:sz w:val="13"/>
                <w:szCs w:val="13"/>
                <w:color w:val="231F20"/>
              </w:rPr>
              <w:t>almost 60% over the last seven years; and</w:t>
            </w:r>
          </w:p>
        </w:tc>
        <w:tc>
          <w:tcPr>
            <w:tcW w:w="1220" w:type="dxa"/>
            <w:vAlign w:val="bottom"/>
            <w:shd w:val="clear" w:color="auto" w:fill="EAEAEC"/>
          </w:tcPr>
          <w:p>
            <w:pPr>
              <w:spacing w:after="0"/>
              <w:rPr>
                <w:sz w:val="13"/>
                <w:szCs w:val="13"/>
                <w:color w:val="auto"/>
              </w:rPr>
            </w:pPr>
          </w:p>
        </w:tc>
        <w:tc>
          <w:tcPr>
            <w:tcW w:w="1560" w:type="dxa"/>
            <w:vAlign w:val="bottom"/>
          </w:tcPr>
          <w:p>
            <w:pPr>
              <w:spacing w:after="0"/>
              <w:rPr>
                <w:sz w:val="13"/>
                <w:szCs w:val="13"/>
                <w:color w:val="auto"/>
              </w:rPr>
            </w:pPr>
          </w:p>
        </w:tc>
      </w:tr>
      <w:tr>
        <w:trPr>
          <w:trHeight w:val="289"/>
        </w:trPr>
        <w:tc>
          <w:tcPr>
            <w:tcW w:w="1580" w:type="dxa"/>
            <w:vAlign w:val="bottom"/>
          </w:tcPr>
          <w:p>
            <w:pPr>
              <w:spacing w:after="0"/>
              <w:rPr>
                <w:sz w:val="24"/>
                <w:szCs w:val="24"/>
                <w:color w:val="auto"/>
              </w:rPr>
            </w:pPr>
          </w:p>
        </w:tc>
        <w:tc>
          <w:tcPr>
            <w:tcW w:w="2020" w:type="dxa"/>
            <w:vAlign w:val="bottom"/>
            <w:shd w:val="clear" w:color="auto" w:fill="EAEAEC"/>
          </w:tcPr>
          <w:p>
            <w:pPr>
              <w:spacing w:after="0"/>
              <w:rPr>
                <w:sz w:val="24"/>
                <w:szCs w:val="24"/>
                <w:color w:val="auto"/>
              </w:rPr>
            </w:pP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952A4"/>
              </w:rPr>
              <w:t xml:space="preserve">2  </w:t>
            </w:r>
            <w:r>
              <w:rPr>
                <w:rFonts w:ascii="Arial" w:cs="Arial" w:eastAsia="Arial" w:hAnsi="Arial"/>
                <w:sz w:val="13"/>
                <w:szCs w:val="13"/>
                <w:color w:val="231F20"/>
              </w:rPr>
              <w:t>Introduce (starting in 2019) full-value awards for a portion of the annual equity</w:t>
            </w:r>
          </w:p>
        </w:tc>
        <w:tc>
          <w:tcPr>
            <w:tcW w:w="1220" w:type="dxa"/>
            <w:vAlign w:val="bottom"/>
            <w:shd w:val="clear" w:color="auto" w:fill="EAEAEC"/>
          </w:tcPr>
          <w:p>
            <w:pPr>
              <w:spacing w:after="0"/>
              <w:rPr>
                <w:sz w:val="24"/>
                <w:szCs w:val="24"/>
                <w:color w:val="auto"/>
              </w:rPr>
            </w:pPr>
          </w:p>
        </w:tc>
        <w:tc>
          <w:tcPr>
            <w:tcW w:w="1560" w:type="dxa"/>
            <w:vAlign w:val="bottom"/>
          </w:tcPr>
          <w:p>
            <w:pPr>
              <w:spacing w:after="0"/>
              <w:rPr>
                <w:sz w:val="24"/>
                <w:szCs w:val="24"/>
                <w:color w:val="auto"/>
              </w:rPr>
            </w:pPr>
          </w:p>
        </w:tc>
      </w:tr>
      <w:tr>
        <w:trPr>
          <w:trHeight w:val="148"/>
        </w:trPr>
        <w:tc>
          <w:tcPr>
            <w:tcW w:w="1580" w:type="dxa"/>
            <w:vAlign w:val="bottom"/>
          </w:tcPr>
          <w:p>
            <w:pPr>
              <w:spacing w:after="0"/>
              <w:rPr>
                <w:sz w:val="12"/>
                <w:szCs w:val="12"/>
                <w:color w:val="auto"/>
              </w:rPr>
            </w:pPr>
          </w:p>
        </w:tc>
        <w:tc>
          <w:tcPr>
            <w:tcW w:w="2020" w:type="dxa"/>
            <w:vAlign w:val="bottom"/>
            <w:shd w:val="clear" w:color="auto" w:fill="EAEAEC"/>
          </w:tcPr>
          <w:p>
            <w:pPr>
              <w:spacing w:after="0"/>
              <w:rPr>
                <w:sz w:val="12"/>
                <w:szCs w:val="12"/>
                <w:color w:val="auto"/>
              </w:rPr>
            </w:pPr>
          </w:p>
        </w:tc>
        <w:tc>
          <w:tcPr>
            <w:tcW w:w="4860" w:type="dxa"/>
            <w:vAlign w:val="bottom"/>
            <w:shd w:val="clear" w:color="auto" w:fill="C8CCE5"/>
          </w:tcPr>
          <w:p>
            <w:pPr>
              <w:ind w:left="260"/>
              <w:spacing w:after="0"/>
              <w:rPr>
                <w:sz w:val="20"/>
                <w:szCs w:val="20"/>
                <w:color w:val="auto"/>
              </w:rPr>
            </w:pPr>
            <w:r>
              <w:rPr>
                <w:rFonts w:ascii="Arial" w:cs="Arial" w:eastAsia="Arial" w:hAnsi="Arial"/>
                <w:sz w:val="13"/>
                <w:szCs w:val="13"/>
                <w:color w:val="231F20"/>
              </w:rPr>
              <w:t>awards to eligible employees: PSUs for 30% of CEO/CSO/Chairman 2019</w:t>
            </w: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2020" w:type="dxa"/>
            <w:vAlign w:val="bottom"/>
            <w:shd w:val="clear" w:color="auto" w:fill="EAEAEC"/>
          </w:tcPr>
          <w:p>
            <w:pPr>
              <w:spacing w:after="0"/>
              <w:rPr>
                <w:sz w:val="12"/>
                <w:szCs w:val="12"/>
                <w:color w:val="auto"/>
              </w:rPr>
            </w:pPr>
          </w:p>
        </w:tc>
        <w:tc>
          <w:tcPr>
            <w:tcW w:w="4860" w:type="dxa"/>
            <w:vAlign w:val="bottom"/>
            <w:shd w:val="clear" w:color="auto" w:fill="C8CCE5"/>
          </w:tcPr>
          <w:p>
            <w:pPr>
              <w:ind w:left="260"/>
              <w:spacing w:after="0"/>
              <w:rPr>
                <w:sz w:val="20"/>
                <w:szCs w:val="20"/>
                <w:color w:val="auto"/>
              </w:rPr>
            </w:pPr>
            <w:r>
              <w:rPr>
                <w:rFonts w:ascii="Arial" w:cs="Arial" w:eastAsia="Arial" w:hAnsi="Arial"/>
                <w:sz w:val="13"/>
                <w:szCs w:val="13"/>
                <w:color w:val="231F20"/>
              </w:rPr>
              <w:t>annual equity awards; RSAs/RSUs for 30% of 2019 annual equity awards for</w:t>
            </w: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1580" w:type="dxa"/>
            <w:vAlign w:val="bottom"/>
          </w:tcPr>
          <w:p>
            <w:pPr>
              <w:spacing w:after="0"/>
              <w:rPr>
                <w:sz w:val="12"/>
                <w:szCs w:val="12"/>
                <w:color w:val="auto"/>
              </w:rPr>
            </w:pPr>
          </w:p>
        </w:tc>
        <w:tc>
          <w:tcPr>
            <w:tcW w:w="2020" w:type="dxa"/>
            <w:vAlign w:val="bottom"/>
            <w:shd w:val="clear" w:color="auto" w:fill="EAEAEC"/>
          </w:tcPr>
          <w:p>
            <w:pPr>
              <w:spacing w:after="0"/>
              <w:rPr>
                <w:sz w:val="12"/>
                <w:szCs w:val="12"/>
                <w:color w:val="auto"/>
              </w:rPr>
            </w:pPr>
          </w:p>
        </w:tc>
        <w:tc>
          <w:tcPr>
            <w:tcW w:w="4860" w:type="dxa"/>
            <w:vAlign w:val="bottom"/>
            <w:shd w:val="clear" w:color="auto" w:fill="C8CCE5"/>
          </w:tcPr>
          <w:p>
            <w:pPr>
              <w:ind w:left="260"/>
              <w:spacing w:after="0"/>
              <w:rPr>
                <w:sz w:val="20"/>
                <w:szCs w:val="20"/>
                <w:color w:val="auto"/>
              </w:rPr>
            </w:pPr>
            <w:r>
              <w:rPr>
                <w:rFonts w:ascii="Arial" w:cs="Arial" w:eastAsia="Arial" w:hAnsi="Arial"/>
                <w:sz w:val="13"/>
                <w:szCs w:val="13"/>
                <w:color w:val="231F20"/>
              </w:rPr>
              <w:t>other NEOs and certain other executives; and RSAs/RSUs for 40% of 2019</w:t>
            </w: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56"/>
        </w:trPr>
        <w:tc>
          <w:tcPr>
            <w:tcW w:w="1580" w:type="dxa"/>
            <w:vAlign w:val="bottom"/>
          </w:tcPr>
          <w:p>
            <w:pPr>
              <w:spacing w:after="0"/>
              <w:rPr>
                <w:sz w:val="13"/>
                <w:szCs w:val="13"/>
                <w:color w:val="auto"/>
              </w:rPr>
            </w:pPr>
          </w:p>
        </w:tc>
        <w:tc>
          <w:tcPr>
            <w:tcW w:w="2020" w:type="dxa"/>
            <w:vAlign w:val="bottom"/>
            <w:shd w:val="clear" w:color="auto" w:fill="EAEAEC"/>
          </w:tcPr>
          <w:p>
            <w:pPr>
              <w:spacing w:after="0"/>
              <w:rPr>
                <w:sz w:val="13"/>
                <w:szCs w:val="13"/>
                <w:color w:val="auto"/>
              </w:rPr>
            </w:pPr>
          </w:p>
        </w:tc>
        <w:tc>
          <w:tcPr>
            <w:tcW w:w="4860" w:type="dxa"/>
            <w:vAlign w:val="bottom"/>
            <w:shd w:val="clear" w:color="auto" w:fill="C8CCE5"/>
          </w:tcPr>
          <w:p>
            <w:pPr>
              <w:ind w:left="260"/>
              <w:spacing w:after="0"/>
              <w:rPr>
                <w:sz w:val="20"/>
                <w:szCs w:val="20"/>
                <w:color w:val="auto"/>
              </w:rPr>
            </w:pPr>
            <w:r>
              <w:rPr>
                <w:rFonts w:ascii="Arial" w:cs="Arial" w:eastAsia="Arial" w:hAnsi="Arial"/>
                <w:sz w:val="13"/>
                <w:szCs w:val="13"/>
                <w:color w:val="231F20"/>
              </w:rPr>
              <w:t>annual equity awards for other employees.</w:t>
            </w:r>
          </w:p>
        </w:tc>
        <w:tc>
          <w:tcPr>
            <w:tcW w:w="1220" w:type="dxa"/>
            <w:vAlign w:val="bottom"/>
            <w:shd w:val="clear" w:color="auto" w:fill="EAEAEC"/>
          </w:tcPr>
          <w:p>
            <w:pPr>
              <w:spacing w:after="0"/>
              <w:rPr>
                <w:sz w:val="13"/>
                <w:szCs w:val="13"/>
                <w:color w:val="auto"/>
              </w:rPr>
            </w:pPr>
          </w:p>
        </w:tc>
        <w:tc>
          <w:tcPr>
            <w:tcW w:w="1560" w:type="dxa"/>
            <w:vAlign w:val="bottom"/>
          </w:tcPr>
          <w:p>
            <w:pPr>
              <w:spacing w:after="0"/>
              <w:rPr>
                <w:sz w:val="13"/>
                <w:szCs w:val="13"/>
                <w:color w:val="auto"/>
              </w:rPr>
            </w:pPr>
          </w:p>
        </w:tc>
      </w:tr>
      <w:tr>
        <w:trPr>
          <w:trHeight w:val="249"/>
        </w:trPr>
        <w:tc>
          <w:tcPr>
            <w:tcW w:w="1580" w:type="dxa"/>
            <w:vAlign w:val="bottom"/>
          </w:tcPr>
          <w:p>
            <w:pPr>
              <w:spacing w:after="0"/>
              <w:rPr>
                <w:sz w:val="21"/>
                <w:szCs w:val="21"/>
                <w:color w:val="auto"/>
              </w:rPr>
            </w:pPr>
          </w:p>
        </w:tc>
        <w:tc>
          <w:tcPr>
            <w:tcW w:w="2020" w:type="dxa"/>
            <w:vAlign w:val="bottom"/>
            <w:shd w:val="clear" w:color="auto" w:fill="EAEAEC"/>
          </w:tcPr>
          <w:p>
            <w:pPr>
              <w:spacing w:after="0"/>
              <w:rPr>
                <w:sz w:val="21"/>
                <w:szCs w:val="21"/>
                <w:color w:val="auto"/>
              </w:rPr>
            </w:pP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These changes have allowed us to maintain relatively stable burn rate despite a</w:t>
            </w:r>
          </w:p>
        </w:tc>
        <w:tc>
          <w:tcPr>
            <w:tcW w:w="1220" w:type="dxa"/>
            <w:vAlign w:val="bottom"/>
            <w:shd w:val="clear" w:color="auto" w:fill="EAEAEC"/>
          </w:tcPr>
          <w:p>
            <w:pPr>
              <w:spacing w:after="0"/>
              <w:rPr>
                <w:sz w:val="21"/>
                <w:szCs w:val="21"/>
                <w:color w:val="auto"/>
              </w:rPr>
            </w:pPr>
          </w:p>
        </w:tc>
        <w:tc>
          <w:tcPr>
            <w:tcW w:w="1560" w:type="dxa"/>
            <w:vAlign w:val="bottom"/>
          </w:tcPr>
          <w:p>
            <w:pPr>
              <w:spacing w:after="0"/>
              <w:rPr>
                <w:sz w:val="21"/>
                <w:szCs w:val="21"/>
                <w:color w:val="auto"/>
              </w:rPr>
            </w:pPr>
          </w:p>
        </w:tc>
      </w:tr>
      <w:tr>
        <w:trPr>
          <w:trHeight w:val="156"/>
        </w:trPr>
        <w:tc>
          <w:tcPr>
            <w:tcW w:w="1580" w:type="dxa"/>
            <w:vAlign w:val="bottom"/>
          </w:tcPr>
          <w:p>
            <w:pPr>
              <w:spacing w:after="0"/>
              <w:rPr>
                <w:sz w:val="13"/>
                <w:szCs w:val="13"/>
                <w:color w:val="auto"/>
              </w:rPr>
            </w:pPr>
          </w:p>
        </w:tc>
        <w:tc>
          <w:tcPr>
            <w:tcW w:w="2020" w:type="dxa"/>
            <w:vAlign w:val="bottom"/>
            <w:shd w:val="clear" w:color="auto" w:fill="EAEAEC"/>
          </w:tcPr>
          <w:p>
            <w:pPr>
              <w:spacing w:after="0"/>
              <w:rPr>
                <w:sz w:val="13"/>
                <w:szCs w:val="13"/>
                <w:color w:val="auto"/>
              </w:rPr>
            </w:pP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316% increase in the number of employees from the end of 2012 through 2019.</w:t>
            </w:r>
          </w:p>
        </w:tc>
        <w:tc>
          <w:tcPr>
            <w:tcW w:w="1220" w:type="dxa"/>
            <w:vAlign w:val="bottom"/>
            <w:shd w:val="clear" w:color="auto" w:fill="EAEAEC"/>
          </w:tcPr>
          <w:p>
            <w:pPr>
              <w:spacing w:after="0"/>
              <w:rPr>
                <w:sz w:val="13"/>
                <w:szCs w:val="13"/>
                <w:color w:val="auto"/>
              </w:rPr>
            </w:pPr>
          </w:p>
        </w:tc>
        <w:tc>
          <w:tcPr>
            <w:tcW w:w="1560" w:type="dxa"/>
            <w:vAlign w:val="bottom"/>
          </w:tcPr>
          <w:p>
            <w:pPr>
              <w:spacing w:after="0"/>
              <w:rPr>
                <w:sz w:val="13"/>
                <w:szCs w:val="13"/>
                <w:color w:val="auto"/>
              </w:rPr>
            </w:pPr>
          </w:p>
        </w:tc>
      </w:tr>
      <w:tr>
        <w:trPr>
          <w:trHeight w:val="289"/>
        </w:trPr>
        <w:tc>
          <w:tcPr>
            <w:tcW w:w="1580" w:type="dxa"/>
            <w:vAlign w:val="bottom"/>
          </w:tcPr>
          <w:p>
            <w:pPr>
              <w:spacing w:after="0"/>
              <w:rPr>
                <w:sz w:val="24"/>
                <w:szCs w:val="24"/>
                <w:color w:val="auto"/>
              </w:rPr>
            </w:pPr>
          </w:p>
        </w:tc>
        <w:tc>
          <w:tcPr>
            <w:tcW w:w="2020" w:type="dxa"/>
            <w:vAlign w:val="bottom"/>
            <w:shd w:val="clear" w:color="auto" w:fill="EAEAEC"/>
          </w:tcPr>
          <w:p>
            <w:pPr>
              <w:spacing w:after="0"/>
              <w:rPr>
                <w:sz w:val="24"/>
                <w:szCs w:val="24"/>
                <w:color w:val="auto"/>
              </w:rPr>
            </w:pP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2019 burn rate was lower by 1.1% despite hiring 730 new employees during the</w:t>
            </w:r>
          </w:p>
        </w:tc>
        <w:tc>
          <w:tcPr>
            <w:tcW w:w="1220" w:type="dxa"/>
            <w:vAlign w:val="bottom"/>
            <w:shd w:val="clear" w:color="auto" w:fill="EAEAEC"/>
          </w:tcPr>
          <w:p>
            <w:pPr>
              <w:spacing w:after="0"/>
              <w:rPr>
                <w:sz w:val="24"/>
                <w:szCs w:val="24"/>
                <w:color w:val="auto"/>
              </w:rPr>
            </w:pPr>
          </w:p>
        </w:tc>
        <w:tc>
          <w:tcPr>
            <w:tcW w:w="1560" w:type="dxa"/>
            <w:vAlign w:val="bottom"/>
          </w:tcPr>
          <w:p>
            <w:pPr>
              <w:spacing w:after="0"/>
              <w:rPr>
                <w:sz w:val="24"/>
                <w:szCs w:val="24"/>
                <w:color w:val="auto"/>
              </w:rPr>
            </w:pPr>
          </w:p>
        </w:tc>
      </w:tr>
      <w:tr>
        <w:trPr>
          <w:trHeight w:val="204"/>
        </w:trPr>
        <w:tc>
          <w:tcPr>
            <w:tcW w:w="1580" w:type="dxa"/>
            <w:vAlign w:val="bottom"/>
          </w:tcPr>
          <w:p>
            <w:pPr>
              <w:spacing w:after="0"/>
              <w:rPr>
                <w:sz w:val="17"/>
                <w:szCs w:val="17"/>
                <w:color w:val="auto"/>
              </w:rPr>
            </w:pPr>
          </w:p>
        </w:tc>
        <w:tc>
          <w:tcPr>
            <w:tcW w:w="2020" w:type="dxa"/>
            <w:vAlign w:val="bottom"/>
            <w:tcBorders>
              <w:bottom w:val="single" w:sz="8" w:color="EAEAEC"/>
            </w:tcBorders>
            <w:shd w:val="clear" w:color="auto" w:fill="EAEAEC"/>
          </w:tcPr>
          <w:p>
            <w:pPr>
              <w:spacing w:after="0"/>
              <w:rPr>
                <w:sz w:val="17"/>
                <w:szCs w:val="17"/>
                <w:color w:val="auto"/>
              </w:rPr>
            </w:pPr>
          </w:p>
        </w:tc>
        <w:tc>
          <w:tcPr>
            <w:tcW w:w="4860" w:type="dxa"/>
            <w:vAlign w:val="bottom"/>
            <w:tcBorders>
              <w:bottom w:val="single" w:sz="8" w:color="C8CCE5"/>
            </w:tcBorders>
            <w:shd w:val="clear" w:color="auto" w:fill="C8CCE5"/>
          </w:tcPr>
          <w:p>
            <w:pPr>
              <w:ind w:left="60"/>
              <w:spacing w:after="0"/>
              <w:rPr>
                <w:sz w:val="20"/>
                <w:szCs w:val="20"/>
                <w:color w:val="auto"/>
              </w:rPr>
            </w:pPr>
            <w:r>
              <w:rPr>
                <w:rFonts w:ascii="Arial" w:cs="Arial" w:eastAsia="Arial" w:hAnsi="Arial"/>
                <w:sz w:val="13"/>
                <w:szCs w:val="13"/>
                <w:color w:val="231F20"/>
              </w:rPr>
              <w:t>year.</w:t>
            </w:r>
          </w:p>
        </w:tc>
        <w:tc>
          <w:tcPr>
            <w:tcW w:w="1220" w:type="dxa"/>
            <w:vAlign w:val="bottom"/>
            <w:tcBorders>
              <w:bottom w:val="single" w:sz="8" w:color="EAEAEC"/>
            </w:tcBorders>
            <w:shd w:val="clear" w:color="auto" w:fill="EAEAEC"/>
          </w:tcPr>
          <w:p>
            <w:pPr>
              <w:spacing w:after="0"/>
              <w:rPr>
                <w:sz w:val="17"/>
                <w:szCs w:val="17"/>
                <w:color w:val="auto"/>
              </w:rPr>
            </w:pPr>
          </w:p>
        </w:tc>
        <w:tc>
          <w:tcPr>
            <w:tcW w:w="1560" w:type="dxa"/>
            <w:vAlign w:val="bottom"/>
          </w:tcPr>
          <w:p>
            <w:pPr>
              <w:spacing w:after="0"/>
              <w:rPr>
                <w:sz w:val="17"/>
                <w:szCs w:val="17"/>
                <w:color w:val="auto"/>
              </w:rPr>
            </w:pPr>
          </w:p>
        </w:tc>
      </w:tr>
      <w:tr>
        <w:trPr>
          <w:trHeight w:val="183"/>
        </w:trPr>
        <w:tc>
          <w:tcPr>
            <w:tcW w:w="1580" w:type="dxa"/>
            <w:vAlign w:val="bottom"/>
          </w:tcPr>
          <w:p>
            <w:pPr>
              <w:spacing w:after="0"/>
              <w:rPr>
                <w:sz w:val="15"/>
                <w:szCs w:val="15"/>
                <w:color w:val="auto"/>
              </w:rPr>
            </w:pPr>
          </w:p>
        </w:tc>
        <w:tc>
          <w:tcPr>
            <w:tcW w:w="2020" w:type="dxa"/>
            <w:vAlign w:val="bottom"/>
            <w:tcBorders>
              <w:top w:val="single" w:sz="8" w:color="999999"/>
            </w:tcBorders>
          </w:tcPr>
          <w:p>
            <w:pPr>
              <w:ind w:left="40"/>
              <w:spacing w:after="0"/>
              <w:rPr>
                <w:sz w:val="20"/>
                <w:szCs w:val="20"/>
                <w:color w:val="auto"/>
              </w:rPr>
            </w:pPr>
            <w:r>
              <w:rPr>
                <w:rFonts w:ascii="Arial" w:cs="Arial" w:eastAsia="Arial" w:hAnsi="Arial"/>
                <w:sz w:val="13"/>
                <w:szCs w:val="13"/>
                <w:b w:val="1"/>
                <w:bCs w:val="1"/>
                <w:color w:val="231F20"/>
              </w:rPr>
              <w:t>Preference for further pay-for-</w:t>
            </w:r>
          </w:p>
        </w:tc>
        <w:tc>
          <w:tcPr>
            <w:tcW w:w="4860" w:type="dxa"/>
            <w:vAlign w:val="bottom"/>
            <w:tcBorders>
              <w:top w:val="single" w:sz="8" w:color="999999"/>
            </w:tcBorders>
            <w:shd w:val="clear" w:color="auto" w:fill="E0E3F2"/>
          </w:tcPr>
          <w:p>
            <w:pPr>
              <w:ind w:left="60"/>
              <w:spacing w:after="0"/>
              <w:rPr>
                <w:sz w:val="20"/>
                <w:szCs w:val="20"/>
                <w:color w:val="auto"/>
              </w:rPr>
            </w:pPr>
            <w:r>
              <w:rPr>
                <w:rFonts w:ascii="Arial" w:cs="Arial" w:eastAsia="Arial" w:hAnsi="Arial"/>
                <w:sz w:val="13"/>
                <w:szCs w:val="13"/>
                <w:color w:val="231F20"/>
              </w:rPr>
              <w:t>As part of the 2019 annual equity awards to our CEO and CSO, we introduced</w:t>
            </w:r>
          </w:p>
        </w:tc>
        <w:tc>
          <w:tcPr>
            <w:tcW w:w="1220" w:type="dxa"/>
            <w:vAlign w:val="bottom"/>
            <w:tcBorders>
              <w:top w:val="single" w:sz="8" w:color="999999"/>
            </w:tcBorders>
          </w:tcPr>
          <w:p>
            <w:pPr>
              <w:ind w:left="60"/>
              <w:spacing w:after="0"/>
              <w:rPr>
                <w:sz w:val="20"/>
                <w:szCs w:val="20"/>
                <w:color w:val="auto"/>
              </w:rPr>
            </w:pPr>
            <w:r>
              <w:rPr>
                <w:rFonts w:ascii="Arial" w:cs="Arial" w:eastAsia="Arial" w:hAnsi="Arial"/>
                <w:sz w:val="13"/>
                <w:szCs w:val="13"/>
                <w:color w:val="231F20"/>
              </w:rPr>
              <w:t>2019</w:t>
            </w:r>
          </w:p>
        </w:tc>
        <w:tc>
          <w:tcPr>
            <w:tcW w:w="1560" w:type="dxa"/>
            <w:vAlign w:val="bottom"/>
          </w:tcPr>
          <w:p>
            <w:pPr>
              <w:spacing w:after="0"/>
              <w:rPr>
                <w:sz w:val="15"/>
                <w:szCs w:val="15"/>
                <w:color w:val="auto"/>
              </w:rPr>
            </w:pPr>
          </w:p>
        </w:tc>
      </w:tr>
      <w:tr>
        <w:trPr>
          <w:trHeight w:val="165"/>
        </w:trPr>
        <w:tc>
          <w:tcPr>
            <w:tcW w:w="158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b w:val="1"/>
                <w:bCs w:val="1"/>
                <w:color w:val="231F20"/>
              </w:rPr>
              <w:t>performance alignment</w:t>
            </w:r>
          </w:p>
        </w:tc>
        <w:tc>
          <w:tcPr>
            <w:tcW w:w="4860" w:type="dxa"/>
            <w:vAlign w:val="bottom"/>
            <w:shd w:val="clear" w:color="auto" w:fill="E0E3F2"/>
          </w:tcPr>
          <w:p>
            <w:pPr>
              <w:ind w:left="60"/>
              <w:spacing w:after="0"/>
              <w:rPr>
                <w:sz w:val="20"/>
                <w:szCs w:val="20"/>
                <w:color w:val="auto"/>
              </w:rPr>
            </w:pPr>
            <w:r>
              <w:rPr>
                <w:rFonts w:ascii="Arial" w:cs="Arial" w:eastAsia="Arial" w:hAnsi="Arial"/>
                <w:sz w:val="13"/>
                <w:szCs w:val="13"/>
                <w:color w:val="231F20"/>
              </w:rPr>
              <w:t>PSUs with rigorous performance goals tied to the Company’s TSR (target = 61%</w:t>
            </w:r>
          </w:p>
        </w:tc>
        <w:tc>
          <w:tcPr>
            <w:tcW w:w="1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9"/>
        </w:trPr>
        <w:tc>
          <w:tcPr>
            <w:tcW w:w="1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60" w:type="dxa"/>
            <w:vAlign w:val="bottom"/>
            <w:tcBorders>
              <w:bottom w:val="single" w:sz="8" w:color="E0E3F2"/>
            </w:tcBorders>
            <w:shd w:val="clear" w:color="auto" w:fill="E0E3F2"/>
          </w:tcPr>
          <w:p>
            <w:pPr>
              <w:ind w:left="60"/>
              <w:spacing w:after="0"/>
              <w:rPr>
                <w:sz w:val="20"/>
                <w:szCs w:val="20"/>
                <w:color w:val="auto"/>
              </w:rPr>
            </w:pPr>
            <w:r>
              <w:rPr>
                <w:rFonts w:ascii="Arial" w:cs="Arial" w:eastAsia="Arial" w:hAnsi="Arial"/>
                <w:sz w:val="13"/>
                <w:szCs w:val="13"/>
                <w:color w:val="231F20"/>
              </w:rPr>
              <w:t>TSR over five years).</w:t>
            </w: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3"/>
        </w:trPr>
        <w:tc>
          <w:tcPr>
            <w:tcW w:w="1580" w:type="dxa"/>
            <w:vAlign w:val="bottom"/>
          </w:tcPr>
          <w:p>
            <w:pPr>
              <w:spacing w:after="0"/>
              <w:rPr>
                <w:sz w:val="15"/>
                <w:szCs w:val="15"/>
                <w:color w:val="auto"/>
              </w:rPr>
            </w:pPr>
          </w:p>
        </w:tc>
        <w:tc>
          <w:tcPr>
            <w:tcW w:w="2020" w:type="dxa"/>
            <w:vAlign w:val="bottom"/>
            <w:tcBorders>
              <w:top w:val="single" w:sz="8" w:color="999999"/>
            </w:tcBorders>
            <w:shd w:val="clear" w:color="auto" w:fill="EAEAEC"/>
          </w:tcPr>
          <w:p>
            <w:pPr>
              <w:ind w:left="40"/>
              <w:spacing w:after="0"/>
              <w:rPr>
                <w:sz w:val="20"/>
                <w:szCs w:val="20"/>
                <w:color w:val="auto"/>
              </w:rPr>
            </w:pPr>
            <w:r>
              <w:rPr>
                <w:rFonts w:ascii="Arial" w:cs="Arial" w:eastAsia="Arial" w:hAnsi="Arial"/>
                <w:sz w:val="13"/>
                <w:szCs w:val="13"/>
                <w:b w:val="1"/>
                <w:bCs w:val="1"/>
                <w:color w:val="231F20"/>
              </w:rPr>
              <w:t>Desire for more clarity</w:t>
            </w:r>
          </w:p>
        </w:tc>
        <w:tc>
          <w:tcPr>
            <w:tcW w:w="4860" w:type="dxa"/>
            <w:vAlign w:val="bottom"/>
            <w:tcBorders>
              <w:top w:val="single" w:sz="8" w:color="999999"/>
            </w:tcBorders>
            <w:shd w:val="clear" w:color="auto" w:fill="C8CCE5"/>
          </w:tcPr>
          <w:p>
            <w:pPr>
              <w:ind w:left="60"/>
              <w:spacing w:after="0"/>
              <w:rPr>
                <w:sz w:val="20"/>
                <w:szCs w:val="20"/>
                <w:color w:val="auto"/>
              </w:rPr>
            </w:pPr>
            <w:r>
              <w:rPr>
                <w:rFonts w:ascii="Arial" w:cs="Arial" w:eastAsia="Arial" w:hAnsi="Arial"/>
                <w:sz w:val="13"/>
                <w:szCs w:val="13"/>
                <w:color w:val="231F20"/>
              </w:rPr>
              <w:t>Enhanced the existing process for determining 2019 annual cash incentives and</w:t>
            </w:r>
          </w:p>
        </w:tc>
        <w:tc>
          <w:tcPr>
            <w:tcW w:w="1220" w:type="dxa"/>
            <w:vAlign w:val="bottom"/>
            <w:tcBorders>
              <w:top w:val="single" w:sz="8" w:color="999999"/>
            </w:tcBorders>
            <w:shd w:val="clear" w:color="auto" w:fill="EAEAEC"/>
          </w:tcPr>
          <w:p>
            <w:pPr>
              <w:ind w:left="60"/>
              <w:spacing w:after="0"/>
              <w:rPr>
                <w:sz w:val="20"/>
                <w:szCs w:val="20"/>
                <w:color w:val="auto"/>
              </w:rPr>
            </w:pPr>
            <w:r>
              <w:rPr>
                <w:rFonts w:ascii="Arial" w:cs="Arial" w:eastAsia="Arial" w:hAnsi="Arial"/>
                <w:sz w:val="13"/>
                <w:szCs w:val="13"/>
                <w:color w:val="231F20"/>
              </w:rPr>
              <w:t>2019–2020</w:t>
            </w:r>
          </w:p>
        </w:tc>
        <w:tc>
          <w:tcPr>
            <w:tcW w:w="1560" w:type="dxa"/>
            <w:vAlign w:val="bottom"/>
          </w:tcPr>
          <w:p>
            <w:pPr>
              <w:spacing w:after="0"/>
              <w:rPr>
                <w:sz w:val="15"/>
                <w:szCs w:val="15"/>
                <w:color w:val="auto"/>
              </w:rPr>
            </w:pPr>
          </w:p>
        </w:tc>
      </w:tr>
      <w:tr>
        <w:trPr>
          <w:trHeight w:val="148"/>
        </w:trPr>
        <w:tc>
          <w:tcPr>
            <w:tcW w:w="1580" w:type="dxa"/>
            <w:vAlign w:val="bottom"/>
          </w:tcPr>
          <w:p>
            <w:pPr>
              <w:spacing w:after="0"/>
              <w:rPr>
                <w:sz w:val="12"/>
                <w:szCs w:val="12"/>
                <w:color w:val="auto"/>
              </w:rPr>
            </w:pPr>
          </w:p>
        </w:tc>
        <w:tc>
          <w:tcPr>
            <w:tcW w:w="2020" w:type="dxa"/>
            <w:vAlign w:val="bottom"/>
            <w:shd w:val="clear" w:color="auto" w:fill="EAEAEC"/>
          </w:tcPr>
          <w:p>
            <w:pPr>
              <w:ind w:left="40"/>
              <w:spacing w:after="0"/>
              <w:rPr>
                <w:sz w:val="20"/>
                <w:szCs w:val="20"/>
                <w:color w:val="auto"/>
              </w:rPr>
            </w:pPr>
            <w:r>
              <w:rPr>
                <w:rFonts w:ascii="Arial" w:cs="Arial" w:eastAsia="Arial" w:hAnsi="Arial"/>
                <w:sz w:val="13"/>
                <w:szCs w:val="13"/>
                <w:b w:val="1"/>
                <w:bCs w:val="1"/>
                <w:color w:val="231F20"/>
              </w:rPr>
              <w:t>regarding the process for</w:t>
            </w: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provided more detailed disclosure about the Compensation Committee’s</w:t>
            </w: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1580" w:type="dxa"/>
            <w:vAlign w:val="bottom"/>
          </w:tcPr>
          <w:p>
            <w:pPr>
              <w:spacing w:after="0"/>
              <w:rPr>
                <w:sz w:val="12"/>
                <w:szCs w:val="12"/>
                <w:color w:val="auto"/>
              </w:rPr>
            </w:pPr>
          </w:p>
        </w:tc>
        <w:tc>
          <w:tcPr>
            <w:tcW w:w="2020" w:type="dxa"/>
            <w:vAlign w:val="bottom"/>
            <w:shd w:val="clear" w:color="auto" w:fill="EAEAEC"/>
          </w:tcPr>
          <w:p>
            <w:pPr>
              <w:ind w:left="40"/>
              <w:spacing w:after="0"/>
              <w:rPr>
                <w:sz w:val="20"/>
                <w:szCs w:val="20"/>
                <w:color w:val="auto"/>
              </w:rPr>
            </w:pPr>
            <w:r>
              <w:rPr>
                <w:rFonts w:ascii="Arial" w:cs="Arial" w:eastAsia="Arial" w:hAnsi="Arial"/>
                <w:sz w:val="13"/>
                <w:szCs w:val="13"/>
                <w:b w:val="1"/>
                <w:bCs w:val="1"/>
                <w:color w:val="231F20"/>
              </w:rPr>
              <w:t>determining annual cash</w:t>
            </w: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determination of the Company performance multiplier. See “Components of</w:t>
            </w:r>
          </w:p>
        </w:tc>
        <w:tc>
          <w:tcPr>
            <w:tcW w:w="1220" w:type="dxa"/>
            <w:vAlign w:val="bottom"/>
            <w:shd w:val="clear" w:color="auto" w:fill="EAEAEC"/>
          </w:tcPr>
          <w:p>
            <w:pPr>
              <w:spacing w:after="0"/>
              <w:rPr>
                <w:sz w:val="12"/>
                <w:szCs w:val="12"/>
                <w:color w:val="auto"/>
              </w:rPr>
            </w:pPr>
          </w:p>
        </w:tc>
        <w:tc>
          <w:tcPr>
            <w:tcW w:w="1560" w:type="dxa"/>
            <w:vAlign w:val="bottom"/>
          </w:tcPr>
          <w:p>
            <w:pPr>
              <w:spacing w:after="0"/>
              <w:rPr>
                <w:sz w:val="12"/>
                <w:szCs w:val="12"/>
                <w:color w:val="auto"/>
              </w:rPr>
            </w:pPr>
          </w:p>
        </w:tc>
      </w:tr>
      <w:tr>
        <w:trPr>
          <w:trHeight w:val="164"/>
        </w:trPr>
        <w:tc>
          <w:tcPr>
            <w:tcW w:w="1580" w:type="dxa"/>
            <w:vAlign w:val="bottom"/>
          </w:tcPr>
          <w:p>
            <w:pPr>
              <w:spacing w:after="0"/>
              <w:rPr>
                <w:sz w:val="14"/>
                <w:szCs w:val="14"/>
                <w:color w:val="auto"/>
              </w:rPr>
            </w:pPr>
          </w:p>
        </w:tc>
        <w:tc>
          <w:tcPr>
            <w:tcW w:w="2020" w:type="dxa"/>
            <w:vAlign w:val="bottom"/>
            <w:shd w:val="clear" w:color="auto" w:fill="EAEAEC"/>
          </w:tcPr>
          <w:p>
            <w:pPr>
              <w:ind w:left="40"/>
              <w:spacing w:after="0"/>
              <w:rPr>
                <w:sz w:val="20"/>
                <w:szCs w:val="20"/>
                <w:color w:val="auto"/>
              </w:rPr>
            </w:pPr>
            <w:r>
              <w:rPr>
                <w:rFonts w:ascii="Arial" w:cs="Arial" w:eastAsia="Arial" w:hAnsi="Arial"/>
                <w:sz w:val="13"/>
                <w:szCs w:val="13"/>
                <w:b w:val="1"/>
                <w:bCs w:val="1"/>
                <w:color w:val="231F20"/>
              </w:rPr>
              <w:t>incentives</w:t>
            </w:r>
          </w:p>
        </w:tc>
        <w:tc>
          <w:tcPr>
            <w:tcW w:w="4860" w:type="dxa"/>
            <w:vAlign w:val="bottom"/>
            <w:shd w:val="clear" w:color="auto" w:fill="C8CCE5"/>
          </w:tcPr>
          <w:p>
            <w:pPr>
              <w:ind w:left="60"/>
              <w:spacing w:after="0"/>
              <w:rPr>
                <w:sz w:val="20"/>
                <w:szCs w:val="20"/>
                <w:color w:val="auto"/>
              </w:rPr>
            </w:pPr>
            <w:r>
              <w:rPr>
                <w:rFonts w:ascii="Arial" w:cs="Arial" w:eastAsia="Arial" w:hAnsi="Arial"/>
                <w:sz w:val="13"/>
                <w:szCs w:val="13"/>
                <w:color w:val="231F20"/>
              </w:rPr>
              <w:t>Executive Pay: What We Pay and Why We Pay It – Annual Cash Incentives”</w:t>
            </w:r>
          </w:p>
        </w:tc>
        <w:tc>
          <w:tcPr>
            <w:tcW w:w="1220" w:type="dxa"/>
            <w:vAlign w:val="bottom"/>
            <w:shd w:val="clear" w:color="auto" w:fill="EAEAEC"/>
          </w:tcPr>
          <w:p>
            <w:pPr>
              <w:spacing w:after="0"/>
              <w:rPr>
                <w:sz w:val="14"/>
                <w:szCs w:val="14"/>
                <w:color w:val="auto"/>
              </w:rPr>
            </w:pPr>
          </w:p>
        </w:tc>
        <w:tc>
          <w:tcPr>
            <w:tcW w:w="1560" w:type="dxa"/>
            <w:vAlign w:val="bottom"/>
          </w:tcPr>
          <w:p>
            <w:pPr>
              <w:spacing w:after="0"/>
              <w:rPr>
                <w:sz w:val="14"/>
                <w:szCs w:val="14"/>
                <w:color w:val="auto"/>
              </w:rPr>
            </w:pPr>
          </w:p>
        </w:tc>
      </w:tr>
      <w:tr>
        <w:trPr>
          <w:trHeight w:val="204"/>
        </w:trPr>
        <w:tc>
          <w:tcPr>
            <w:tcW w:w="1580" w:type="dxa"/>
            <w:vAlign w:val="bottom"/>
          </w:tcPr>
          <w:p>
            <w:pPr>
              <w:spacing w:after="0"/>
              <w:rPr>
                <w:sz w:val="17"/>
                <w:szCs w:val="17"/>
                <w:color w:val="auto"/>
              </w:rPr>
            </w:pPr>
          </w:p>
        </w:tc>
        <w:tc>
          <w:tcPr>
            <w:tcW w:w="2020" w:type="dxa"/>
            <w:vAlign w:val="bottom"/>
            <w:tcBorders>
              <w:bottom w:val="single" w:sz="8" w:color="EAEAEC"/>
            </w:tcBorders>
            <w:shd w:val="clear" w:color="auto" w:fill="EAEAEC"/>
          </w:tcPr>
          <w:p>
            <w:pPr>
              <w:spacing w:after="0"/>
              <w:rPr>
                <w:sz w:val="17"/>
                <w:szCs w:val="17"/>
                <w:color w:val="auto"/>
              </w:rPr>
            </w:pPr>
          </w:p>
        </w:tc>
        <w:tc>
          <w:tcPr>
            <w:tcW w:w="4860" w:type="dxa"/>
            <w:vAlign w:val="bottom"/>
            <w:tcBorders>
              <w:bottom w:val="single" w:sz="8" w:color="C8CCE5"/>
            </w:tcBorders>
            <w:shd w:val="clear" w:color="auto" w:fill="C8CCE5"/>
          </w:tcPr>
          <w:p>
            <w:pPr>
              <w:ind w:left="60"/>
              <w:spacing w:after="0"/>
              <w:rPr>
                <w:sz w:val="20"/>
                <w:szCs w:val="20"/>
                <w:color w:val="auto"/>
              </w:rPr>
            </w:pPr>
            <w:r>
              <w:rPr>
                <w:rFonts w:ascii="Arial" w:cs="Arial" w:eastAsia="Arial" w:hAnsi="Arial"/>
                <w:sz w:val="13"/>
                <w:szCs w:val="13"/>
                <w:color w:val="231F20"/>
              </w:rPr>
              <w:t>above for more information.</w:t>
            </w:r>
          </w:p>
        </w:tc>
        <w:tc>
          <w:tcPr>
            <w:tcW w:w="1220" w:type="dxa"/>
            <w:vAlign w:val="bottom"/>
            <w:tcBorders>
              <w:bottom w:val="single" w:sz="8" w:color="EAEAEC"/>
            </w:tcBorders>
            <w:shd w:val="clear" w:color="auto" w:fill="EAEAEC"/>
          </w:tcPr>
          <w:p>
            <w:pPr>
              <w:spacing w:after="0"/>
              <w:rPr>
                <w:sz w:val="17"/>
                <w:szCs w:val="17"/>
                <w:color w:val="auto"/>
              </w:rPr>
            </w:pPr>
          </w:p>
        </w:tc>
        <w:tc>
          <w:tcPr>
            <w:tcW w:w="1560" w:type="dxa"/>
            <w:vAlign w:val="bottom"/>
          </w:tcPr>
          <w:p>
            <w:pPr>
              <w:spacing w:after="0"/>
              <w:rPr>
                <w:sz w:val="17"/>
                <w:szCs w:val="17"/>
                <w:color w:val="auto"/>
              </w:rPr>
            </w:pPr>
          </w:p>
        </w:tc>
      </w:tr>
      <w:tr>
        <w:trPr>
          <w:trHeight w:val="183"/>
        </w:trPr>
        <w:tc>
          <w:tcPr>
            <w:tcW w:w="1580" w:type="dxa"/>
            <w:vAlign w:val="bottom"/>
          </w:tcPr>
          <w:p>
            <w:pPr>
              <w:spacing w:after="0"/>
              <w:rPr>
                <w:sz w:val="15"/>
                <w:szCs w:val="15"/>
                <w:color w:val="auto"/>
              </w:rPr>
            </w:pPr>
          </w:p>
        </w:tc>
        <w:tc>
          <w:tcPr>
            <w:tcW w:w="2020" w:type="dxa"/>
            <w:vAlign w:val="bottom"/>
            <w:tcBorders>
              <w:top w:val="single" w:sz="8" w:color="999999"/>
            </w:tcBorders>
          </w:tcPr>
          <w:p>
            <w:pPr>
              <w:ind w:left="40"/>
              <w:spacing w:after="0"/>
              <w:rPr>
                <w:sz w:val="20"/>
                <w:szCs w:val="20"/>
                <w:color w:val="auto"/>
              </w:rPr>
            </w:pPr>
            <w:r>
              <w:rPr>
                <w:rFonts w:ascii="Arial" w:cs="Arial" w:eastAsia="Arial" w:hAnsi="Arial"/>
                <w:sz w:val="13"/>
                <w:szCs w:val="13"/>
                <w:b w:val="1"/>
                <w:bCs w:val="1"/>
                <w:color w:val="231F20"/>
              </w:rPr>
              <w:t>Concern about compensation</w:t>
            </w:r>
          </w:p>
        </w:tc>
        <w:tc>
          <w:tcPr>
            <w:tcW w:w="4860" w:type="dxa"/>
            <w:vAlign w:val="bottom"/>
            <w:tcBorders>
              <w:top w:val="single" w:sz="8" w:color="999999"/>
            </w:tcBorders>
            <w:shd w:val="clear" w:color="auto" w:fill="E0E3F2"/>
          </w:tcPr>
          <w:p>
            <w:pPr>
              <w:ind w:left="60"/>
              <w:spacing w:after="0"/>
              <w:rPr>
                <w:sz w:val="20"/>
                <w:szCs w:val="20"/>
                <w:color w:val="auto"/>
              </w:rPr>
            </w:pPr>
            <w:r>
              <w:rPr>
                <w:rFonts w:ascii="Arial" w:cs="Arial" w:eastAsia="Arial" w:hAnsi="Arial"/>
                <w:sz w:val="13"/>
                <w:szCs w:val="13"/>
                <w:color w:val="231F20"/>
              </w:rPr>
              <w:t>Introduced a new compensation program for our non-employee directors and the</w:t>
            </w:r>
          </w:p>
        </w:tc>
        <w:tc>
          <w:tcPr>
            <w:tcW w:w="1220" w:type="dxa"/>
            <w:vAlign w:val="bottom"/>
            <w:tcBorders>
              <w:top w:val="single" w:sz="8" w:color="999999"/>
            </w:tcBorders>
          </w:tcPr>
          <w:p>
            <w:pPr>
              <w:ind w:left="60"/>
              <w:spacing w:after="0"/>
              <w:rPr>
                <w:sz w:val="20"/>
                <w:szCs w:val="20"/>
                <w:color w:val="auto"/>
              </w:rPr>
            </w:pPr>
            <w:r>
              <w:rPr>
                <w:rFonts w:ascii="Arial" w:cs="Arial" w:eastAsia="Arial" w:hAnsi="Arial"/>
                <w:sz w:val="13"/>
                <w:szCs w:val="13"/>
                <w:color w:val="231F20"/>
              </w:rPr>
              <w:t>2018</w:t>
            </w:r>
          </w:p>
        </w:tc>
        <w:tc>
          <w:tcPr>
            <w:tcW w:w="1560" w:type="dxa"/>
            <w:vAlign w:val="bottom"/>
          </w:tcPr>
          <w:p>
            <w:pPr>
              <w:spacing w:after="0"/>
              <w:rPr>
                <w:sz w:val="15"/>
                <w:szCs w:val="15"/>
                <w:color w:val="auto"/>
              </w:rPr>
            </w:pPr>
          </w:p>
        </w:tc>
      </w:tr>
      <w:tr>
        <w:trPr>
          <w:trHeight w:val="149"/>
        </w:trPr>
        <w:tc>
          <w:tcPr>
            <w:tcW w:w="1580" w:type="dxa"/>
            <w:vAlign w:val="bottom"/>
          </w:tcPr>
          <w:p>
            <w:pPr>
              <w:spacing w:after="0"/>
              <w:rPr>
                <w:sz w:val="12"/>
                <w:szCs w:val="12"/>
                <w:color w:val="auto"/>
              </w:rPr>
            </w:pPr>
          </w:p>
        </w:tc>
        <w:tc>
          <w:tcPr>
            <w:tcW w:w="2020" w:type="dxa"/>
            <w:vAlign w:val="bottom"/>
          </w:tcPr>
          <w:p>
            <w:pPr>
              <w:ind w:left="40"/>
              <w:spacing w:after="0"/>
              <w:rPr>
                <w:sz w:val="20"/>
                <w:szCs w:val="20"/>
                <w:color w:val="auto"/>
              </w:rPr>
            </w:pPr>
            <w:r>
              <w:rPr>
                <w:rFonts w:ascii="Arial" w:cs="Arial" w:eastAsia="Arial" w:hAnsi="Arial"/>
                <w:sz w:val="13"/>
                <w:szCs w:val="13"/>
                <w:b w:val="1"/>
                <w:bCs w:val="1"/>
                <w:color w:val="231F20"/>
              </w:rPr>
              <w:t>program for non-employee</w:t>
            </w:r>
          </w:p>
        </w:tc>
        <w:tc>
          <w:tcPr>
            <w:tcW w:w="4860" w:type="dxa"/>
            <w:vAlign w:val="bottom"/>
            <w:shd w:val="clear" w:color="auto" w:fill="E0E3F2"/>
          </w:tcPr>
          <w:p>
            <w:pPr>
              <w:ind w:left="60"/>
              <w:spacing w:after="0"/>
              <w:rPr>
                <w:sz w:val="20"/>
                <w:szCs w:val="20"/>
                <w:color w:val="auto"/>
              </w:rPr>
            </w:pPr>
            <w:r>
              <w:rPr>
                <w:rFonts w:ascii="Arial" w:cs="Arial" w:eastAsia="Arial" w:hAnsi="Arial"/>
                <w:sz w:val="13"/>
                <w:szCs w:val="13"/>
                <w:color w:val="231F20"/>
              </w:rPr>
              <w:t>Chairman of the Board in November 2018. As a result:</w:t>
            </w:r>
          </w:p>
        </w:tc>
        <w:tc>
          <w:tcPr>
            <w:tcW w:w="12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1580" w:type="dxa"/>
            <w:vAlign w:val="bottom"/>
          </w:tcPr>
          <w:p>
            <w:pPr>
              <w:spacing w:after="0"/>
              <w:rPr>
                <w:sz w:val="12"/>
                <w:szCs w:val="12"/>
                <w:color w:val="auto"/>
              </w:rPr>
            </w:pPr>
          </w:p>
        </w:tc>
        <w:tc>
          <w:tcPr>
            <w:tcW w:w="2020" w:type="dxa"/>
            <w:vAlign w:val="bottom"/>
          </w:tcPr>
          <w:p>
            <w:pPr>
              <w:ind w:left="40"/>
              <w:spacing w:after="0"/>
              <w:rPr>
                <w:sz w:val="20"/>
                <w:szCs w:val="20"/>
                <w:color w:val="auto"/>
              </w:rPr>
            </w:pPr>
            <w:r>
              <w:rPr>
                <w:rFonts w:ascii="Arial" w:cs="Arial" w:eastAsia="Arial" w:hAnsi="Arial"/>
                <w:sz w:val="13"/>
                <w:szCs w:val="13"/>
                <w:b w:val="1"/>
                <w:bCs w:val="1"/>
                <w:color w:val="231F20"/>
              </w:rPr>
              <w:t>directors and the Chairman of</w:t>
            </w:r>
          </w:p>
        </w:tc>
        <w:tc>
          <w:tcPr>
            <w:tcW w:w="4860" w:type="dxa"/>
            <w:vAlign w:val="bottom"/>
            <w:shd w:val="clear" w:color="auto" w:fill="E0E3F2"/>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64"/>
        </w:trPr>
        <w:tc>
          <w:tcPr>
            <w:tcW w:w="158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b w:val="1"/>
                <w:bCs w:val="1"/>
                <w:color w:val="231F20"/>
              </w:rPr>
              <w:t>the Board</w:t>
            </w:r>
          </w:p>
        </w:tc>
        <w:tc>
          <w:tcPr>
            <w:tcW w:w="4860" w:type="dxa"/>
            <w:vAlign w:val="bottom"/>
            <w:shd w:val="clear" w:color="auto" w:fill="E0E3F2"/>
          </w:tcPr>
          <w:p>
            <w:pPr>
              <w:ind w:left="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Reduced by nearly 50% the grant date fair value of equity awards to both the</w:t>
            </w:r>
          </w:p>
        </w:tc>
        <w:tc>
          <w:tcPr>
            <w:tcW w:w="1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8"/>
        </w:trPr>
        <w:tc>
          <w:tcPr>
            <w:tcW w:w="1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860" w:type="dxa"/>
            <w:vAlign w:val="bottom"/>
            <w:shd w:val="clear" w:color="auto" w:fill="E0E3F2"/>
          </w:tcPr>
          <w:p>
            <w:pPr>
              <w:ind w:left="260"/>
              <w:spacing w:after="0"/>
              <w:rPr>
                <w:sz w:val="20"/>
                <w:szCs w:val="20"/>
                <w:color w:val="auto"/>
              </w:rPr>
            </w:pPr>
            <w:r>
              <w:rPr>
                <w:rFonts w:ascii="Arial" w:cs="Arial" w:eastAsia="Arial" w:hAnsi="Arial"/>
                <w:sz w:val="13"/>
                <w:szCs w:val="13"/>
                <w:color w:val="231F20"/>
              </w:rPr>
              <w:t>non-employee directors and the Chairman of the Board (granted in January</w:t>
            </w:r>
          </w:p>
        </w:tc>
        <w:tc>
          <w:tcPr>
            <w:tcW w:w="12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6"/>
        </w:trPr>
        <w:tc>
          <w:tcPr>
            <w:tcW w:w="15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860" w:type="dxa"/>
            <w:vAlign w:val="bottom"/>
            <w:shd w:val="clear" w:color="auto" w:fill="E0E3F2"/>
          </w:tcPr>
          <w:p>
            <w:pPr>
              <w:ind w:left="260"/>
              <w:spacing w:after="0"/>
              <w:rPr>
                <w:sz w:val="20"/>
                <w:szCs w:val="20"/>
                <w:color w:val="auto"/>
              </w:rPr>
            </w:pPr>
            <w:r>
              <w:rPr>
                <w:rFonts w:ascii="Arial" w:cs="Arial" w:eastAsia="Arial" w:hAnsi="Arial"/>
                <w:sz w:val="13"/>
                <w:szCs w:val="13"/>
                <w:color w:val="231F20"/>
              </w:rPr>
              <w:t>2019 and December 2018, respectively); and</w:t>
            </w:r>
          </w:p>
        </w:tc>
        <w:tc>
          <w:tcPr>
            <w:tcW w:w="1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89"/>
        </w:trPr>
        <w:tc>
          <w:tcPr>
            <w:tcW w:w="1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60" w:type="dxa"/>
            <w:vAlign w:val="bottom"/>
            <w:shd w:val="clear" w:color="auto" w:fill="E0E3F2"/>
          </w:tcPr>
          <w:p>
            <w:pPr>
              <w:ind w:left="60"/>
              <w:spacing w:after="0"/>
              <w:rPr>
                <w:sz w:val="20"/>
                <w:szCs w:val="20"/>
                <w:color w:val="auto"/>
              </w:rPr>
            </w:pPr>
            <w:r>
              <w:rPr>
                <w:rFonts w:ascii="Arial" w:cs="Arial" w:eastAsia="Arial" w:hAnsi="Arial"/>
                <w:sz w:val="13"/>
                <w:szCs w:val="13"/>
                <w:color w:val="2952A4"/>
              </w:rPr>
              <w:t xml:space="preserve">•  </w:t>
            </w:r>
            <w:r>
              <w:rPr>
                <w:rFonts w:ascii="Arial" w:cs="Arial" w:eastAsia="Arial" w:hAnsi="Arial"/>
                <w:sz w:val="13"/>
                <w:szCs w:val="13"/>
                <w:color w:val="231F20"/>
              </w:rPr>
              <w:t>Introduced full-value awards (RSUs) as part of the non-employee director</w:t>
            </w: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9"/>
        </w:trPr>
        <w:tc>
          <w:tcPr>
            <w:tcW w:w="1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60" w:type="dxa"/>
            <w:vAlign w:val="bottom"/>
            <w:tcBorders>
              <w:bottom w:val="single" w:sz="8" w:color="E0E3F2"/>
            </w:tcBorders>
            <w:shd w:val="clear" w:color="auto" w:fill="E0E3F2"/>
          </w:tcPr>
          <w:p>
            <w:pPr>
              <w:ind w:left="260"/>
              <w:spacing w:after="0"/>
              <w:rPr>
                <w:sz w:val="20"/>
                <w:szCs w:val="20"/>
                <w:color w:val="auto"/>
              </w:rPr>
            </w:pPr>
            <w:r>
              <w:rPr>
                <w:rFonts w:ascii="Arial" w:cs="Arial" w:eastAsia="Arial" w:hAnsi="Arial"/>
                <w:sz w:val="13"/>
                <w:szCs w:val="13"/>
                <w:color w:val="231F20"/>
              </w:rPr>
              <w:t>equity awards.</w:t>
            </w: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33"/>
        </w:trPr>
        <w:tc>
          <w:tcPr>
            <w:tcW w:w="1580" w:type="dxa"/>
            <w:vAlign w:val="bottom"/>
          </w:tcPr>
          <w:p>
            <w:pPr>
              <w:spacing w:after="0"/>
              <w:rPr>
                <w:sz w:val="24"/>
                <w:szCs w:val="24"/>
                <w:color w:val="auto"/>
              </w:rPr>
            </w:pPr>
          </w:p>
        </w:tc>
        <w:tc>
          <w:tcPr>
            <w:tcW w:w="6880" w:type="dxa"/>
            <w:vAlign w:val="bottom"/>
            <w:tcBorders>
              <w:top w:val="single" w:sz="8" w:color="999999"/>
            </w:tcBorders>
            <w:gridSpan w:val="2"/>
          </w:tcPr>
          <w:p>
            <w:pPr>
              <w:ind w:left="2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1220" w:type="dxa"/>
            <w:vAlign w:val="bottom"/>
            <w:tcBorders>
              <w:top w:val="single" w:sz="8" w:color="999999"/>
            </w:tcBorders>
          </w:tcPr>
          <w:p>
            <w:pPr>
              <w:spacing w:after="0"/>
              <w:rPr>
                <w:sz w:val="24"/>
                <w:szCs w:val="24"/>
                <w:color w:val="auto"/>
              </w:rPr>
            </w:pPr>
          </w:p>
        </w:tc>
        <w:tc>
          <w:tcPr>
            <w:tcW w:w="156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79</w:t>
            </w:r>
          </w:p>
        </w:tc>
      </w:tr>
      <w:tr>
        <w:trPr>
          <w:trHeight w:val="262"/>
        </w:trPr>
        <w:tc>
          <w:tcPr>
            <w:tcW w:w="1580" w:type="dxa"/>
            <w:vAlign w:val="bottom"/>
            <w:tcBorders>
              <w:bottom w:val="single" w:sz="8" w:color="C0C0C0"/>
            </w:tcBorders>
          </w:tcPr>
          <w:p>
            <w:pPr>
              <w:spacing w:after="0"/>
              <w:rPr>
                <w:sz w:val="22"/>
                <w:szCs w:val="22"/>
                <w:color w:val="auto"/>
              </w:rPr>
            </w:pPr>
          </w:p>
        </w:tc>
        <w:tc>
          <w:tcPr>
            <w:tcW w:w="2020" w:type="dxa"/>
            <w:vAlign w:val="bottom"/>
            <w:tcBorders>
              <w:bottom w:val="single" w:sz="8" w:color="C0C0C0"/>
            </w:tcBorders>
          </w:tcPr>
          <w:p>
            <w:pPr>
              <w:spacing w:after="0"/>
              <w:rPr>
                <w:sz w:val="22"/>
                <w:szCs w:val="22"/>
                <w:color w:val="auto"/>
              </w:rPr>
            </w:pPr>
          </w:p>
        </w:tc>
        <w:tc>
          <w:tcPr>
            <w:tcW w:w="4860" w:type="dxa"/>
            <w:vAlign w:val="bottom"/>
            <w:tcBorders>
              <w:bottom w:val="single" w:sz="8" w:color="C0C0C0"/>
            </w:tcBorders>
          </w:tcPr>
          <w:p>
            <w:pPr>
              <w:spacing w:after="0"/>
              <w:rPr>
                <w:sz w:val="22"/>
                <w:szCs w:val="22"/>
                <w:color w:val="auto"/>
              </w:rPr>
            </w:pPr>
          </w:p>
        </w:tc>
        <w:tc>
          <w:tcPr>
            <w:tcW w:w="122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91" w:name="page92"/>
    <w:bookmarkEnd w:id="91"/>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23317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00" cy="233172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80" w:lineRule="exact"/>
        <w:rPr>
          <w:sz w:val="20"/>
          <w:szCs w:val="20"/>
          <w:color w:val="auto"/>
        </w:rPr>
      </w:pPr>
    </w:p>
    <w:p>
      <w:pPr>
        <w:jc w:val="both"/>
        <w:ind w:left="500"/>
        <w:spacing w:after="0" w:line="246" w:lineRule="auto"/>
        <w:rPr>
          <w:sz w:val="20"/>
          <w:szCs w:val="20"/>
          <w:color w:val="auto"/>
        </w:rPr>
      </w:pPr>
      <w:r>
        <w:rPr>
          <w:rFonts w:ascii="Arial" w:cs="Arial" w:eastAsia="Arial" w:hAnsi="Arial"/>
          <w:sz w:val="15"/>
          <w:szCs w:val="15"/>
          <w:b w:val="1"/>
          <w:bCs w:val="1"/>
          <w:color w:val="231F20"/>
        </w:rPr>
        <w:t>Requests for additional information with respect to ESG matters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right="859"/>
        <w:spacing w:after="0" w:line="242" w:lineRule="auto"/>
        <w:rPr>
          <w:sz w:val="20"/>
          <w:szCs w:val="20"/>
          <w:color w:val="auto"/>
        </w:rPr>
      </w:pPr>
      <w:r>
        <w:rPr>
          <w:rFonts w:ascii="Arial" w:cs="Arial" w:eastAsia="Arial" w:hAnsi="Arial"/>
          <w:sz w:val="15"/>
          <w:szCs w:val="15"/>
          <w:color w:val="231F20"/>
        </w:rPr>
        <w:t>Conducted ESG audit in 2017 to identify potential gaps with respect to 2017–2020 ESG matters.</w:t>
      </w:r>
    </w:p>
    <w:p>
      <w:pPr>
        <w:spacing w:after="0" w:line="138" w:lineRule="exact"/>
        <w:rPr>
          <w:sz w:val="20"/>
          <w:szCs w:val="20"/>
          <w:color w:val="auto"/>
        </w:rPr>
      </w:pPr>
    </w:p>
    <w:p>
      <w:pPr>
        <w:ind w:right="2039"/>
        <w:spacing w:after="0" w:line="231" w:lineRule="auto"/>
        <w:rPr>
          <w:sz w:val="20"/>
          <w:szCs w:val="20"/>
          <w:color w:val="auto"/>
        </w:rPr>
      </w:pPr>
      <w:r>
        <w:rPr>
          <w:rFonts w:ascii="Arial" w:cs="Arial" w:eastAsia="Arial" w:hAnsi="Arial"/>
          <w:sz w:val="15"/>
          <w:szCs w:val="15"/>
          <w:color w:val="231F20"/>
        </w:rPr>
        <w:t>Increased the breadth and depth of ESG data collection and reporting, including introducing first comprehensive Responsibility Report in 2018, and actively engaged with various ESG ratings agencies in 2018, 2019, and 2020 to date, resulting in significant improvements to several ESG scores.</w:t>
      </w:r>
    </w:p>
    <w:p>
      <w:pPr>
        <w:spacing w:after="0" w:line="142" w:lineRule="exact"/>
        <w:rPr>
          <w:sz w:val="20"/>
          <w:szCs w:val="20"/>
          <w:color w:val="auto"/>
        </w:rPr>
      </w:pPr>
    </w:p>
    <w:p>
      <w:pPr>
        <w:ind w:right="1759"/>
        <w:spacing w:after="0" w:line="235" w:lineRule="auto"/>
        <w:rPr>
          <w:sz w:val="20"/>
          <w:szCs w:val="20"/>
          <w:color w:val="auto"/>
        </w:rPr>
      </w:pPr>
      <w:r>
        <w:rPr>
          <w:rFonts w:ascii="Arial" w:cs="Arial" w:eastAsia="Arial" w:hAnsi="Arial"/>
          <w:sz w:val="15"/>
          <w:szCs w:val="15"/>
          <w:color w:val="231F20"/>
        </w:rPr>
        <w:t>Built an ESG strategy operational structure, including by instituting board-level oversight and establishing a cross-functional responsibility committee comprised of management members.</w:t>
      </w:r>
    </w:p>
    <w:p>
      <w:pPr>
        <w:spacing w:after="0" w:line="141" w:lineRule="exact"/>
        <w:rPr>
          <w:sz w:val="20"/>
          <w:szCs w:val="20"/>
          <w:color w:val="auto"/>
        </w:rPr>
      </w:pPr>
    </w:p>
    <w:p>
      <w:pPr>
        <w:ind w:right="1859"/>
        <w:spacing w:after="0" w:line="235" w:lineRule="auto"/>
        <w:rPr>
          <w:sz w:val="20"/>
          <w:szCs w:val="20"/>
          <w:color w:val="auto"/>
        </w:rPr>
      </w:pPr>
      <w:r>
        <w:rPr>
          <w:rFonts w:ascii="Arial" w:cs="Arial" w:eastAsia="Arial" w:hAnsi="Arial"/>
          <w:sz w:val="15"/>
          <w:szCs w:val="15"/>
          <w:color w:val="231F20"/>
        </w:rPr>
        <w:t>Announced our support for the United Nation’s Sustainable Development Goals, disclosing where we plan to focus to deliver the most impact.</w:t>
      </w:r>
    </w:p>
    <w:p>
      <w:pPr>
        <w:spacing w:after="0" w:line="141" w:lineRule="exact"/>
        <w:rPr>
          <w:sz w:val="20"/>
          <w:szCs w:val="20"/>
          <w:color w:val="auto"/>
        </w:rPr>
      </w:pPr>
    </w:p>
    <w:p>
      <w:pPr>
        <w:ind w:right="2039"/>
        <w:spacing w:after="0" w:line="235" w:lineRule="auto"/>
        <w:rPr>
          <w:sz w:val="20"/>
          <w:szCs w:val="20"/>
          <w:color w:val="auto"/>
        </w:rPr>
      </w:pPr>
      <w:r>
        <w:rPr>
          <w:rFonts w:ascii="Arial" w:cs="Arial" w:eastAsia="Arial" w:hAnsi="Arial"/>
          <w:sz w:val="15"/>
          <w:szCs w:val="15"/>
          <w:color w:val="231F20"/>
        </w:rPr>
        <w:t>Set bold, new ESG goals, spanning across the environmental and social issues that are most significant to our business and stakeholders.</w:t>
      </w:r>
    </w:p>
    <w:p>
      <w:pPr>
        <w:spacing w:after="0" w:line="17" w:lineRule="exact"/>
        <w:rPr>
          <w:sz w:val="20"/>
          <w:szCs w:val="20"/>
          <w:color w:val="auto"/>
        </w:rPr>
      </w:pPr>
    </w:p>
    <w:p>
      <w:pPr>
        <w:sectPr>
          <w:pgSz w:w="11900" w:h="16838" w:orient="portrait"/>
          <w:cols w:equalWidth="0" w:num="2">
            <w:col w:w="2280" w:space="260"/>
            <w:col w:w="6479"/>
          </w:cols>
          <w:pgMar w:left="1440" w:top="405"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8"/>
        </w:trPr>
        <w:tc>
          <w:tcPr>
            <w:tcW w:w="2020" w:type="dxa"/>
            <w:vAlign w:val="bottom"/>
            <w:tcBorders>
              <w:top w:val="single" w:sz="8" w:color="999999"/>
            </w:tcBorders>
          </w:tcPr>
          <w:p>
            <w:pPr>
              <w:ind w:left="40"/>
              <w:spacing w:after="0"/>
              <w:rPr>
                <w:sz w:val="20"/>
                <w:szCs w:val="20"/>
                <w:color w:val="auto"/>
              </w:rPr>
            </w:pPr>
            <w:r>
              <w:rPr>
                <w:rFonts w:ascii="Arial" w:cs="Arial" w:eastAsia="Arial" w:hAnsi="Arial"/>
                <w:sz w:val="15"/>
                <w:szCs w:val="15"/>
                <w:b w:val="1"/>
                <w:bCs w:val="1"/>
                <w:color w:val="231F20"/>
              </w:rPr>
              <w:t>Concern about executive</w:t>
            </w:r>
          </w:p>
        </w:tc>
        <w:tc>
          <w:tcPr>
            <w:tcW w:w="4860" w:type="dxa"/>
            <w:vAlign w:val="bottom"/>
            <w:tcBorders>
              <w:top w:val="single" w:sz="8" w:color="999999"/>
            </w:tcBorders>
            <w:shd w:val="clear" w:color="auto" w:fill="E0E3F2"/>
          </w:tcPr>
          <w:p>
            <w:pPr>
              <w:ind w:left="60"/>
              <w:spacing w:after="0"/>
              <w:rPr>
                <w:sz w:val="20"/>
                <w:szCs w:val="20"/>
                <w:color w:val="auto"/>
              </w:rPr>
            </w:pPr>
            <w:r>
              <w:rPr>
                <w:rFonts w:ascii="Arial" w:cs="Arial" w:eastAsia="Arial" w:hAnsi="Arial"/>
                <w:sz w:val="15"/>
                <w:szCs w:val="15"/>
                <w:color w:val="231F20"/>
              </w:rPr>
              <w:t>Eliminated certain CEO non-business perquisites, including a tax</w:t>
            </w:r>
          </w:p>
        </w:tc>
        <w:tc>
          <w:tcPr>
            <w:tcW w:w="1220" w:type="dxa"/>
            <w:vAlign w:val="bottom"/>
            <w:tcBorders>
              <w:top w:val="single" w:sz="8" w:color="999999"/>
            </w:tcBorders>
          </w:tcPr>
          <w:p>
            <w:pPr>
              <w:ind w:left="60"/>
              <w:spacing w:after="0"/>
              <w:rPr>
                <w:sz w:val="20"/>
                <w:szCs w:val="20"/>
                <w:color w:val="auto"/>
              </w:rPr>
            </w:pPr>
            <w:r>
              <w:rPr>
                <w:rFonts w:ascii="Arial" w:cs="Arial" w:eastAsia="Arial" w:hAnsi="Arial"/>
                <w:sz w:val="15"/>
                <w:szCs w:val="15"/>
                <w:color w:val="231F20"/>
              </w:rPr>
              <w:t>2014</w:t>
            </w:r>
          </w:p>
        </w:tc>
      </w:tr>
      <w:tr>
        <w:trPr>
          <w:trHeight w:val="237"/>
        </w:trPr>
        <w:tc>
          <w:tcPr>
            <w:tcW w:w="2020" w:type="dxa"/>
            <w:vAlign w:val="bottom"/>
          </w:tcPr>
          <w:p>
            <w:pPr>
              <w:ind w:left="40"/>
              <w:spacing w:after="0"/>
              <w:rPr>
                <w:sz w:val="20"/>
                <w:szCs w:val="20"/>
                <w:color w:val="auto"/>
              </w:rPr>
            </w:pPr>
            <w:r>
              <w:rPr>
                <w:rFonts w:ascii="Arial" w:cs="Arial" w:eastAsia="Arial" w:hAnsi="Arial"/>
                <w:sz w:val="15"/>
                <w:szCs w:val="15"/>
                <w:b w:val="1"/>
                <w:bCs w:val="1"/>
                <w:color w:val="231F20"/>
              </w:rPr>
              <w:t>perquisites</w:t>
            </w:r>
          </w:p>
        </w:tc>
        <w:tc>
          <w:tcPr>
            <w:tcW w:w="4860" w:type="dxa"/>
            <w:vAlign w:val="bottom"/>
            <w:tcBorders>
              <w:bottom w:val="single" w:sz="8" w:color="E0E3F2"/>
            </w:tcBorders>
            <w:shd w:val="clear" w:color="auto" w:fill="E0E3F2"/>
          </w:tcPr>
          <w:p>
            <w:pPr>
              <w:ind w:left="60"/>
              <w:spacing w:after="0"/>
              <w:rPr>
                <w:sz w:val="20"/>
                <w:szCs w:val="20"/>
                <w:color w:val="auto"/>
              </w:rPr>
            </w:pPr>
            <w:r>
              <w:rPr>
                <w:rFonts w:ascii="Arial" w:cs="Arial" w:eastAsia="Arial" w:hAnsi="Arial"/>
                <w:sz w:val="15"/>
                <w:szCs w:val="15"/>
                <w:color w:val="231F20"/>
              </w:rPr>
              <w:t>gross-up related to legal, tax, and financial planning advisory services</w:t>
            </w:r>
          </w:p>
        </w:tc>
        <w:tc>
          <w:tcPr>
            <w:tcW w:w="1220" w:type="dxa"/>
            <w:vAlign w:val="bottom"/>
          </w:tcPr>
          <w:p>
            <w:pPr>
              <w:spacing w:after="0"/>
              <w:rPr>
                <w:sz w:val="20"/>
                <w:szCs w:val="20"/>
                <w:color w:val="auto"/>
              </w:rPr>
            </w:pPr>
          </w:p>
        </w:tc>
      </w:tr>
      <w:tr>
        <w:trPr>
          <w:trHeight w:val="188"/>
        </w:trPr>
        <w:tc>
          <w:tcPr>
            <w:tcW w:w="2020" w:type="dxa"/>
            <w:vAlign w:val="bottom"/>
            <w:tcBorders>
              <w:top w:val="single" w:sz="8" w:color="999999"/>
            </w:tcBorders>
            <w:shd w:val="clear" w:color="auto" w:fill="EAEAEC"/>
          </w:tcPr>
          <w:p>
            <w:pPr>
              <w:ind w:left="40"/>
              <w:spacing w:after="0"/>
              <w:rPr>
                <w:sz w:val="20"/>
                <w:szCs w:val="20"/>
                <w:color w:val="auto"/>
              </w:rPr>
            </w:pPr>
            <w:r>
              <w:rPr>
                <w:rFonts w:ascii="Arial" w:cs="Arial" w:eastAsia="Arial" w:hAnsi="Arial"/>
                <w:sz w:val="15"/>
                <w:szCs w:val="15"/>
                <w:b w:val="1"/>
                <w:bCs w:val="1"/>
                <w:color w:val="231F20"/>
              </w:rPr>
              <w:t>Payments contingent on</w:t>
            </w:r>
          </w:p>
        </w:tc>
        <w:tc>
          <w:tcPr>
            <w:tcW w:w="4860" w:type="dxa"/>
            <w:vAlign w:val="bottom"/>
            <w:tcBorders>
              <w:top w:val="single" w:sz="8" w:color="999999"/>
            </w:tcBorders>
            <w:shd w:val="clear" w:color="auto" w:fill="C8CCE5"/>
          </w:tcPr>
          <w:p>
            <w:pPr>
              <w:ind w:left="60"/>
              <w:spacing w:after="0"/>
              <w:rPr>
                <w:sz w:val="20"/>
                <w:szCs w:val="20"/>
                <w:color w:val="auto"/>
              </w:rPr>
            </w:pPr>
            <w:r>
              <w:rPr>
                <w:rFonts w:ascii="Arial" w:cs="Arial" w:eastAsia="Arial" w:hAnsi="Arial"/>
                <w:sz w:val="15"/>
                <w:szCs w:val="15"/>
                <w:color w:val="231F20"/>
              </w:rPr>
              <w:t>Adopted a new policy against including excise tax gross-up provisions</w:t>
            </w:r>
          </w:p>
        </w:tc>
        <w:tc>
          <w:tcPr>
            <w:tcW w:w="1220" w:type="dxa"/>
            <w:vAlign w:val="bottom"/>
            <w:tcBorders>
              <w:top w:val="single" w:sz="8" w:color="999999"/>
            </w:tcBorders>
            <w:shd w:val="clear" w:color="auto" w:fill="EAEAEC"/>
          </w:tcPr>
          <w:p>
            <w:pPr>
              <w:ind w:left="60"/>
              <w:spacing w:after="0"/>
              <w:rPr>
                <w:sz w:val="20"/>
                <w:szCs w:val="20"/>
                <w:color w:val="auto"/>
              </w:rPr>
            </w:pPr>
            <w:r>
              <w:rPr>
                <w:rFonts w:ascii="Arial" w:cs="Arial" w:eastAsia="Arial" w:hAnsi="Arial"/>
                <w:sz w:val="15"/>
                <w:szCs w:val="15"/>
                <w:color w:val="231F20"/>
              </w:rPr>
              <w:t>2014</w:t>
            </w:r>
          </w:p>
        </w:tc>
      </w:tr>
      <w:tr>
        <w:trPr>
          <w:trHeight w:val="162"/>
        </w:trPr>
        <w:tc>
          <w:tcPr>
            <w:tcW w:w="2020" w:type="dxa"/>
            <w:vAlign w:val="bottom"/>
            <w:shd w:val="clear" w:color="auto" w:fill="EAEAEC"/>
          </w:tcPr>
          <w:p>
            <w:pPr>
              <w:ind w:left="40"/>
              <w:spacing w:after="0" w:line="162" w:lineRule="exact"/>
              <w:rPr>
                <w:sz w:val="20"/>
                <w:szCs w:val="20"/>
                <w:color w:val="auto"/>
              </w:rPr>
            </w:pPr>
            <w:r>
              <w:rPr>
                <w:rFonts w:ascii="Arial" w:cs="Arial" w:eastAsia="Arial" w:hAnsi="Arial"/>
                <w:sz w:val="15"/>
                <w:szCs w:val="15"/>
                <w:b w:val="1"/>
                <w:bCs w:val="1"/>
                <w:color w:val="231F20"/>
              </w:rPr>
              <w:t>change in control should</w:t>
            </w:r>
          </w:p>
        </w:tc>
        <w:tc>
          <w:tcPr>
            <w:tcW w:w="4860" w:type="dxa"/>
            <w:vAlign w:val="bottom"/>
            <w:shd w:val="clear" w:color="auto" w:fill="C8CCE5"/>
          </w:tcPr>
          <w:p>
            <w:pPr>
              <w:ind w:left="60"/>
              <w:spacing w:after="0" w:line="162" w:lineRule="exact"/>
              <w:rPr>
                <w:sz w:val="20"/>
                <w:szCs w:val="20"/>
                <w:color w:val="auto"/>
              </w:rPr>
            </w:pPr>
            <w:r>
              <w:rPr>
                <w:rFonts w:ascii="Arial" w:cs="Arial" w:eastAsia="Arial" w:hAnsi="Arial"/>
                <w:sz w:val="15"/>
                <w:szCs w:val="15"/>
                <w:color w:val="231F20"/>
              </w:rPr>
              <w:t>with respect to payments contingent upon a change in control of</w:t>
            </w:r>
          </w:p>
        </w:tc>
        <w:tc>
          <w:tcPr>
            <w:tcW w:w="1220" w:type="dxa"/>
            <w:vAlign w:val="bottom"/>
            <w:shd w:val="clear" w:color="auto" w:fill="EAEAEC"/>
          </w:tcPr>
          <w:p>
            <w:pPr>
              <w:spacing w:after="0"/>
              <w:rPr>
                <w:sz w:val="14"/>
                <w:szCs w:val="14"/>
                <w:color w:val="auto"/>
              </w:rPr>
            </w:pPr>
          </w:p>
        </w:tc>
      </w:tr>
      <w:tr>
        <w:trPr>
          <w:trHeight w:val="162"/>
        </w:trPr>
        <w:tc>
          <w:tcPr>
            <w:tcW w:w="2020" w:type="dxa"/>
            <w:vAlign w:val="bottom"/>
            <w:shd w:val="clear" w:color="auto" w:fill="EAEAEC"/>
          </w:tcPr>
          <w:p>
            <w:pPr>
              <w:ind w:left="40"/>
              <w:spacing w:after="0" w:line="162" w:lineRule="exact"/>
              <w:rPr>
                <w:sz w:val="20"/>
                <w:szCs w:val="20"/>
                <w:color w:val="auto"/>
              </w:rPr>
            </w:pPr>
            <w:r>
              <w:rPr>
                <w:rFonts w:ascii="Arial" w:cs="Arial" w:eastAsia="Arial" w:hAnsi="Arial"/>
                <w:sz w:val="15"/>
                <w:szCs w:val="15"/>
                <w:b w:val="1"/>
                <w:bCs w:val="1"/>
                <w:color w:val="231F20"/>
              </w:rPr>
              <w:t>not benefit from excise</w:t>
            </w:r>
          </w:p>
        </w:tc>
        <w:tc>
          <w:tcPr>
            <w:tcW w:w="4860" w:type="dxa"/>
            <w:vAlign w:val="bottom"/>
            <w:shd w:val="clear" w:color="auto" w:fill="C8CCE5"/>
          </w:tcPr>
          <w:p>
            <w:pPr>
              <w:ind w:left="60"/>
              <w:spacing w:after="0" w:line="162" w:lineRule="exact"/>
              <w:rPr>
                <w:sz w:val="20"/>
                <w:szCs w:val="20"/>
                <w:color w:val="auto"/>
              </w:rPr>
            </w:pPr>
            <w:r>
              <w:rPr>
                <w:rFonts w:ascii="Arial" w:cs="Arial" w:eastAsia="Arial" w:hAnsi="Arial"/>
                <w:sz w:val="15"/>
                <w:szCs w:val="15"/>
                <w:color w:val="231F20"/>
              </w:rPr>
              <w:t>Regeneron in contracts, compensatory plans, or other arrangements</w:t>
            </w:r>
          </w:p>
        </w:tc>
        <w:tc>
          <w:tcPr>
            <w:tcW w:w="1220" w:type="dxa"/>
            <w:vAlign w:val="bottom"/>
            <w:shd w:val="clear" w:color="auto" w:fill="EAEAEC"/>
          </w:tcPr>
          <w:p>
            <w:pPr>
              <w:spacing w:after="0"/>
              <w:rPr>
                <w:sz w:val="14"/>
                <w:szCs w:val="14"/>
                <w:color w:val="auto"/>
              </w:rPr>
            </w:pPr>
          </w:p>
        </w:tc>
      </w:tr>
      <w:tr>
        <w:trPr>
          <w:trHeight w:val="180"/>
        </w:trPr>
        <w:tc>
          <w:tcPr>
            <w:tcW w:w="2020" w:type="dxa"/>
            <w:vAlign w:val="bottom"/>
            <w:shd w:val="clear" w:color="auto" w:fill="EAEAEC"/>
          </w:tcPr>
          <w:p>
            <w:pPr>
              <w:ind w:left="40"/>
              <w:spacing w:after="0"/>
              <w:rPr>
                <w:sz w:val="20"/>
                <w:szCs w:val="20"/>
                <w:color w:val="auto"/>
              </w:rPr>
            </w:pPr>
            <w:r>
              <w:rPr>
                <w:rFonts w:ascii="Arial" w:cs="Arial" w:eastAsia="Arial" w:hAnsi="Arial"/>
                <w:sz w:val="15"/>
                <w:szCs w:val="15"/>
                <w:b w:val="1"/>
                <w:bCs w:val="1"/>
                <w:color w:val="231F20"/>
              </w:rPr>
              <w:t>tax gross-ups</w:t>
            </w:r>
          </w:p>
        </w:tc>
        <w:tc>
          <w:tcPr>
            <w:tcW w:w="4860" w:type="dxa"/>
            <w:vAlign w:val="bottom"/>
            <w:shd w:val="clear" w:color="auto" w:fill="C8CCE5"/>
          </w:tcPr>
          <w:p>
            <w:pPr>
              <w:ind w:left="60"/>
              <w:spacing w:after="0"/>
              <w:rPr>
                <w:sz w:val="20"/>
                <w:szCs w:val="20"/>
                <w:color w:val="auto"/>
              </w:rPr>
            </w:pPr>
            <w:r>
              <w:rPr>
                <w:rFonts w:ascii="Arial" w:cs="Arial" w:eastAsia="Arial" w:hAnsi="Arial"/>
                <w:sz w:val="15"/>
                <w:szCs w:val="15"/>
                <w:color w:val="231F20"/>
              </w:rPr>
              <w:t>with the Company’s executive officers, including the NEOs</w:t>
            </w:r>
          </w:p>
        </w:tc>
        <w:tc>
          <w:tcPr>
            <w:tcW w:w="1220" w:type="dxa"/>
            <w:vAlign w:val="bottom"/>
            <w:shd w:val="clear" w:color="auto" w:fill="EAEAEC"/>
          </w:tcPr>
          <w:p>
            <w:pPr>
              <w:spacing w:after="0"/>
              <w:rPr>
                <w:sz w:val="15"/>
                <w:szCs w:val="15"/>
                <w:color w:val="auto"/>
              </w:rPr>
            </w:pPr>
          </w:p>
        </w:tc>
      </w:tr>
      <w:tr>
        <w:trPr>
          <w:trHeight w:val="162"/>
        </w:trPr>
        <w:tc>
          <w:tcPr>
            <w:tcW w:w="2020" w:type="dxa"/>
            <w:vAlign w:val="bottom"/>
            <w:shd w:val="clear" w:color="auto" w:fill="EAEAEC"/>
          </w:tcPr>
          <w:p>
            <w:pPr>
              <w:spacing w:after="0"/>
              <w:rPr>
                <w:sz w:val="14"/>
                <w:szCs w:val="14"/>
                <w:color w:val="auto"/>
              </w:rPr>
            </w:pPr>
          </w:p>
        </w:tc>
        <w:tc>
          <w:tcPr>
            <w:tcW w:w="4860" w:type="dxa"/>
            <w:vAlign w:val="bottom"/>
            <w:shd w:val="clear" w:color="auto" w:fill="C8CCE5"/>
          </w:tcPr>
          <w:p>
            <w:pPr>
              <w:ind w:left="60"/>
              <w:spacing w:after="0" w:line="162" w:lineRule="exact"/>
              <w:rPr>
                <w:sz w:val="20"/>
                <w:szCs w:val="20"/>
                <w:color w:val="auto"/>
              </w:rPr>
            </w:pPr>
            <w:r>
              <w:rPr>
                <w:rFonts w:ascii="Arial" w:cs="Arial" w:eastAsia="Arial" w:hAnsi="Arial"/>
                <w:sz w:val="15"/>
                <w:szCs w:val="15"/>
                <w:color w:val="231F20"/>
              </w:rPr>
              <w:t>(grandfathered the CEO employment agreement, which has not been</w:t>
            </w:r>
          </w:p>
        </w:tc>
        <w:tc>
          <w:tcPr>
            <w:tcW w:w="1220" w:type="dxa"/>
            <w:vAlign w:val="bottom"/>
            <w:shd w:val="clear" w:color="auto" w:fill="EAEAEC"/>
          </w:tcPr>
          <w:p>
            <w:pPr>
              <w:spacing w:after="0"/>
              <w:rPr>
                <w:sz w:val="14"/>
                <w:szCs w:val="14"/>
                <w:color w:val="auto"/>
              </w:rPr>
            </w:pPr>
          </w:p>
        </w:tc>
      </w:tr>
      <w:tr>
        <w:trPr>
          <w:trHeight w:val="224"/>
        </w:trPr>
        <w:tc>
          <w:tcPr>
            <w:tcW w:w="2020" w:type="dxa"/>
            <w:vAlign w:val="bottom"/>
            <w:tcBorders>
              <w:bottom w:val="single" w:sz="8" w:color="EAEAEC"/>
            </w:tcBorders>
            <w:shd w:val="clear" w:color="auto" w:fill="EAEAEC"/>
          </w:tcPr>
          <w:p>
            <w:pPr>
              <w:spacing w:after="0"/>
              <w:rPr>
                <w:sz w:val="19"/>
                <w:szCs w:val="19"/>
                <w:color w:val="auto"/>
              </w:rPr>
            </w:pPr>
          </w:p>
        </w:tc>
        <w:tc>
          <w:tcPr>
            <w:tcW w:w="4860" w:type="dxa"/>
            <w:vAlign w:val="bottom"/>
            <w:tcBorders>
              <w:bottom w:val="single" w:sz="8" w:color="C8CCE5"/>
            </w:tcBorders>
            <w:shd w:val="clear" w:color="auto" w:fill="C8CCE5"/>
          </w:tcPr>
          <w:p>
            <w:pPr>
              <w:ind w:left="60"/>
              <w:spacing w:after="0"/>
              <w:rPr>
                <w:sz w:val="20"/>
                <w:szCs w:val="20"/>
                <w:color w:val="auto"/>
              </w:rPr>
            </w:pPr>
            <w:r>
              <w:rPr>
                <w:rFonts w:ascii="Arial" w:cs="Arial" w:eastAsia="Arial" w:hAnsi="Arial"/>
                <w:sz w:val="15"/>
                <w:szCs w:val="15"/>
                <w:color w:val="231F20"/>
              </w:rPr>
              <w:t>amended since)</w:t>
            </w:r>
          </w:p>
        </w:tc>
        <w:tc>
          <w:tcPr>
            <w:tcW w:w="1220" w:type="dxa"/>
            <w:vAlign w:val="bottom"/>
            <w:tcBorders>
              <w:bottom w:val="single" w:sz="8" w:color="EAEAEC"/>
            </w:tcBorders>
            <w:shd w:val="clear" w:color="auto" w:fill="EAEAEC"/>
          </w:tcPr>
          <w:p>
            <w:pPr>
              <w:spacing w:after="0"/>
              <w:rPr>
                <w:sz w:val="19"/>
                <w:szCs w:val="19"/>
                <w:color w:val="auto"/>
              </w:rPr>
            </w:pPr>
          </w:p>
        </w:tc>
      </w:tr>
      <w:tr>
        <w:trPr>
          <w:trHeight w:val="188"/>
        </w:trPr>
        <w:tc>
          <w:tcPr>
            <w:tcW w:w="2020" w:type="dxa"/>
            <w:vAlign w:val="bottom"/>
            <w:tcBorders>
              <w:top w:val="single" w:sz="8" w:color="999999"/>
            </w:tcBorders>
          </w:tcPr>
          <w:p>
            <w:pPr>
              <w:ind w:left="40"/>
              <w:spacing w:after="0"/>
              <w:rPr>
                <w:sz w:val="20"/>
                <w:szCs w:val="20"/>
                <w:color w:val="auto"/>
              </w:rPr>
            </w:pPr>
            <w:r>
              <w:rPr>
                <w:rFonts w:ascii="Arial" w:cs="Arial" w:eastAsia="Arial" w:hAnsi="Arial"/>
                <w:sz w:val="15"/>
                <w:szCs w:val="15"/>
                <w:b w:val="1"/>
                <w:bCs w:val="1"/>
                <w:color w:val="231F20"/>
              </w:rPr>
              <w:t>The Company should be</w:t>
            </w:r>
          </w:p>
        </w:tc>
        <w:tc>
          <w:tcPr>
            <w:tcW w:w="4860" w:type="dxa"/>
            <w:vAlign w:val="bottom"/>
            <w:tcBorders>
              <w:top w:val="single" w:sz="8" w:color="999999"/>
            </w:tcBorders>
            <w:shd w:val="clear" w:color="auto" w:fill="E0E3F2"/>
          </w:tcPr>
          <w:p>
            <w:pPr>
              <w:ind w:left="60"/>
              <w:spacing w:after="0"/>
              <w:rPr>
                <w:sz w:val="20"/>
                <w:szCs w:val="20"/>
                <w:color w:val="auto"/>
              </w:rPr>
            </w:pPr>
            <w:r>
              <w:rPr>
                <w:rFonts w:ascii="Arial" w:cs="Arial" w:eastAsia="Arial" w:hAnsi="Arial"/>
                <w:sz w:val="15"/>
                <w:szCs w:val="15"/>
                <w:color w:val="231F20"/>
              </w:rPr>
              <w:t>Adopted a recoupment (clawback) policy covering both financial and</w:t>
            </w:r>
          </w:p>
        </w:tc>
        <w:tc>
          <w:tcPr>
            <w:tcW w:w="1220" w:type="dxa"/>
            <w:vAlign w:val="bottom"/>
            <w:tcBorders>
              <w:top w:val="single" w:sz="8" w:color="999999"/>
            </w:tcBorders>
          </w:tcPr>
          <w:p>
            <w:pPr>
              <w:ind w:left="60"/>
              <w:spacing w:after="0"/>
              <w:rPr>
                <w:sz w:val="20"/>
                <w:szCs w:val="20"/>
                <w:color w:val="auto"/>
              </w:rPr>
            </w:pPr>
            <w:r>
              <w:rPr>
                <w:rFonts w:ascii="Arial" w:cs="Arial" w:eastAsia="Arial" w:hAnsi="Arial"/>
                <w:sz w:val="15"/>
                <w:szCs w:val="15"/>
                <w:color w:val="231F20"/>
              </w:rPr>
              <w:t>2014</w:t>
            </w:r>
          </w:p>
        </w:tc>
      </w:tr>
      <w:tr>
        <w:trPr>
          <w:trHeight w:val="162"/>
        </w:trPr>
        <w:tc>
          <w:tcPr>
            <w:tcW w:w="2020" w:type="dxa"/>
            <w:vAlign w:val="bottom"/>
          </w:tcPr>
          <w:p>
            <w:pPr>
              <w:ind w:left="40"/>
              <w:spacing w:after="0" w:line="162" w:lineRule="exact"/>
              <w:rPr>
                <w:sz w:val="20"/>
                <w:szCs w:val="20"/>
                <w:color w:val="auto"/>
              </w:rPr>
            </w:pPr>
            <w:r>
              <w:rPr>
                <w:rFonts w:ascii="Arial" w:cs="Arial" w:eastAsia="Arial" w:hAnsi="Arial"/>
                <w:sz w:val="15"/>
                <w:szCs w:val="15"/>
                <w:b w:val="1"/>
                <w:bCs w:val="1"/>
                <w:color w:val="231F20"/>
              </w:rPr>
              <w:t>able to claw back</w:t>
            </w:r>
          </w:p>
        </w:tc>
        <w:tc>
          <w:tcPr>
            <w:tcW w:w="4860" w:type="dxa"/>
            <w:vAlign w:val="bottom"/>
            <w:shd w:val="clear" w:color="auto" w:fill="E0E3F2"/>
          </w:tcPr>
          <w:p>
            <w:pPr>
              <w:ind w:left="60"/>
              <w:spacing w:after="0" w:line="162" w:lineRule="exact"/>
              <w:rPr>
                <w:sz w:val="20"/>
                <w:szCs w:val="20"/>
                <w:color w:val="auto"/>
              </w:rPr>
            </w:pPr>
            <w:r>
              <w:rPr>
                <w:rFonts w:ascii="Arial" w:cs="Arial" w:eastAsia="Arial" w:hAnsi="Arial"/>
                <w:sz w:val="15"/>
                <w:szCs w:val="15"/>
                <w:color w:val="231F20"/>
              </w:rPr>
              <w:t>non-financial misconduct</w:t>
            </w:r>
          </w:p>
        </w:tc>
        <w:tc>
          <w:tcPr>
            <w:tcW w:w="1220" w:type="dxa"/>
            <w:vAlign w:val="bottom"/>
          </w:tcPr>
          <w:p>
            <w:pPr>
              <w:spacing w:after="0"/>
              <w:rPr>
                <w:sz w:val="14"/>
                <w:szCs w:val="14"/>
                <w:color w:val="auto"/>
              </w:rPr>
            </w:pPr>
          </w:p>
        </w:tc>
      </w:tr>
      <w:tr>
        <w:trPr>
          <w:trHeight w:val="162"/>
        </w:trPr>
        <w:tc>
          <w:tcPr>
            <w:tcW w:w="2020" w:type="dxa"/>
            <w:vAlign w:val="bottom"/>
          </w:tcPr>
          <w:p>
            <w:pPr>
              <w:ind w:left="40"/>
              <w:spacing w:after="0" w:line="162" w:lineRule="exact"/>
              <w:rPr>
                <w:sz w:val="20"/>
                <w:szCs w:val="20"/>
                <w:color w:val="auto"/>
              </w:rPr>
            </w:pPr>
            <w:r>
              <w:rPr>
                <w:rFonts w:ascii="Arial" w:cs="Arial" w:eastAsia="Arial" w:hAnsi="Arial"/>
                <w:sz w:val="15"/>
                <w:szCs w:val="15"/>
                <w:b w:val="1"/>
                <w:bCs w:val="1"/>
                <w:color w:val="231F20"/>
              </w:rPr>
              <w:t>incentive compensation</w:t>
            </w:r>
          </w:p>
        </w:tc>
        <w:tc>
          <w:tcPr>
            <w:tcW w:w="4860" w:type="dxa"/>
            <w:vAlign w:val="bottom"/>
            <w:shd w:val="clear" w:color="auto" w:fill="E0E3F2"/>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ind w:left="40"/>
              <w:spacing w:after="0" w:line="162" w:lineRule="exact"/>
              <w:rPr>
                <w:sz w:val="20"/>
                <w:szCs w:val="20"/>
                <w:color w:val="auto"/>
              </w:rPr>
            </w:pPr>
            <w:r>
              <w:rPr>
                <w:rFonts w:ascii="Arial" w:cs="Arial" w:eastAsia="Arial" w:hAnsi="Arial"/>
                <w:sz w:val="15"/>
                <w:szCs w:val="15"/>
                <w:b w:val="1"/>
                <w:bCs w:val="1"/>
                <w:color w:val="231F20"/>
              </w:rPr>
              <w:t>in case of employee</w:t>
            </w:r>
          </w:p>
        </w:tc>
        <w:tc>
          <w:tcPr>
            <w:tcW w:w="4860" w:type="dxa"/>
            <w:vAlign w:val="bottom"/>
            <w:shd w:val="clear" w:color="auto" w:fill="E0E3F2"/>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5"/>
                <w:szCs w:val="15"/>
                <w:b w:val="1"/>
                <w:bCs w:val="1"/>
                <w:color w:val="231F20"/>
              </w:rPr>
              <w:t>misconduct</w:t>
            </w:r>
          </w:p>
        </w:tc>
        <w:tc>
          <w:tcPr>
            <w:tcW w:w="4860" w:type="dxa"/>
            <w:vAlign w:val="bottom"/>
            <w:tcBorders>
              <w:bottom w:val="single" w:sz="8" w:color="E0E3F2"/>
            </w:tcBorders>
            <w:shd w:val="clear" w:color="auto" w:fill="E0E3F2"/>
          </w:tcPr>
          <w:p>
            <w:pPr>
              <w:spacing w:after="0"/>
              <w:rPr>
                <w:sz w:val="20"/>
                <w:szCs w:val="20"/>
                <w:color w:val="auto"/>
              </w:rPr>
            </w:pPr>
          </w:p>
        </w:tc>
        <w:tc>
          <w:tcPr>
            <w:tcW w:w="1220" w:type="dxa"/>
            <w:vAlign w:val="bottom"/>
          </w:tcPr>
          <w:p>
            <w:pPr>
              <w:spacing w:after="0"/>
              <w:rPr>
                <w:sz w:val="20"/>
                <w:szCs w:val="20"/>
                <w:color w:val="auto"/>
              </w:rPr>
            </w:pPr>
          </w:p>
        </w:tc>
      </w:tr>
      <w:tr>
        <w:trPr>
          <w:trHeight w:val="188"/>
        </w:trPr>
        <w:tc>
          <w:tcPr>
            <w:tcW w:w="2020" w:type="dxa"/>
            <w:vAlign w:val="bottom"/>
            <w:tcBorders>
              <w:top w:val="single" w:sz="8" w:color="999999"/>
            </w:tcBorders>
            <w:shd w:val="clear" w:color="auto" w:fill="EAEAEC"/>
          </w:tcPr>
          <w:p>
            <w:pPr>
              <w:ind w:left="40"/>
              <w:spacing w:after="0"/>
              <w:rPr>
                <w:sz w:val="20"/>
                <w:szCs w:val="20"/>
                <w:color w:val="auto"/>
              </w:rPr>
            </w:pPr>
            <w:r>
              <w:rPr>
                <w:rFonts w:ascii="Arial" w:cs="Arial" w:eastAsia="Arial" w:hAnsi="Arial"/>
                <w:sz w:val="15"/>
                <w:szCs w:val="15"/>
                <w:b w:val="1"/>
                <w:bCs w:val="1"/>
                <w:color w:val="231F20"/>
              </w:rPr>
              <w:t>Need to communicate</w:t>
            </w:r>
          </w:p>
        </w:tc>
        <w:tc>
          <w:tcPr>
            <w:tcW w:w="4860" w:type="dxa"/>
            <w:vAlign w:val="bottom"/>
            <w:tcBorders>
              <w:top w:val="single" w:sz="8" w:color="999999"/>
            </w:tcBorders>
            <w:shd w:val="clear" w:color="auto" w:fill="C8CCE5"/>
          </w:tcPr>
          <w:p>
            <w:pPr>
              <w:ind w:left="60"/>
              <w:spacing w:after="0"/>
              <w:rPr>
                <w:sz w:val="20"/>
                <w:szCs w:val="20"/>
                <w:color w:val="auto"/>
              </w:rPr>
            </w:pPr>
            <w:r>
              <w:rPr>
                <w:rFonts w:ascii="Arial" w:cs="Arial" w:eastAsia="Arial" w:hAnsi="Arial"/>
                <w:sz w:val="15"/>
                <w:szCs w:val="15"/>
                <w:color w:val="231F20"/>
              </w:rPr>
              <w:t>Substantially revised CD&amp;A section of proxy statement and provided</w:t>
            </w:r>
          </w:p>
        </w:tc>
        <w:tc>
          <w:tcPr>
            <w:tcW w:w="1220" w:type="dxa"/>
            <w:vAlign w:val="bottom"/>
            <w:tcBorders>
              <w:top w:val="single" w:sz="8" w:color="999999"/>
            </w:tcBorders>
            <w:shd w:val="clear" w:color="auto" w:fill="EAEAEC"/>
          </w:tcPr>
          <w:p>
            <w:pPr>
              <w:ind w:left="60"/>
              <w:spacing w:after="0"/>
              <w:rPr>
                <w:sz w:val="20"/>
                <w:szCs w:val="20"/>
                <w:color w:val="auto"/>
              </w:rPr>
            </w:pPr>
            <w:r>
              <w:rPr>
                <w:rFonts w:ascii="Arial" w:cs="Arial" w:eastAsia="Arial" w:hAnsi="Arial"/>
                <w:sz w:val="15"/>
                <w:szCs w:val="15"/>
                <w:color w:val="231F20"/>
              </w:rPr>
              <w:t>2014–2020</w:t>
            </w:r>
          </w:p>
        </w:tc>
      </w:tr>
      <w:tr>
        <w:trPr>
          <w:trHeight w:val="162"/>
        </w:trPr>
        <w:tc>
          <w:tcPr>
            <w:tcW w:w="2020" w:type="dxa"/>
            <w:vAlign w:val="bottom"/>
            <w:shd w:val="clear" w:color="auto" w:fill="EAEAEC"/>
          </w:tcPr>
          <w:p>
            <w:pPr>
              <w:ind w:left="40"/>
              <w:spacing w:after="0" w:line="162" w:lineRule="exact"/>
              <w:rPr>
                <w:sz w:val="20"/>
                <w:szCs w:val="20"/>
                <w:color w:val="auto"/>
              </w:rPr>
            </w:pPr>
            <w:r>
              <w:rPr>
                <w:rFonts w:ascii="Arial" w:cs="Arial" w:eastAsia="Arial" w:hAnsi="Arial"/>
                <w:sz w:val="15"/>
                <w:szCs w:val="15"/>
                <w:b w:val="1"/>
                <w:bCs w:val="1"/>
                <w:color w:val="231F20"/>
              </w:rPr>
              <w:t>more clearly about</w:t>
            </w:r>
          </w:p>
        </w:tc>
        <w:tc>
          <w:tcPr>
            <w:tcW w:w="4860" w:type="dxa"/>
            <w:vAlign w:val="bottom"/>
            <w:shd w:val="clear" w:color="auto" w:fill="C8CCE5"/>
          </w:tcPr>
          <w:p>
            <w:pPr>
              <w:ind w:left="60"/>
              <w:spacing w:after="0" w:line="162" w:lineRule="exact"/>
              <w:rPr>
                <w:sz w:val="20"/>
                <w:szCs w:val="20"/>
                <w:color w:val="auto"/>
              </w:rPr>
            </w:pPr>
            <w:r>
              <w:rPr>
                <w:rFonts w:ascii="Arial" w:cs="Arial" w:eastAsia="Arial" w:hAnsi="Arial"/>
                <w:sz w:val="15"/>
                <w:szCs w:val="15"/>
                <w:color w:val="231F20"/>
              </w:rPr>
              <w:t>additional information regarding compensation decisions and our</w:t>
            </w:r>
          </w:p>
        </w:tc>
        <w:tc>
          <w:tcPr>
            <w:tcW w:w="1220" w:type="dxa"/>
            <w:vAlign w:val="bottom"/>
            <w:shd w:val="clear" w:color="auto" w:fill="EAEAEC"/>
          </w:tcPr>
          <w:p>
            <w:pPr>
              <w:spacing w:after="0"/>
              <w:rPr>
                <w:sz w:val="14"/>
                <w:szCs w:val="14"/>
                <w:color w:val="auto"/>
              </w:rPr>
            </w:pPr>
          </w:p>
        </w:tc>
      </w:tr>
      <w:tr>
        <w:trPr>
          <w:trHeight w:val="162"/>
        </w:trPr>
        <w:tc>
          <w:tcPr>
            <w:tcW w:w="2020" w:type="dxa"/>
            <w:vAlign w:val="bottom"/>
            <w:shd w:val="clear" w:color="auto" w:fill="EAEAEC"/>
          </w:tcPr>
          <w:p>
            <w:pPr>
              <w:ind w:left="40"/>
              <w:spacing w:after="0" w:line="162" w:lineRule="exact"/>
              <w:rPr>
                <w:sz w:val="20"/>
                <w:szCs w:val="20"/>
                <w:color w:val="auto"/>
              </w:rPr>
            </w:pPr>
            <w:r>
              <w:rPr>
                <w:rFonts w:ascii="Arial" w:cs="Arial" w:eastAsia="Arial" w:hAnsi="Arial"/>
                <w:sz w:val="15"/>
                <w:szCs w:val="15"/>
                <w:b w:val="1"/>
                <w:bCs w:val="1"/>
                <w:color w:val="231F20"/>
              </w:rPr>
              <w:t>compensation matters</w:t>
            </w:r>
          </w:p>
        </w:tc>
        <w:tc>
          <w:tcPr>
            <w:tcW w:w="4860" w:type="dxa"/>
            <w:vAlign w:val="bottom"/>
            <w:shd w:val="clear" w:color="auto" w:fill="C8CCE5"/>
          </w:tcPr>
          <w:p>
            <w:pPr>
              <w:ind w:left="60"/>
              <w:spacing w:after="0" w:line="162" w:lineRule="exact"/>
              <w:rPr>
                <w:sz w:val="20"/>
                <w:szCs w:val="20"/>
                <w:color w:val="auto"/>
              </w:rPr>
            </w:pPr>
            <w:r>
              <w:rPr>
                <w:rFonts w:ascii="Arial" w:cs="Arial" w:eastAsia="Arial" w:hAnsi="Arial"/>
                <w:sz w:val="15"/>
                <w:szCs w:val="15"/>
                <w:color w:val="231F20"/>
              </w:rPr>
              <w:t>compensation philosophy</w:t>
            </w:r>
          </w:p>
        </w:tc>
        <w:tc>
          <w:tcPr>
            <w:tcW w:w="1220" w:type="dxa"/>
            <w:vAlign w:val="bottom"/>
            <w:shd w:val="clear" w:color="auto" w:fill="EAEAEC"/>
          </w:tcPr>
          <w:p>
            <w:pPr>
              <w:spacing w:after="0"/>
              <w:rPr>
                <w:sz w:val="14"/>
                <w:szCs w:val="14"/>
                <w:color w:val="auto"/>
              </w:rPr>
            </w:pPr>
          </w:p>
        </w:tc>
      </w:tr>
      <w:tr>
        <w:trPr>
          <w:trHeight w:val="162"/>
        </w:trPr>
        <w:tc>
          <w:tcPr>
            <w:tcW w:w="2020" w:type="dxa"/>
            <w:vAlign w:val="bottom"/>
            <w:shd w:val="clear" w:color="auto" w:fill="EAEAEC"/>
          </w:tcPr>
          <w:p>
            <w:pPr>
              <w:ind w:left="40"/>
              <w:spacing w:after="0" w:line="162" w:lineRule="exact"/>
              <w:rPr>
                <w:sz w:val="20"/>
                <w:szCs w:val="20"/>
                <w:color w:val="auto"/>
              </w:rPr>
            </w:pPr>
            <w:r>
              <w:rPr>
                <w:rFonts w:ascii="Arial" w:cs="Arial" w:eastAsia="Arial" w:hAnsi="Arial"/>
                <w:sz w:val="15"/>
                <w:szCs w:val="15"/>
                <w:b w:val="1"/>
                <w:bCs w:val="1"/>
                <w:color w:val="231F20"/>
              </w:rPr>
              <w:t>and link to Regeneron’s</w:t>
            </w:r>
          </w:p>
        </w:tc>
        <w:tc>
          <w:tcPr>
            <w:tcW w:w="4860" w:type="dxa"/>
            <w:vAlign w:val="bottom"/>
            <w:shd w:val="clear" w:color="auto" w:fill="C8CCE5"/>
          </w:tcPr>
          <w:p>
            <w:pPr>
              <w:spacing w:after="0"/>
              <w:rPr>
                <w:sz w:val="14"/>
                <w:szCs w:val="14"/>
                <w:color w:val="auto"/>
              </w:rPr>
            </w:pPr>
          </w:p>
        </w:tc>
        <w:tc>
          <w:tcPr>
            <w:tcW w:w="1220" w:type="dxa"/>
            <w:vAlign w:val="bottom"/>
            <w:shd w:val="clear" w:color="auto" w:fill="EAEAEC"/>
          </w:tcPr>
          <w:p>
            <w:pPr>
              <w:spacing w:after="0"/>
              <w:rPr>
                <w:sz w:val="14"/>
                <w:szCs w:val="14"/>
                <w:color w:val="auto"/>
              </w:rPr>
            </w:pPr>
          </w:p>
        </w:tc>
      </w:tr>
      <w:tr>
        <w:trPr>
          <w:trHeight w:val="162"/>
        </w:trPr>
        <w:tc>
          <w:tcPr>
            <w:tcW w:w="2020" w:type="dxa"/>
            <w:vAlign w:val="bottom"/>
            <w:shd w:val="clear" w:color="auto" w:fill="EAEAEC"/>
          </w:tcPr>
          <w:p>
            <w:pPr>
              <w:ind w:left="40"/>
              <w:spacing w:after="0" w:line="162" w:lineRule="exact"/>
              <w:rPr>
                <w:sz w:val="20"/>
                <w:szCs w:val="20"/>
                <w:color w:val="auto"/>
              </w:rPr>
            </w:pPr>
            <w:r>
              <w:rPr>
                <w:rFonts w:ascii="Arial" w:cs="Arial" w:eastAsia="Arial" w:hAnsi="Arial"/>
                <w:sz w:val="15"/>
                <w:szCs w:val="15"/>
                <w:b w:val="1"/>
                <w:bCs w:val="1"/>
                <w:color w:val="231F20"/>
              </w:rPr>
              <w:t>business model and</w:t>
            </w:r>
          </w:p>
        </w:tc>
        <w:tc>
          <w:tcPr>
            <w:tcW w:w="4860" w:type="dxa"/>
            <w:vAlign w:val="bottom"/>
            <w:shd w:val="clear" w:color="auto" w:fill="C8CCE5"/>
          </w:tcPr>
          <w:p>
            <w:pPr>
              <w:spacing w:after="0"/>
              <w:rPr>
                <w:sz w:val="14"/>
                <w:szCs w:val="14"/>
                <w:color w:val="auto"/>
              </w:rPr>
            </w:pPr>
          </w:p>
        </w:tc>
        <w:tc>
          <w:tcPr>
            <w:tcW w:w="1220" w:type="dxa"/>
            <w:vAlign w:val="bottom"/>
            <w:shd w:val="clear" w:color="auto" w:fill="EAEAEC"/>
          </w:tcPr>
          <w:p>
            <w:pPr>
              <w:spacing w:after="0"/>
              <w:rPr>
                <w:sz w:val="14"/>
                <w:szCs w:val="14"/>
                <w:color w:val="auto"/>
              </w:rPr>
            </w:pPr>
          </w:p>
        </w:tc>
      </w:tr>
      <w:tr>
        <w:trPr>
          <w:trHeight w:val="217"/>
        </w:trPr>
        <w:tc>
          <w:tcPr>
            <w:tcW w:w="2020" w:type="dxa"/>
            <w:vAlign w:val="bottom"/>
            <w:tcBorders>
              <w:bottom w:val="single" w:sz="8" w:color="EAEAEC"/>
            </w:tcBorders>
            <w:shd w:val="clear" w:color="auto" w:fill="EAEAEC"/>
          </w:tcPr>
          <w:p>
            <w:pPr>
              <w:ind w:left="40"/>
              <w:spacing w:after="0"/>
              <w:rPr>
                <w:sz w:val="20"/>
                <w:szCs w:val="20"/>
                <w:color w:val="auto"/>
              </w:rPr>
            </w:pPr>
            <w:r>
              <w:rPr>
                <w:rFonts w:ascii="Arial" w:cs="Arial" w:eastAsia="Arial" w:hAnsi="Arial"/>
                <w:sz w:val="15"/>
                <w:szCs w:val="15"/>
                <w:b w:val="1"/>
                <w:bCs w:val="1"/>
                <w:color w:val="231F20"/>
              </w:rPr>
              <w:t>performance</w:t>
            </w:r>
          </w:p>
        </w:tc>
        <w:tc>
          <w:tcPr>
            <w:tcW w:w="4860" w:type="dxa"/>
            <w:vAlign w:val="bottom"/>
            <w:tcBorders>
              <w:bottom w:val="single" w:sz="8" w:color="C8CCE5"/>
            </w:tcBorders>
            <w:shd w:val="clear" w:color="auto" w:fill="C8CCE5"/>
          </w:tcPr>
          <w:p>
            <w:pPr>
              <w:spacing w:after="0"/>
              <w:rPr>
                <w:sz w:val="18"/>
                <w:szCs w:val="18"/>
                <w:color w:val="auto"/>
              </w:rPr>
            </w:pPr>
          </w:p>
        </w:tc>
        <w:tc>
          <w:tcPr>
            <w:tcW w:w="1220" w:type="dxa"/>
            <w:vAlign w:val="bottom"/>
            <w:tcBorders>
              <w:bottom w:val="single" w:sz="8" w:color="EAEAEC"/>
            </w:tcBorders>
            <w:shd w:val="clear" w:color="auto" w:fill="EAEAEC"/>
          </w:tcPr>
          <w:p>
            <w:pPr>
              <w:spacing w:after="0"/>
              <w:rPr>
                <w:sz w:val="18"/>
                <w:szCs w:val="18"/>
                <w:color w:val="auto"/>
              </w:rPr>
            </w:pPr>
          </w:p>
        </w:tc>
      </w:tr>
      <w:tr>
        <w:trPr>
          <w:trHeight w:val="20"/>
        </w:trPr>
        <w:tc>
          <w:tcPr>
            <w:tcW w:w="2020" w:type="dxa"/>
            <w:vAlign w:val="bottom"/>
            <w:shd w:val="clear" w:color="auto" w:fill="2952A4"/>
          </w:tcPr>
          <w:p>
            <w:pPr>
              <w:spacing w:after="0" w:line="20" w:lineRule="exact"/>
              <w:rPr>
                <w:sz w:val="1"/>
                <w:szCs w:val="1"/>
                <w:color w:val="auto"/>
              </w:rPr>
            </w:pPr>
          </w:p>
        </w:tc>
        <w:tc>
          <w:tcPr>
            <w:tcW w:w="4860" w:type="dxa"/>
            <w:vAlign w:val="bottom"/>
            <w:shd w:val="clear" w:color="auto" w:fill="2952A4"/>
          </w:tcPr>
          <w:p>
            <w:pPr>
              <w:spacing w:after="0" w:line="20" w:lineRule="exact"/>
              <w:rPr>
                <w:sz w:val="1"/>
                <w:szCs w:val="1"/>
                <w:color w:val="auto"/>
              </w:rPr>
            </w:pPr>
          </w:p>
        </w:tc>
        <w:tc>
          <w:tcPr>
            <w:tcW w:w="1220" w:type="dxa"/>
            <w:vAlign w:val="bottom"/>
            <w:shd w:val="clear" w:color="auto" w:fill="2952A4"/>
          </w:tcPr>
          <w:p>
            <w:pPr>
              <w:spacing w:after="0" w:line="20" w:lineRule="exact"/>
              <w:rPr>
                <w:sz w:val="1"/>
                <w:szCs w:val="1"/>
                <w:color w:val="auto"/>
              </w:rPr>
            </w:pPr>
          </w:p>
        </w:tc>
      </w:tr>
    </w:tbl>
    <w:p>
      <w:pPr>
        <w:spacing w:after="0" w:line="159" w:lineRule="exact"/>
        <w:rPr>
          <w:sz w:val="20"/>
          <w:szCs w:val="20"/>
          <w:color w:val="auto"/>
        </w:rPr>
      </w:pPr>
    </w:p>
    <w:p>
      <w:pPr>
        <w:jc w:val="both"/>
        <w:ind w:left="460" w:right="859"/>
        <w:spacing w:after="0" w:line="242" w:lineRule="auto"/>
        <w:rPr>
          <w:sz w:val="20"/>
          <w:szCs w:val="20"/>
          <w:color w:val="auto"/>
        </w:rPr>
      </w:pPr>
      <w:r>
        <w:rPr>
          <w:rFonts w:ascii="Arial" w:cs="Arial" w:eastAsia="Arial" w:hAnsi="Arial"/>
          <w:sz w:val="15"/>
          <w:szCs w:val="15"/>
          <w:color w:val="231F20"/>
        </w:rPr>
        <w:t>We also provide all shareholders and others a means to contact us at any time. That information is included in this proxy statement—see “Shareholders—Shareholder Communications.” We welcome your input.</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80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92" w:name="page93"/>
    <w:bookmarkEnd w:id="92"/>
    <w:p>
      <w:pPr>
        <w:ind w:left="28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6" w:lineRule="exact"/>
        <w:rPr>
          <w:sz w:val="20"/>
          <w:szCs w:val="20"/>
          <w:color w:val="auto"/>
        </w:rPr>
      </w:pPr>
    </w:p>
    <w:p>
      <w:pPr>
        <w:ind w:left="1580" w:right="1680"/>
        <w:spacing w:after="0" w:line="228" w:lineRule="auto"/>
        <w:rPr>
          <w:sz w:val="20"/>
          <w:szCs w:val="20"/>
          <w:color w:val="auto"/>
        </w:rPr>
      </w:pPr>
      <w:r>
        <w:rPr>
          <w:rFonts w:ascii="Arial" w:cs="Arial" w:eastAsia="Arial" w:hAnsi="Arial"/>
          <w:sz w:val="15"/>
          <w:szCs w:val="15"/>
          <w:color w:val="231F20"/>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In 2019, the Compensation Committee (and, as discussed above with respect to non-employee director compensation matters, the Corporate Governance and Compliance Committee) utilized the services of Frederic W. Cook &amp; Co. In order to maintain its independence, the Compensation Committee retained Frederic W. Cook &amp; Co. directly and Frederic W. Cook &amp; Co.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2019 the Compensation Committee evaluated the independence of Frederic W. Cook &amp; Co., including by taking into consideration the following factors:</w:t>
      </w:r>
    </w:p>
    <w:p>
      <w:pPr>
        <w:spacing w:after="0" w:line="143" w:lineRule="exact"/>
        <w:rPr>
          <w:sz w:val="20"/>
          <w:szCs w:val="20"/>
          <w:color w:val="auto"/>
        </w:rPr>
      </w:pPr>
    </w:p>
    <w:p>
      <w:pPr>
        <w:ind w:left="1840" w:right="1660" w:hanging="266"/>
        <w:spacing w:after="0" w:line="242" w:lineRule="auto"/>
        <w:tabs>
          <w:tab w:leader="none" w:pos="1840" w:val="left"/>
        </w:tabs>
        <w:numPr>
          <w:ilvl w:val="0"/>
          <w:numId w:val="161"/>
        </w:numPr>
        <w:rPr>
          <w:rFonts w:ascii="Arial" w:cs="Arial" w:eastAsia="Arial" w:hAnsi="Arial"/>
          <w:sz w:val="15"/>
          <w:szCs w:val="15"/>
          <w:color w:val="2952A4"/>
        </w:rPr>
      </w:pPr>
      <w:r>
        <w:rPr>
          <w:rFonts w:ascii="Arial" w:cs="Arial" w:eastAsia="Arial" w:hAnsi="Arial"/>
          <w:sz w:val="15"/>
          <w:szCs w:val="15"/>
          <w:color w:val="231F20"/>
        </w:rPr>
        <w:t>the fact that Frederic W. Cook &amp; Co. did not provide any other services to the Company (other than those provided to the Corporate Governance and Compliance Committee);</w:t>
      </w:r>
    </w:p>
    <w:p>
      <w:pPr>
        <w:spacing w:after="0" w:line="138" w:lineRule="exact"/>
        <w:rPr>
          <w:rFonts w:ascii="Arial" w:cs="Arial" w:eastAsia="Arial" w:hAnsi="Arial"/>
          <w:sz w:val="15"/>
          <w:szCs w:val="15"/>
          <w:color w:val="2952A4"/>
        </w:rPr>
      </w:pPr>
    </w:p>
    <w:p>
      <w:pPr>
        <w:ind w:left="1840" w:hanging="266"/>
        <w:spacing w:after="0"/>
        <w:tabs>
          <w:tab w:leader="none" w:pos="1840" w:val="left"/>
        </w:tabs>
        <w:numPr>
          <w:ilvl w:val="0"/>
          <w:numId w:val="161"/>
        </w:numPr>
        <w:rPr>
          <w:rFonts w:ascii="Arial" w:cs="Arial" w:eastAsia="Arial" w:hAnsi="Arial"/>
          <w:sz w:val="15"/>
          <w:szCs w:val="15"/>
          <w:color w:val="2952A4"/>
        </w:rPr>
      </w:pPr>
      <w:r>
        <w:rPr>
          <w:rFonts w:ascii="Arial" w:cs="Arial" w:eastAsia="Arial" w:hAnsi="Arial"/>
          <w:sz w:val="15"/>
          <w:szCs w:val="15"/>
          <w:color w:val="231F20"/>
        </w:rPr>
        <w:t>the amount of fees received from the Company by Frederic W. Cook &amp; Co. as a percentage of its revenue;</w:t>
      </w:r>
    </w:p>
    <w:p>
      <w:pPr>
        <w:spacing w:after="0" w:line="151" w:lineRule="exact"/>
        <w:rPr>
          <w:rFonts w:ascii="Arial" w:cs="Arial" w:eastAsia="Arial" w:hAnsi="Arial"/>
          <w:sz w:val="15"/>
          <w:szCs w:val="15"/>
          <w:color w:val="2952A4"/>
        </w:rPr>
      </w:pPr>
    </w:p>
    <w:p>
      <w:pPr>
        <w:ind w:left="1840" w:hanging="266"/>
        <w:spacing w:after="0"/>
        <w:tabs>
          <w:tab w:leader="none" w:pos="1840" w:val="left"/>
        </w:tabs>
        <w:numPr>
          <w:ilvl w:val="0"/>
          <w:numId w:val="161"/>
        </w:numPr>
        <w:rPr>
          <w:rFonts w:ascii="Arial" w:cs="Arial" w:eastAsia="Arial" w:hAnsi="Arial"/>
          <w:sz w:val="15"/>
          <w:szCs w:val="15"/>
          <w:color w:val="2952A4"/>
        </w:rPr>
      </w:pPr>
      <w:r>
        <w:rPr>
          <w:rFonts w:ascii="Arial" w:cs="Arial" w:eastAsia="Arial" w:hAnsi="Arial"/>
          <w:sz w:val="15"/>
          <w:szCs w:val="15"/>
          <w:color w:val="231F20"/>
        </w:rPr>
        <w:t>the policies and procedures of Frederic W. Cook &amp; Co. designed to prevent conflicts of interest;</w:t>
      </w:r>
    </w:p>
    <w:p>
      <w:pPr>
        <w:spacing w:after="0" w:line="151" w:lineRule="exact"/>
        <w:rPr>
          <w:rFonts w:ascii="Arial" w:cs="Arial" w:eastAsia="Arial" w:hAnsi="Arial"/>
          <w:sz w:val="15"/>
          <w:szCs w:val="15"/>
          <w:color w:val="2952A4"/>
        </w:rPr>
      </w:pPr>
    </w:p>
    <w:p>
      <w:pPr>
        <w:ind w:left="1840" w:right="1740" w:hanging="266"/>
        <w:spacing w:after="0" w:line="242" w:lineRule="auto"/>
        <w:tabs>
          <w:tab w:leader="none" w:pos="1840" w:val="left"/>
        </w:tabs>
        <w:numPr>
          <w:ilvl w:val="0"/>
          <w:numId w:val="161"/>
        </w:numPr>
        <w:rPr>
          <w:rFonts w:ascii="Arial" w:cs="Arial" w:eastAsia="Arial" w:hAnsi="Arial"/>
          <w:sz w:val="15"/>
          <w:szCs w:val="15"/>
          <w:color w:val="2952A4"/>
        </w:rPr>
      </w:pPr>
      <w:r>
        <w:rPr>
          <w:rFonts w:ascii="Arial" w:cs="Arial" w:eastAsia="Arial" w:hAnsi="Arial"/>
          <w:sz w:val="15"/>
          <w:szCs w:val="15"/>
          <w:color w:val="231F20"/>
        </w:rPr>
        <w:t>the absence of any significant business or personal relationship between Frederic W. Cook &amp; Co. representatives and any member of the Compensation Committee;</w:t>
      </w:r>
    </w:p>
    <w:p>
      <w:pPr>
        <w:spacing w:after="0" w:line="138" w:lineRule="exact"/>
        <w:rPr>
          <w:rFonts w:ascii="Arial" w:cs="Arial" w:eastAsia="Arial" w:hAnsi="Arial"/>
          <w:sz w:val="15"/>
          <w:szCs w:val="15"/>
          <w:color w:val="2952A4"/>
        </w:rPr>
      </w:pPr>
    </w:p>
    <w:p>
      <w:pPr>
        <w:ind w:left="1840" w:right="1680" w:hanging="266"/>
        <w:spacing w:after="0" w:line="242" w:lineRule="auto"/>
        <w:tabs>
          <w:tab w:leader="none" w:pos="1840" w:val="left"/>
        </w:tabs>
        <w:numPr>
          <w:ilvl w:val="0"/>
          <w:numId w:val="161"/>
        </w:numPr>
        <w:rPr>
          <w:rFonts w:ascii="Arial" w:cs="Arial" w:eastAsia="Arial" w:hAnsi="Arial"/>
          <w:sz w:val="15"/>
          <w:szCs w:val="15"/>
          <w:color w:val="2952A4"/>
        </w:rPr>
      </w:pPr>
      <w:r>
        <w:rPr>
          <w:rFonts w:ascii="Arial" w:cs="Arial" w:eastAsia="Arial" w:hAnsi="Arial"/>
          <w:sz w:val="15"/>
          <w:szCs w:val="15"/>
          <w:color w:val="231F20"/>
        </w:rPr>
        <w:t>the fact that Frederic W. Cook and the representatives of Frederic W. Cook &amp; Co. to the Company did not own any stock of the Company; and</w:t>
      </w:r>
    </w:p>
    <w:p>
      <w:pPr>
        <w:spacing w:after="0" w:line="138" w:lineRule="exact"/>
        <w:rPr>
          <w:rFonts w:ascii="Arial" w:cs="Arial" w:eastAsia="Arial" w:hAnsi="Arial"/>
          <w:sz w:val="15"/>
          <w:szCs w:val="15"/>
          <w:color w:val="2952A4"/>
        </w:rPr>
      </w:pPr>
    </w:p>
    <w:p>
      <w:pPr>
        <w:ind w:left="1840" w:right="2600" w:hanging="266"/>
        <w:spacing w:after="0" w:line="242" w:lineRule="auto"/>
        <w:tabs>
          <w:tab w:leader="none" w:pos="1840" w:val="left"/>
        </w:tabs>
        <w:numPr>
          <w:ilvl w:val="0"/>
          <w:numId w:val="161"/>
        </w:numPr>
        <w:rPr>
          <w:rFonts w:ascii="Arial" w:cs="Arial" w:eastAsia="Arial" w:hAnsi="Arial"/>
          <w:sz w:val="15"/>
          <w:szCs w:val="15"/>
          <w:color w:val="2952A4"/>
        </w:rPr>
      </w:pPr>
      <w:r>
        <w:rPr>
          <w:rFonts w:ascii="Arial" w:cs="Arial" w:eastAsia="Arial" w:hAnsi="Arial"/>
          <w:sz w:val="15"/>
          <w:szCs w:val="15"/>
          <w:color w:val="231F20"/>
        </w:rPr>
        <w:t>the absence of any material business or personal relationship between Frederic W. Cook &amp; Co. or its representatives and any executive officer of the Company.</w:t>
      </w:r>
    </w:p>
    <w:p>
      <w:pPr>
        <w:spacing w:after="0" w:line="128"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The Compensation Committee’s evaluation was based in part on a representation letter from Frederic W. Cook &amp; Co.</w:t>
      </w:r>
    </w:p>
    <w:p>
      <w:pPr>
        <w:ind w:left="1580"/>
        <w:spacing w:after="0" w:line="225" w:lineRule="auto"/>
        <w:rPr>
          <w:sz w:val="20"/>
          <w:szCs w:val="20"/>
          <w:color w:val="auto"/>
        </w:rPr>
      </w:pPr>
      <w:r>
        <w:rPr>
          <w:rFonts w:ascii="Arial" w:cs="Arial" w:eastAsia="Arial" w:hAnsi="Arial"/>
          <w:sz w:val="15"/>
          <w:szCs w:val="15"/>
          <w:color w:val="231F20"/>
        </w:rPr>
        <w:t>On the basis of this evaluation, the Compensation Committee concluded that the engagement of Frederic W. Cook &amp;</w:t>
      </w:r>
    </w:p>
    <w:p>
      <w:pPr>
        <w:ind w:left="1580"/>
        <w:spacing w:after="0"/>
        <w:rPr>
          <w:sz w:val="20"/>
          <w:szCs w:val="20"/>
          <w:color w:val="auto"/>
        </w:rPr>
      </w:pPr>
      <w:r>
        <w:rPr>
          <w:rFonts w:ascii="Arial" w:cs="Arial" w:eastAsia="Arial" w:hAnsi="Arial"/>
          <w:sz w:val="15"/>
          <w:szCs w:val="15"/>
          <w:color w:val="231F20"/>
        </w:rPr>
        <w:t>Co. did not raise any conflicts of interest.</w:t>
      </w:r>
    </w:p>
    <w:p>
      <w:pPr>
        <w:spacing w:after="0" w:line="152" w:lineRule="exact"/>
        <w:rPr>
          <w:sz w:val="20"/>
          <w:szCs w:val="20"/>
          <w:color w:val="auto"/>
        </w:rPr>
      </w:pPr>
    </w:p>
    <w:p>
      <w:pPr>
        <w:ind w:left="1580" w:right="1680"/>
        <w:spacing w:after="0"/>
        <w:rPr>
          <w:sz w:val="20"/>
          <w:szCs w:val="20"/>
          <w:color w:val="auto"/>
        </w:rPr>
      </w:pPr>
      <w:r>
        <w:rPr>
          <w:rFonts w:ascii="Arial" w:cs="Arial" w:eastAsia="Arial" w:hAnsi="Arial"/>
          <w:sz w:val="15"/>
          <w:szCs w:val="15"/>
          <w:color w:val="231F20"/>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the other members of the Board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or replenishment of our long-term equity incentive plan.</w:t>
      </w:r>
    </w:p>
    <w:p>
      <w:pPr>
        <w:spacing w:after="0" w:line="203"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PEER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right="1800"/>
        <w:spacing w:after="0" w:line="233" w:lineRule="auto"/>
        <w:rPr>
          <w:sz w:val="20"/>
          <w:szCs w:val="20"/>
          <w:color w:val="auto"/>
        </w:rPr>
      </w:pPr>
      <w:r>
        <w:rPr>
          <w:rFonts w:ascii="Arial" w:cs="Arial" w:eastAsia="Arial" w:hAnsi="Arial"/>
          <w:sz w:val="15"/>
          <w:szCs w:val="15"/>
          <w:color w:val="231F20"/>
        </w:rPr>
        <w:t>For purposes of setting our NEOs’ and other senior executives’ compensation, we use comparative compensation information from a relevant peer group of companies (referred to in this proxy statement as “Peer Group”). We select the companies in the Peer Group with the assistance of Frederic W. Cook &amp; Co. based on factors including, but not limited to, the following:</w:t>
      </w:r>
    </w:p>
    <w:p>
      <w:pPr>
        <w:spacing w:after="0" w:line="140" w:lineRule="exact"/>
        <w:rPr>
          <w:sz w:val="20"/>
          <w:szCs w:val="20"/>
          <w:color w:val="auto"/>
        </w:rPr>
      </w:pPr>
    </w:p>
    <w:p>
      <w:pPr>
        <w:ind w:left="1580"/>
        <w:spacing w:after="0"/>
        <w:tabs>
          <w:tab w:leader="none" w:pos="1800" w:val="left"/>
          <w:tab w:leader="none" w:pos="5600" w:val="left"/>
          <w:tab w:leader="none" w:pos="5840" w:val="left"/>
        </w:tabs>
        <w:rPr>
          <w:sz w:val="20"/>
          <w:szCs w:val="20"/>
          <w:color w:val="auto"/>
        </w:rPr>
      </w:pPr>
      <w:r>
        <w:rPr>
          <w:rFonts w:ascii="Arial" w:cs="Arial" w:eastAsia="Arial" w:hAnsi="Arial"/>
          <w:sz w:val="15"/>
          <w:szCs w:val="15"/>
          <w:color w:val="2952A4"/>
        </w:rPr>
        <w:t>•</w:t>
      </w:r>
      <w:r>
        <w:rPr>
          <w:rFonts w:ascii="Arial" w:cs="Arial" w:eastAsia="Arial" w:hAnsi="Arial"/>
          <w:sz w:val="15"/>
          <w:szCs w:val="15"/>
          <w:color w:val="231F20"/>
        </w:rPr>
        <w:tab/>
        <w:t>research and development orientation;</w:t>
      </w:r>
      <w:r>
        <w:rPr>
          <w:sz w:val="20"/>
          <w:szCs w:val="20"/>
          <w:color w:val="auto"/>
        </w:rPr>
        <w:tab/>
      </w:r>
      <w:r>
        <w:rPr>
          <w:rFonts w:ascii="Arial" w:cs="Arial" w:eastAsia="Arial" w:hAnsi="Arial"/>
          <w:sz w:val="15"/>
          <w:szCs w:val="15"/>
          <w:color w:val="2952A4"/>
        </w:rPr>
        <w:t>•</w:t>
      </w:r>
      <w:r>
        <w:rPr>
          <w:rFonts w:ascii="Arial" w:cs="Arial" w:eastAsia="Arial" w:hAnsi="Arial"/>
          <w:sz w:val="15"/>
          <w:szCs w:val="15"/>
          <w:color w:val="231F20"/>
        </w:rPr>
        <w:tab/>
        <w:t>stage of development; and</w:t>
      </w:r>
    </w:p>
    <w:p>
      <w:pPr>
        <w:spacing w:after="0" w:line="152" w:lineRule="exact"/>
        <w:rPr>
          <w:sz w:val="20"/>
          <w:szCs w:val="20"/>
          <w:color w:val="auto"/>
        </w:rPr>
      </w:pPr>
    </w:p>
    <w:p>
      <w:pPr>
        <w:ind w:left="1580"/>
        <w:spacing w:after="0"/>
        <w:tabs>
          <w:tab w:leader="none" w:pos="1800" w:val="left"/>
          <w:tab w:leader="none" w:pos="5600" w:val="left"/>
          <w:tab w:leader="none" w:pos="5840" w:val="left"/>
        </w:tabs>
        <w:rPr>
          <w:sz w:val="20"/>
          <w:szCs w:val="20"/>
          <w:color w:val="auto"/>
        </w:rPr>
      </w:pPr>
      <w:r>
        <w:rPr>
          <w:rFonts w:ascii="Arial" w:cs="Arial" w:eastAsia="Arial" w:hAnsi="Arial"/>
          <w:sz w:val="15"/>
          <w:szCs w:val="15"/>
          <w:color w:val="2952A4"/>
        </w:rPr>
        <w:t>•</w:t>
      </w:r>
      <w:r>
        <w:rPr>
          <w:rFonts w:ascii="Arial" w:cs="Arial" w:eastAsia="Arial" w:hAnsi="Arial"/>
          <w:sz w:val="15"/>
          <w:szCs w:val="15"/>
          <w:color w:val="231F20"/>
        </w:rPr>
        <w:tab/>
        <w:t>market capitalization;</w:t>
      </w:r>
      <w:r>
        <w:rPr>
          <w:sz w:val="20"/>
          <w:szCs w:val="20"/>
          <w:color w:val="auto"/>
        </w:rPr>
        <w:tab/>
      </w:r>
      <w:r>
        <w:rPr>
          <w:rFonts w:ascii="Arial" w:cs="Arial" w:eastAsia="Arial" w:hAnsi="Arial"/>
          <w:sz w:val="15"/>
          <w:szCs w:val="15"/>
          <w:color w:val="2952A4"/>
        </w:rPr>
        <w:t>•</w:t>
      </w:r>
      <w:r>
        <w:rPr>
          <w:rFonts w:ascii="Arial" w:cs="Arial" w:eastAsia="Arial" w:hAnsi="Arial"/>
          <w:sz w:val="15"/>
          <w:szCs w:val="15"/>
          <w:color w:val="231F20"/>
        </w:rPr>
        <w:tab/>
        <w:t>total revenues.</w:t>
      </w:r>
    </w:p>
    <w:p>
      <w:pPr>
        <w:spacing w:after="0" w:line="152" w:lineRule="exact"/>
        <w:rPr>
          <w:sz w:val="20"/>
          <w:szCs w:val="20"/>
          <w:color w:val="auto"/>
        </w:rPr>
      </w:pPr>
    </w:p>
    <w:p>
      <w:pPr>
        <w:ind w:left="1820" w:hanging="246"/>
        <w:spacing w:after="0"/>
        <w:tabs>
          <w:tab w:leader="none" w:pos="1820" w:val="left"/>
        </w:tabs>
        <w:numPr>
          <w:ilvl w:val="0"/>
          <w:numId w:val="162"/>
        </w:numPr>
        <w:rPr>
          <w:rFonts w:ascii="Arial" w:cs="Arial" w:eastAsia="Arial" w:hAnsi="Arial"/>
          <w:sz w:val="15"/>
          <w:szCs w:val="15"/>
          <w:color w:val="2952A4"/>
        </w:rPr>
      </w:pPr>
      <w:r>
        <w:rPr>
          <w:rFonts w:ascii="Arial" w:cs="Arial" w:eastAsia="Arial" w:hAnsi="Arial"/>
          <w:sz w:val="15"/>
          <w:szCs w:val="15"/>
          <w:color w:val="231F20"/>
        </w:rPr>
        <w:t>number of employees;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81</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93" w:name="page94"/>
    <w:bookmarkEnd w:id="93"/>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44" w:lineRule="exact"/>
        <w:rPr>
          <w:sz w:val="20"/>
          <w:szCs w:val="20"/>
          <w:color w:val="auto"/>
        </w:rPr>
      </w:pPr>
    </w:p>
    <w:p>
      <w:pPr>
        <w:ind w:left="460" w:right="559"/>
        <w:spacing w:after="0" w:line="233" w:lineRule="auto"/>
        <w:rPr>
          <w:sz w:val="20"/>
          <w:szCs w:val="20"/>
          <w:color w:val="auto"/>
        </w:rPr>
      </w:pPr>
      <w:r>
        <w:rPr>
          <w:rFonts w:ascii="Arial" w:cs="Arial" w:eastAsia="Arial" w:hAnsi="Arial"/>
          <w:sz w:val="15"/>
          <w:szCs w:val="15"/>
          <w:color w:val="231F20"/>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C04C57"/>
        </w:rPr>
        <w:t>The Peer Group utilized in 2019 consists of the following 14 companies: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460" w:type="dxa"/>
            <w:vAlign w:val="bottom"/>
            <w:tcBorders>
              <w:top w:val="single" w:sz="8" w:color="2952A4"/>
              <w:bottom w:val="single" w:sz="8" w:color="auto"/>
            </w:tcBorders>
          </w:tcPr>
          <w:p>
            <w:pPr>
              <w:ind w:left="40"/>
              <w:spacing w:after="0"/>
              <w:rPr>
                <w:sz w:val="20"/>
                <w:szCs w:val="20"/>
                <w:color w:val="auto"/>
              </w:rPr>
            </w:pPr>
            <w:r>
              <w:rPr>
                <w:rFonts w:ascii="Arial" w:cs="Arial" w:eastAsia="Arial" w:hAnsi="Arial"/>
                <w:sz w:val="15"/>
                <w:szCs w:val="15"/>
                <w:color w:val="231F20"/>
              </w:rPr>
              <w:t>AbbVie Inc.</w:t>
            </w:r>
          </w:p>
        </w:tc>
        <w:tc>
          <w:tcPr>
            <w:tcW w:w="2720" w:type="dxa"/>
            <w:vAlign w:val="bottom"/>
            <w:tcBorders>
              <w:top w:val="single" w:sz="8" w:color="2952A4"/>
              <w:bottom w:val="single" w:sz="8" w:color="auto"/>
            </w:tcBorders>
          </w:tcPr>
          <w:p>
            <w:pPr>
              <w:ind w:left="280"/>
              <w:spacing w:after="0"/>
              <w:rPr>
                <w:sz w:val="20"/>
                <w:szCs w:val="20"/>
                <w:color w:val="auto"/>
              </w:rPr>
            </w:pPr>
            <w:r>
              <w:rPr>
                <w:rFonts w:ascii="Arial" w:cs="Arial" w:eastAsia="Arial" w:hAnsi="Arial"/>
                <w:sz w:val="15"/>
                <w:szCs w:val="15"/>
                <w:color w:val="231F20"/>
              </w:rPr>
              <w:t>Biogen Inc.*</w:t>
            </w:r>
          </w:p>
        </w:tc>
        <w:tc>
          <w:tcPr>
            <w:tcW w:w="2920" w:type="dxa"/>
            <w:vAlign w:val="bottom"/>
            <w:tcBorders>
              <w:top w:val="single" w:sz="8" w:color="2952A4"/>
              <w:bottom w:val="single" w:sz="8" w:color="auto"/>
            </w:tcBorders>
          </w:tcPr>
          <w:p>
            <w:pPr>
              <w:ind w:left="320"/>
              <w:spacing w:after="0"/>
              <w:rPr>
                <w:sz w:val="20"/>
                <w:szCs w:val="20"/>
                <w:color w:val="auto"/>
              </w:rPr>
            </w:pPr>
            <w:r>
              <w:rPr>
                <w:rFonts w:ascii="Arial" w:cs="Arial" w:eastAsia="Arial" w:hAnsi="Arial"/>
                <w:sz w:val="15"/>
                <w:szCs w:val="15"/>
                <w:color w:val="231F20"/>
              </w:rPr>
              <w:t>Gilead Sciences, Inc.*</w:t>
            </w:r>
          </w:p>
        </w:tc>
      </w:tr>
      <w:tr>
        <w:trPr>
          <w:trHeight w:val="156"/>
        </w:trPr>
        <w:tc>
          <w:tcPr>
            <w:tcW w:w="2460" w:type="dxa"/>
            <w:vAlign w:val="bottom"/>
            <w:tcBorders>
              <w:bottom w:val="single" w:sz="8" w:color="auto"/>
            </w:tcBorders>
          </w:tcPr>
          <w:p>
            <w:pPr>
              <w:ind w:left="40"/>
              <w:spacing w:after="0" w:line="156" w:lineRule="exact"/>
              <w:rPr>
                <w:sz w:val="20"/>
                <w:szCs w:val="20"/>
                <w:color w:val="auto"/>
              </w:rPr>
            </w:pPr>
            <w:r>
              <w:rPr>
                <w:rFonts w:ascii="Arial" w:cs="Arial" w:eastAsia="Arial" w:hAnsi="Arial"/>
                <w:sz w:val="15"/>
                <w:szCs w:val="15"/>
                <w:color w:val="231F20"/>
              </w:rPr>
              <w:t>Alexion Pharmaceuticals, Inc.*</w:t>
            </w:r>
          </w:p>
        </w:tc>
        <w:tc>
          <w:tcPr>
            <w:tcW w:w="272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5"/>
                <w:szCs w:val="15"/>
                <w:color w:val="231F20"/>
              </w:rPr>
              <w:t>BioMarin Pharmaceutical Inc.*</w:t>
            </w:r>
          </w:p>
        </w:tc>
        <w:tc>
          <w:tcPr>
            <w:tcW w:w="2920" w:type="dxa"/>
            <w:vAlign w:val="bottom"/>
            <w:tcBorders>
              <w:bottom w:val="single" w:sz="8" w:color="auto"/>
            </w:tcBorders>
          </w:tcPr>
          <w:p>
            <w:pPr>
              <w:ind w:left="320"/>
              <w:spacing w:after="0" w:line="156" w:lineRule="exact"/>
              <w:rPr>
                <w:sz w:val="20"/>
                <w:szCs w:val="20"/>
                <w:color w:val="auto"/>
              </w:rPr>
            </w:pPr>
            <w:r>
              <w:rPr>
                <w:rFonts w:ascii="Arial" w:cs="Arial" w:eastAsia="Arial" w:hAnsi="Arial"/>
                <w:sz w:val="15"/>
                <w:szCs w:val="15"/>
                <w:color w:val="231F20"/>
              </w:rPr>
              <w:t>Incyte Corporation*</w:t>
            </w:r>
          </w:p>
        </w:tc>
      </w:tr>
      <w:tr>
        <w:trPr>
          <w:trHeight w:val="155"/>
        </w:trPr>
        <w:tc>
          <w:tcPr>
            <w:tcW w:w="2460" w:type="dxa"/>
            <w:vAlign w:val="bottom"/>
            <w:tcBorders>
              <w:bottom w:val="single" w:sz="8" w:color="auto"/>
            </w:tcBorders>
          </w:tcPr>
          <w:p>
            <w:pPr>
              <w:ind w:left="40"/>
              <w:spacing w:after="0" w:line="156" w:lineRule="exact"/>
              <w:rPr>
                <w:sz w:val="20"/>
                <w:szCs w:val="20"/>
                <w:color w:val="auto"/>
              </w:rPr>
            </w:pPr>
            <w:r>
              <w:rPr>
                <w:rFonts w:ascii="Arial" w:cs="Arial" w:eastAsia="Arial" w:hAnsi="Arial"/>
                <w:sz w:val="15"/>
                <w:szCs w:val="15"/>
                <w:color w:val="231F20"/>
              </w:rPr>
              <w:t>Alkermes plc*</w:t>
            </w:r>
          </w:p>
        </w:tc>
        <w:tc>
          <w:tcPr>
            <w:tcW w:w="272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5"/>
                <w:szCs w:val="15"/>
                <w:color w:val="231F20"/>
              </w:rPr>
              <w:t>Bristol-Myers Squibb Company</w:t>
            </w:r>
          </w:p>
        </w:tc>
        <w:tc>
          <w:tcPr>
            <w:tcW w:w="2920" w:type="dxa"/>
            <w:vAlign w:val="bottom"/>
            <w:tcBorders>
              <w:bottom w:val="single" w:sz="8" w:color="auto"/>
            </w:tcBorders>
          </w:tcPr>
          <w:p>
            <w:pPr>
              <w:ind w:left="320"/>
              <w:spacing w:after="0" w:line="156" w:lineRule="exact"/>
              <w:rPr>
                <w:sz w:val="20"/>
                <w:szCs w:val="20"/>
                <w:color w:val="auto"/>
              </w:rPr>
            </w:pPr>
            <w:r>
              <w:rPr>
                <w:rFonts w:ascii="Arial" w:cs="Arial" w:eastAsia="Arial" w:hAnsi="Arial"/>
                <w:sz w:val="15"/>
                <w:szCs w:val="15"/>
                <w:color w:val="231F20"/>
              </w:rPr>
              <w:t>United Therapeutics Corporation*</w:t>
            </w:r>
          </w:p>
        </w:tc>
      </w:tr>
      <w:tr>
        <w:trPr>
          <w:trHeight w:val="196"/>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31F20"/>
              </w:rPr>
              <w:t>Alnylam Pharmaceuticals, Inc.*</w:t>
            </w:r>
          </w:p>
        </w:tc>
        <w:tc>
          <w:tcPr>
            <w:tcW w:w="2720" w:type="dxa"/>
            <w:vAlign w:val="bottom"/>
            <w:tcBorders>
              <w:bottom w:val="single" w:sz="8" w:color="auto"/>
            </w:tcBorders>
          </w:tcPr>
          <w:p>
            <w:pPr>
              <w:ind w:left="280"/>
              <w:spacing w:after="0" w:line="195" w:lineRule="exact"/>
              <w:rPr>
                <w:sz w:val="20"/>
                <w:szCs w:val="20"/>
                <w:color w:val="auto"/>
              </w:rPr>
            </w:pPr>
            <w:r>
              <w:rPr>
                <w:rFonts w:ascii="Arial" w:cs="Arial" w:eastAsia="Arial" w:hAnsi="Arial"/>
                <w:sz w:val="14"/>
                <w:szCs w:val="14"/>
                <w:color w:val="231F20"/>
              </w:rPr>
              <w:t>Celgene Corporation *</w:t>
            </w:r>
            <w:r>
              <w:rPr>
                <w:rFonts w:ascii="Arial" w:cs="Arial" w:eastAsia="Arial" w:hAnsi="Arial"/>
                <w:sz w:val="22"/>
                <w:szCs w:val="22"/>
                <w:color w:val="231F20"/>
                <w:vertAlign w:val="superscript"/>
              </w:rPr>
              <w:t>+</w:t>
            </w:r>
          </w:p>
        </w:tc>
        <w:tc>
          <w:tcPr>
            <w:tcW w:w="29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231F20"/>
              </w:rPr>
              <w:t>Vertex Pharmaceuticals, Inc.*</w:t>
            </w:r>
          </w:p>
        </w:tc>
      </w:tr>
      <w:tr>
        <w:trPr>
          <w:trHeight w:val="155"/>
        </w:trPr>
        <w:tc>
          <w:tcPr>
            <w:tcW w:w="2460" w:type="dxa"/>
            <w:vAlign w:val="bottom"/>
            <w:tcBorders>
              <w:bottom w:val="single" w:sz="8" w:color="2952A4"/>
            </w:tcBorders>
          </w:tcPr>
          <w:p>
            <w:pPr>
              <w:ind w:left="40"/>
              <w:spacing w:after="0" w:line="156" w:lineRule="exact"/>
              <w:rPr>
                <w:sz w:val="20"/>
                <w:szCs w:val="20"/>
                <w:color w:val="auto"/>
              </w:rPr>
            </w:pPr>
            <w:r>
              <w:rPr>
                <w:rFonts w:ascii="Arial" w:cs="Arial" w:eastAsia="Arial" w:hAnsi="Arial"/>
                <w:sz w:val="15"/>
                <w:szCs w:val="15"/>
                <w:color w:val="231F20"/>
              </w:rPr>
              <w:t>Amgen Inc.</w:t>
            </w:r>
          </w:p>
        </w:tc>
        <w:tc>
          <w:tcPr>
            <w:tcW w:w="2720" w:type="dxa"/>
            <w:vAlign w:val="bottom"/>
            <w:tcBorders>
              <w:bottom w:val="single" w:sz="8" w:color="2952A4"/>
            </w:tcBorders>
          </w:tcPr>
          <w:p>
            <w:pPr>
              <w:ind w:left="280"/>
              <w:spacing w:after="0" w:line="156" w:lineRule="exact"/>
              <w:rPr>
                <w:sz w:val="20"/>
                <w:szCs w:val="20"/>
                <w:color w:val="auto"/>
              </w:rPr>
            </w:pPr>
            <w:r>
              <w:rPr>
                <w:rFonts w:ascii="Arial" w:cs="Arial" w:eastAsia="Arial" w:hAnsi="Arial"/>
                <w:sz w:val="15"/>
                <w:szCs w:val="15"/>
                <w:color w:val="231F20"/>
              </w:rPr>
              <w:t>Eli Lilly and Company</w:t>
            </w:r>
          </w:p>
        </w:tc>
        <w:tc>
          <w:tcPr>
            <w:tcW w:w="2920" w:type="dxa"/>
            <w:vAlign w:val="bottom"/>
            <w:tcBorders>
              <w:bottom w:val="single" w:sz="8" w:color="2952A4"/>
            </w:tcBorders>
          </w:tcPr>
          <w:p>
            <w:pPr>
              <w:spacing w:after="0"/>
              <w:rPr>
                <w:sz w:val="13"/>
                <w:szCs w:val="13"/>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231F20"/>
        </w:rPr>
        <w:t>* Regeneron’s Biotech R&amp;D Peer.</w:t>
      </w:r>
    </w:p>
    <w:p>
      <w:pPr>
        <w:spacing w:after="0" w:line="59" w:lineRule="exact"/>
        <w:rPr>
          <w:sz w:val="20"/>
          <w:szCs w:val="20"/>
          <w:color w:val="auto"/>
        </w:rPr>
      </w:pPr>
    </w:p>
    <w:p>
      <w:pPr>
        <w:ind w:left="580" w:hanging="126"/>
        <w:spacing w:after="0"/>
        <w:tabs>
          <w:tab w:leader="none" w:pos="580" w:val="left"/>
        </w:tabs>
        <w:numPr>
          <w:ilvl w:val="0"/>
          <w:numId w:val="163"/>
        </w:numPr>
        <w:rPr>
          <w:rFonts w:ascii="Arial" w:cs="Arial" w:eastAsia="Arial" w:hAnsi="Arial"/>
          <w:sz w:val="24"/>
          <w:szCs w:val="24"/>
          <w:color w:val="231F20"/>
          <w:vertAlign w:val="superscript"/>
        </w:rPr>
      </w:pPr>
      <w:r>
        <w:rPr>
          <w:rFonts w:ascii="Arial" w:cs="Arial" w:eastAsia="Arial" w:hAnsi="Arial"/>
          <w:sz w:val="14"/>
          <w:szCs w:val="14"/>
          <w:color w:val="231F20"/>
        </w:rPr>
        <w:t>Acquisition by Bristol-Myers Squibb Company was completed in November 2019.</w:t>
      </w:r>
    </w:p>
    <w:p>
      <w:pPr>
        <w:spacing w:after="0" w:line="144" w:lineRule="exact"/>
        <w:rPr>
          <w:sz w:val="20"/>
          <w:szCs w:val="20"/>
          <w:color w:val="auto"/>
        </w:rPr>
      </w:pPr>
    </w:p>
    <w:p>
      <w:pPr>
        <w:ind w:left="460" w:right="599"/>
        <w:spacing w:after="0" w:line="231" w:lineRule="auto"/>
        <w:rPr>
          <w:sz w:val="20"/>
          <w:szCs w:val="20"/>
          <w:color w:val="auto"/>
        </w:rPr>
      </w:pPr>
      <w:r>
        <w:rPr>
          <w:rFonts w:ascii="Arial" w:cs="Arial" w:eastAsia="Arial" w:hAnsi="Arial"/>
          <w:sz w:val="15"/>
          <w:szCs w:val="15"/>
          <w:color w:val="231F20"/>
        </w:rPr>
        <w:t>The Compensation Committee reviewed the Peer Group in June 2019 and, based on the recommendation of Frederic W. Cook &amp; Co., did not make any changes. As part of its assessment, the Compensation Committee took into account that Regeneron was the median company (or just below the median) in the Peer Group based on market capitalization, revenues for the last four completed quarters, and the then-available reported number of employees, based on the data provided to the Committee, as shown in the table below.</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47"/>
        </w:trPr>
        <w:tc>
          <w:tcPr>
            <w:tcW w:w="3320" w:type="dxa"/>
            <w:vAlign w:val="bottom"/>
            <w:tcBorders>
              <w:bottom w:val="single" w:sz="8" w:color="2952A4"/>
            </w:tcBorders>
            <w:gridSpan w:val="4"/>
          </w:tcPr>
          <w:p>
            <w:pPr>
              <w:ind w:left="1080"/>
              <w:spacing w:after="0"/>
              <w:rPr>
                <w:sz w:val="20"/>
                <w:szCs w:val="20"/>
                <w:color w:val="auto"/>
              </w:rPr>
            </w:pPr>
            <w:r>
              <w:rPr>
                <w:rFonts w:ascii="Arial" w:cs="Arial" w:eastAsia="Arial" w:hAnsi="Arial"/>
                <w:sz w:val="12"/>
                <w:szCs w:val="12"/>
                <w:b w:val="1"/>
                <w:bCs w:val="1"/>
                <w:color w:val="2952A4"/>
              </w:rPr>
              <w:t>Market Capitalization ($ Millions)</w:t>
            </w:r>
          </w:p>
        </w:tc>
        <w:tc>
          <w:tcPr>
            <w:tcW w:w="640" w:type="dxa"/>
            <w:vAlign w:val="bottom"/>
            <w:tcBorders>
              <w:bottom w:val="single" w:sz="8" w:color="2952A4"/>
            </w:tcBorders>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Borders>
              <w:bottom w:val="single" w:sz="8" w:color="2952A4"/>
            </w:tcBorders>
            <w:gridSpan w:val="2"/>
          </w:tcPr>
          <w:p>
            <w:pPr>
              <w:jc w:val="right"/>
              <w:ind w:right="255"/>
              <w:spacing w:after="0"/>
              <w:rPr>
                <w:sz w:val="20"/>
                <w:szCs w:val="20"/>
                <w:color w:val="auto"/>
              </w:rPr>
            </w:pPr>
            <w:r>
              <w:rPr>
                <w:rFonts w:ascii="Arial" w:cs="Arial" w:eastAsia="Arial" w:hAnsi="Arial"/>
                <w:sz w:val="12"/>
                <w:szCs w:val="12"/>
                <w:b w:val="1"/>
                <w:bCs w:val="1"/>
                <w:color w:val="2952A4"/>
              </w:rPr>
              <w:t>Revenues ($ Millions)</w:t>
            </w:r>
          </w:p>
        </w:tc>
        <w:tc>
          <w:tcPr>
            <w:tcW w:w="160" w:type="dxa"/>
            <w:vAlign w:val="bottom"/>
          </w:tcPr>
          <w:p>
            <w:pPr>
              <w:spacing w:after="0"/>
              <w:rPr>
                <w:sz w:val="12"/>
                <w:szCs w:val="12"/>
                <w:color w:val="auto"/>
              </w:rPr>
            </w:pPr>
          </w:p>
        </w:tc>
        <w:tc>
          <w:tcPr>
            <w:tcW w:w="1400" w:type="dxa"/>
            <w:vAlign w:val="bottom"/>
            <w:tcBorders>
              <w:bottom w:val="single" w:sz="8" w:color="2952A4"/>
            </w:tcBorders>
          </w:tcPr>
          <w:p>
            <w:pPr>
              <w:ind w:left="680"/>
              <w:spacing w:after="0"/>
              <w:rPr>
                <w:sz w:val="20"/>
                <w:szCs w:val="20"/>
                <w:color w:val="auto"/>
              </w:rPr>
            </w:pPr>
            <w:r>
              <w:rPr>
                <w:rFonts w:ascii="Arial" w:cs="Arial" w:eastAsia="Arial" w:hAnsi="Arial"/>
                <w:sz w:val="12"/>
                <w:szCs w:val="12"/>
                <w:b w:val="1"/>
                <w:bCs w:val="1"/>
                <w:color w:val="2952A4"/>
              </w:rPr>
              <w:t>Employees</w:t>
            </w:r>
          </w:p>
        </w:tc>
        <w:tc>
          <w:tcPr>
            <w:tcW w:w="560" w:type="dxa"/>
            <w:vAlign w:val="bottom"/>
            <w:tcBorders>
              <w:bottom w:val="single" w:sz="8" w:color="2952A4"/>
            </w:tcBorders>
          </w:tcPr>
          <w:p>
            <w:pPr>
              <w:spacing w:after="0"/>
              <w:rPr>
                <w:sz w:val="12"/>
                <w:szCs w:val="12"/>
                <w:color w:val="auto"/>
              </w:rPr>
            </w:pPr>
          </w:p>
        </w:tc>
      </w:tr>
      <w:tr>
        <w:trPr>
          <w:trHeight w:val="155"/>
        </w:trPr>
        <w:tc>
          <w:tcPr>
            <w:tcW w:w="1880" w:type="dxa"/>
            <w:vAlign w:val="bottom"/>
            <w:gridSpan w:val="2"/>
          </w:tcPr>
          <w:p>
            <w:pPr>
              <w:ind w:left="580"/>
              <w:spacing w:after="0"/>
              <w:rPr>
                <w:sz w:val="20"/>
                <w:szCs w:val="20"/>
                <w:color w:val="auto"/>
              </w:rPr>
            </w:pPr>
            <w:r>
              <w:rPr>
                <w:rFonts w:ascii="Arial" w:cs="Arial" w:eastAsia="Arial" w:hAnsi="Arial"/>
                <w:sz w:val="12"/>
                <w:szCs w:val="12"/>
                <w:b w:val="1"/>
                <w:bCs w:val="1"/>
                <w:color w:val="2952A4"/>
              </w:rPr>
              <w:t>As of 5/31/19</w:t>
            </w:r>
          </w:p>
        </w:tc>
        <w:tc>
          <w:tcPr>
            <w:tcW w:w="160" w:type="dxa"/>
            <w:vAlign w:val="bottom"/>
          </w:tcPr>
          <w:p>
            <w:pPr>
              <w:spacing w:after="0"/>
              <w:rPr>
                <w:sz w:val="13"/>
                <w:szCs w:val="13"/>
                <w:color w:val="auto"/>
              </w:rPr>
            </w:pPr>
          </w:p>
        </w:tc>
        <w:tc>
          <w:tcPr>
            <w:tcW w:w="2080" w:type="dxa"/>
            <w:vAlign w:val="bottom"/>
            <w:gridSpan w:val="3"/>
          </w:tcPr>
          <w:p>
            <w:pPr>
              <w:ind w:left="220"/>
              <w:spacing w:after="0"/>
              <w:rPr>
                <w:sz w:val="20"/>
                <w:szCs w:val="20"/>
                <w:color w:val="auto"/>
              </w:rPr>
            </w:pPr>
            <w:r>
              <w:rPr>
                <w:rFonts w:ascii="Arial" w:cs="Arial" w:eastAsia="Arial" w:hAnsi="Arial"/>
                <w:sz w:val="12"/>
                <w:szCs w:val="12"/>
                <w:b w:val="1"/>
                <w:bCs w:val="1"/>
                <w:color w:val="2952A4"/>
              </w:rPr>
              <w:t>Trailing 12-Month Average</w:t>
            </w:r>
          </w:p>
        </w:tc>
        <w:tc>
          <w:tcPr>
            <w:tcW w:w="1860" w:type="dxa"/>
            <w:vAlign w:val="bottom"/>
            <w:gridSpan w:val="2"/>
          </w:tcPr>
          <w:p>
            <w:pPr>
              <w:jc w:val="right"/>
              <w:ind w:right="335"/>
              <w:spacing w:after="0"/>
              <w:rPr>
                <w:sz w:val="20"/>
                <w:szCs w:val="20"/>
                <w:color w:val="auto"/>
              </w:rPr>
            </w:pPr>
            <w:r>
              <w:rPr>
                <w:rFonts w:ascii="Arial" w:cs="Arial" w:eastAsia="Arial" w:hAnsi="Arial"/>
                <w:sz w:val="12"/>
                <w:szCs w:val="12"/>
                <w:b w:val="1"/>
                <w:bCs w:val="1"/>
                <w:color w:val="2952A4"/>
              </w:rPr>
              <w:t>Last Four Quarters</w:t>
            </w:r>
          </w:p>
        </w:tc>
        <w:tc>
          <w:tcPr>
            <w:tcW w:w="160" w:type="dxa"/>
            <w:vAlign w:val="bottom"/>
          </w:tcPr>
          <w:p>
            <w:pPr>
              <w:spacing w:after="0"/>
              <w:rPr>
                <w:sz w:val="13"/>
                <w:szCs w:val="13"/>
                <w:color w:val="auto"/>
              </w:rPr>
            </w:pPr>
          </w:p>
        </w:tc>
        <w:tc>
          <w:tcPr>
            <w:tcW w:w="1960" w:type="dxa"/>
            <w:vAlign w:val="bottom"/>
            <w:gridSpan w:val="2"/>
          </w:tcPr>
          <w:p>
            <w:pPr>
              <w:jc w:val="right"/>
              <w:ind w:right="315"/>
              <w:spacing w:after="0"/>
              <w:rPr>
                <w:sz w:val="20"/>
                <w:szCs w:val="20"/>
                <w:color w:val="auto"/>
              </w:rPr>
            </w:pPr>
            <w:r>
              <w:rPr>
                <w:rFonts w:ascii="Arial" w:cs="Arial" w:eastAsia="Arial" w:hAnsi="Arial"/>
                <w:sz w:val="12"/>
                <w:szCs w:val="12"/>
                <w:b w:val="1"/>
                <w:bCs w:val="1"/>
                <w:color w:val="2952A4"/>
              </w:rPr>
              <w:t>(as of last 10-K filing)</w:t>
            </w:r>
          </w:p>
        </w:tc>
      </w:tr>
      <w:tr>
        <w:trPr>
          <w:trHeight w:val="331"/>
        </w:trPr>
        <w:tc>
          <w:tcPr>
            <w:tcW w:w="1260" w:type="dxa"/>
            <w:vAlign w:val="bottom"/>
            <w:tcBorders>
              <w:top w:val="single" w:sz="8" w:color="2952A4"/>
              <w:bottom w:val="single" w:sz="8" w:color="auto"/>
            </w:tcBorders>
          </w:tcPr>
          <w:p>
            <w:pPr>
              <w:ind w:left="40"/>
              <w:spacing w:after="0"/>
              <w:rPr>
                <w:sz w:val="20"/>
                <w:szCs w:val="20"/>
                <w:color w:val="auto"/>
              </w:rPr>
            </w:pPr>
            <w:r>
              <w:rPr>
                <w:rFonts w:ascii="Arial" w:cs="Arial" w:eastAsia="Arial" w:hAnsi="Arial"/>
                <w:sz w:val="13"/>
                <w:szCs w:val="13"/>
                <w:color w:val="231F20"/>
              </w:rPr>
              <w:t>AbbVie</w:t>
            </w:r>
          </w:p>
        </w:tc>
        <w:tc>
          <w:tcPr>
            <w:tcW w:w="620" w:type="dxa"/>
            <w:vAlign w:val="bottom"/>
            <w:tcBorders>
              <w:top w:val="single" w:sz="8" w:color="2952A4"/>
              <w:bottom w:val="single" w:sz="8" w:color="auto"/>
            </w:tcBorders>
          </w:tcPr>
          <w:p>
            <w:pPr>
              <w:jc w:val="right"/>
              <w:spacing w:after="0"/>
              <w:rPr>
                <w:sz w:val="20"/>
                <w:szCs w:val="20"/>
                <w:color w:val="auto"/>
              </w:rPr>
            </w:pPr>
            <w:r>
              <w:rPr>
                <w:rFonts w:ascii="Arial" w:cs="Arial" w:eastAsia="Arial" w:hAnsi="Arial"/>
                <w:sz w:val="13"/>
                <w:szCs w:val="13"/>
                <w:color w:val="231F20"/>
                <w:w w:val="99"/>
              </w:rPr>
              <w:t>$113,403</w:t>
            </w:r>
          </w:p>
        </w:tc>
        <w:tc>
          <w:tcPr>
            <w:tcW w:w="160" w:type="dxa"/>
            <w:vAlign w:val="bottom"/>
          </w:tcPr>
          <w:p>
            <w:pPr>
              <w:spacing w:after="0"/>
              <w:rPr>
                <w:sz w:val="24"/>
                <w:szCs w:val="24"/>
                <w:color w:val="auto"/>
              </w:rPr>
            </w:pPr>
          </w:p>
        </w:tc>
        <w:tc>
          <w:tcPr>
            <w:tcW w:w="1280" w:type="dxa"/>
            <w:vAlign w:val="bottom"/>
            <w:tcBorders>
              <w:top w:val="single" w:sz="8" w:color="2952A4"/>
              <w:bottom w:val="single" w:sz="8" w:color="auto"/>
            </w:tcBorders>
          </w:tcPr>
          <w:p>
            <w:pPr>
              <w:ind w:left="40"/>
              <w:spacing w:after="0"/>
              <w:rPr>
                <w:sz w:val="20"/>
                <w:szCs w:val="20"/>
                <w:color w:val="auto"/>
              </w:rPr>
            </w:pPr>
            <w:r>
              <w:rPr>
                <w:rFonts w:ascii="Arial" w:cs="Arial" w:eastAsia="Arial" w:hAnsi="Arial"/>
                <w:sz w:val="13"/>
                <w:szCs w:val="13"/>
                <w:color w:val="231F20"/>
              </w:rPr>
              <w:t>AbbVie</w:t>
            </w:r>
          </w:p>
        </w:tc>
        <w:tc>
          <w:tcPr>
            <w:tcW w:w="640" w:type="dxa"/>
            <w:vAlign w:val="bottom"/>
            <w:tcBorders>
              <w:top w:val="single" w:sz="8" w:color="2952A4"/>
              <w:bottom w:val="single" w:sz="8" w:color="auto"/>
            </w:tcBorders>
          </w:tcPr>
          <w:p>
            <w:pPr>
              <w:jc w:val="right"/>
              <w:spacing w:after="0"/>
              <w:rPr>
                <w:sz w:val="20"/>
                <w:szCs w:val="20"/>
                <w:color w:val="auto"/>
              </w:rPr>
            </w:pPr>
            <w:r>
              <w:rPr>
                <w:rFonts w:ascii="Arial" w:cs="Arial" w:eastAsia="Arial" w:hAnsi="Arial"/>
                <w:sz w:val="13"/>
                <w:szCs w:val="13"/>
                <w:color w:val="231F20"/>
              </w:rPr>
              <w:t>$150,796</w:t>
            </w:r>
          </w:p>
        </w:tc>
        <w:tc>
          <w:tcPr>
            <w:tcW w:w="160" w:type="dxa"/>
            <w:vAlign w:val="bottom"/>
          </w:tcPr>
          <w:p>
            <w:pPr>
              <w:spacing w:after="0"/>
              <w:rPr>
                <w:sz w:val="24"/>
                <w:szCs w:val="24"/>
                <w:color w:val="auto"/>
              </w:rPr>
            </w:pPr>
          </w:p>
        </w:tc>
        <w:tc>
          <w:tcPr>
            <w:tcW w:w="1300" w:type="dxa"/>
            <w:vAlign w:val="bottom"/>
            <w:tcBorders>
              <w:top w:val="single" w:sz="8" w:color="2952A4"/>
              <w:bottom w:val="single" w:sz="8" w:color="auto"/>
            </w:tcBorders>
          </w:tcPr>
          <w:p>
            <w:pPr>
              <w:ind w:left="60"/>
              <w:spacing w:after="0"/>
              <w:rPr>
                <w:sz w:val="20"/>
                <w:szCs w:val="20"/>
                <w:color w:val="auto"/>
              </w:rPr>
            </w:pPr>
            <w:r>
              <w:rPr>
                <w:rFonts w:ascii="Arial" w:cs="Arial" w:eastAsia="Arial" w:hAnsi="Arial"/>
                <w:sz w:val="13"/>
                <w:szCs w:val="13"/>
                <w:color w:val="231F20"/>
              </w:rPr>
              <w:t>AbbVie</w:t>
            </w:r>
          </w:p>
        </w:tc>
        <w:tc>
          <w:tcPr>
            <w:tcW w:w="560" w:type="dxa"/>
            <w:vAlign w:val="bottom"/>
            <w:tcBorders>
              <w:top w:val="single" w:sz="8" w:color="2952A4"/>
              <w:bottom w:val="single" w:sz="8" w:color="auto"/>
            </w:tcBorders>
          </w:tcPr>
          <w:p>
            <w:pPr>
              <w:jc w:val="right"/>
              <w:spacing w:after="0"/>
              <w:rPr>
                <w:sz w:val="20"/>
                <w:szCs w:val="20"/>
                <w:color w:val="auto"/>
              </w:rPr>
            </w:pPr>
            <w:r>
              <w:rPr>
                <w:rFonts w:ascii="Arial" w:cs="Arial" w:eastAsia="Arial" w:hAnsi="Arial"/>
                <w:sz w:val="13"/>
                <w:szCs w:val="13"/>
                <w:color w:val="231F20"/>
              </w:rPr>
              <w:t>$32,647</w:t>
            </w:r>
          </w:p>
        </w:tc>
        <w:tc>
          <w:tcPr>
            <w:tcW w:w="160" w:type="dxa"/>
            <w:vAlign w:val="bottom"/>
          </w:tcPr>
          <w:p>
            <w:pPr>
              <w:spacing w:after="0"/>
              <w:rPr>
                <w:sz w:val="24"/>
                <w:szCs w:val="24"/>
                <w:color w:val="auto"/>
              </w:rPr>
            </w:pPr>
          </w:p>
        </w:tc>
        <w:tc>
          <w:tcPr>
            <w:tcW w:w="1400" w:type="dxa"/>
            <w:vAlign w:val="bottom"/>
            <w:tcBorders>
              <w:top w:val="single" w:sz="8" w:color="2952A4"/>
              <w:bottom w:val="single" w:sz="8" w:color="auto"/>
            </w:tcBorders>
          </w:tcPr>
          <w:p>
            <w:pPr>
              <w:ind w:left="60"/>
              <w:spacing w:after="0"/>
              <w:rPr>
                <w:sz w:val="20"/>
                <w:szCs w:val="20"/>
                <w:color w:val="auto"/>
              </w:rPr>
            </w:pPr>
            <w:r>
              <w:rPr>
                <w:rFonts w:ascii="Arial" w:cs="Arial" w:eastAsia="Arial" w:hAnsi="Arial"/>
                <w:sz w:val="13"/>
                <w:szCs w:val="13"/>
                <w:color w:val="231F20"/>
              </w:rPr>
              <w:t>Lilly</w:t>
            </w:r>
          </w:p>
        </w:tc>
        <w:tc>
          <w:tcPr>
            <w:tcW w:w="560" w:type="dxa"/>
            <w:vAlign w:val="bottom"/>
            <w:tcBorders>
              <w:top w:val="single" w:sz="8" w:color="2952A4"/>
              <w:bottom w:val="single" w:sz="8" w:color="auto"/>
            </w:tcBorders>
          </w:tcPr>
          <w:p>
            <w:pPr>
              <w:jc w:val="right"/>
              <w:spacing w:after="0"/>
              <w:rPr>
                <w:sz w:val="20"/>
                <w:szCs w:val="20"/>
                <w:color w:val="auto"/>
              </w:rPr>
            </w:pPr>
            <w:r>
              <w:rPr>
                <w:rFonts w:ascii="Arial" w:cs="Arial" w:eastAsia="Arial" w:hAnsi="Arial"/>
                <w:sz w:val="13"/>
                <w:szCs w:val="13"/>
                <w:color w:val="231F20"/>
              </w:rPr>
              <w:t>38,680</w:t>
            </w:r>
          </w:p>
        </w:tc>
      </w:tr>
      <w:tr>
        <w:trPr>
          <w:trHeight w:val="190"/>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Lilly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w w:val="99"/>
              </w:rPr>
              <w:t>$106,761</w:t>
            </w:r>
          </w:p>
        </w:tc>
        <w:tc>
          <w:tcPr>
            <w:tcW w:w="160" w:type="dxa"/>
            <w:vAlign w:val="bottom"/>
          </w:tcPr>
          <w:p>
            <w:pPr>
              <w:spacing w:after="0"/>
              <w:rPr>
                <w:sz w:val="16"/>
                <w:szCs w:val="16"/>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Amgen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$126,120</w:t>
            </w:r>
          </w:p>
        </w:tc>
        <w:tc>
          <w:tcPr>
            <w:tcW w:w="160" w:type="dxa"/>
            <w:vAlign w:val="bottom"/>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Lilly</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$24,684</w:t>
            </w:r>
          </w:p>
        </w:tc>
        <w:tc>
          <w:tcPr>
            <w:tcW w:w="160" w:type="dxa"/>
            <w:vAlign w:val="bottom"/>
          </w:tcPr>
          <w:p>
            <w:pPr>
              <w:spacing w:after="0"/>
              <w:rPr>
                <w:sz w:val="16"/>
                <w:szCs w:val="16"/>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AbbVie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30,000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Amgen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w w:val="99"/>
              </w:rPr>
              <w:t>$101,676</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Gilead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$95,995</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Amgen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$23,750</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Bristol-Myers Squibb</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23,300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Gilead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$79,154</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Lilly</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$95,330</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Bristol-Myers Squibb</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$23,288</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Amgen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21,500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Bristol-Myers Squibb</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$74,213</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Bristol-Myers Squibb</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$94,396</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Gilead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$22,320</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Gilead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11,000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Celgene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$66,146</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Biogen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$64,836</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Celgene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$15,768</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Celgene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8,852</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Vertex</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$42,562</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Celgene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$62,166</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Biogen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$13,812</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Biogen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7,800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Biogen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$42,519</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Vertex</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$42,658</w:t>
            </w:r>
          </w:p>
        </w:tc>
        <w:tc>
          <w:tcPr>
            <w:tcW w:w="160" w:type="dxa"/>
            <w:vAlign w:val="bottom"/>
          </w:tcPr>
          <w:p>
            <w:pPr>
              <w:spacing w:after="0"/>
              <w:rPr>
                <w:sz w:val="17"/>
                <w:szCs w:val="17"/>
                <w:color w:val="auto"/>
              </w:rPr>
            </w:pPr>
          </w:p>
        </w:tc>
        <w:tc>
          <w:tcPr>
            <w:tcW w:w="1300" w:type="dxa"/>
            <w:vAlign w:val="bottom"/>
            <w:tcBorders>
              <w:bottom w:val="single" w:sz="8" w:color="auto"/>
            </w:tcBorders>
            <w:shd w:val="clear" w:color="auto" w:fill="2952A4"/>
          </w:tcPr>
          <w:p>
            <w:pPr>
              <w:ind w:left="60"/>
              <w:spacing w:after="0"/>
              <w:rPr>
                <w:sz w:val="20"/>
                <w:szCs w:val="20"/>
                <w:color w:val="auto"/>
              </w:rPr>
            </w:pPr>
            <w:r>
              <w:rPr>
                <w:rFonts w:ascii="Arial" w:cs="Arial" w:eastAsia="Arial" w:hAnsi="Arial"/>
                <w:sz w:val="13"/>
                <w:szCs w:val="13"/>
                <w:b w:val="1"/>
                <w:bCs w:val="1"/>
                <w:color w:val="FFFFFF"/>
              </w:rPr>
              <w:t>Regeneron</w:t>
            </w:r>
          </w:p>
        </w:tc>
        <w:tc>
          <w:tcPr>
            <w:tcW w:w="560" w:type="dxa"/>
            <w:vAlign w:val="bottom"/>
            <w:tcBorders>
              <w:bottom w:val="single" w:sz="8" w:color="auto"/>
            </w:tcBorders>
            <w:shd w:val="clear" w:color="auto" w:fill="2952A4"/>
          </w:tcPr>
          <w:p>
            <w:pPr>
              <w:jc w:val="right"/>
              <w:spacing w:after="0"/>
              <w:rPr>
                <w:sz w:val="20"/>
                <w:szCs w:val="20"/>
                <w:color w:val="auto"/>
              </w:rPr>
            </w:pPr>
            <w:r>
              <w:rPr>
                <w:rFonts w:ascii="Arial" w:cs="Arial" w:eastAsia="Arial" w:hAnsi="Arial"/>
                <w:sz w:val="13"/>
                <w:szCs w:val="13"/>
                <w:b w:val="1"/>
                <w:bCs w:val="1"/>
                <w:color w:val="FFFFFF"/>
              </w:rPr>
              <w:t>$6,911</w:t>
            </w:r>
          </w:p>
        </w:tc>
        <w:tc>
          <w:tcPr>
            <w:tcW w:w="160" w:type="dxa"/>
            <w:vAlign w:val="bottom"/>
          </w:tcPr>
          <w:p>
            <w:pPr>
              <w:spacing w:after="0"/>
              <w:rPr>
                <w:sz w:val="17"/>
                <w:szCs w:val="17"/>
                <w:color w:val="auto"/>
              </w:rPr>
            </w:pPr>
          </w:p>
        </w:tc>
        <w:tc>
          <w:tcPr>
            <w:tcW w:w="1400" w:type="dxa"/>
            <w:vAlign w:val="bottom"/>
            <w:tcBorders>
              <w:bottom w:val="single" w:sz="8" w:color="auto"/>
            </w:tcBorders>
            <w:shd w:val="clear" w:color="auto" w:fill="2952A4"/>
          </w:tcPr>
          <w:p>
            <w:pPr>
              <w:ind w:left="60"/>
              <w:spacing w:after="0"/>
              <w:rPr>
                <w:sz w:val="20"/>
                <w:szCs w:val="20"/>
                <w:color w:val="auto"/>
              </w:rPr>
            </w:pPr>
            <w:r>
              <w:rPr>
                <w:rFonts w:ascii="Arial" w:cs="Arial" w:eastAsia="Arial" w:hAnsi="Arial"/>
                <w:sz w:val="13"/>
                <w:szCs w:val="13"/>
                <w:b w:val="1"/>
                <w:bCs w:val="1"/>
                <w:color w:val="FFFFFF"/>
              </w:rPr>
              <w:t>Regeneron</w:t>
            </w:r>
          </w:p>
        </w:tc>
        <w:tc>
          <w:tcPr>
            <w:tcW w:w="560" w:type="dxa"/>
            <w:vAlign w:val="bottom"/>
            <w:tcBorders>
              <w:bottom w:val="single" w:sz="8" w:color="auto"/>
            </w:tcBorders>
            <w:shd w:val="clear" w:color="auto" w:fill="2952A4"/>
          </w:tcPr>
          <w:p>
            <w:pPr>
              <w:jc w:val="right"/>
              <w:spacing w:after="0"/>
              <w:rPr>
                <w:sz w:val="20"/>
                <w:szCs w:val="20"/>
                <w:color w:val="auto"/>
              </w:rPr>
            </w:pPr>
            <w:r>
              <w:rPr>
                <w:rFonts w:ascii="Arial" w:cs="Arial" w:eastAsia="Arial" w:hAnsi="Arial"/>
                <w:sz w:val="13"/>
                <w:szCs w:val="13"/>
                <w:b w:val="1"/>
                <w:bCs w:val="1"/>
                <w:color w:val="FFFFFF"/>
              </w:rPr>
              <w:t>7,448</w:t>
            </w:r>
          </w:p>
        </w:tc>
      </w:tr>
      <w:tr>
        <w:trPr>
          <w:trHeight w:val="196"/>
        </w:trPr>
        <w:tc>
          <w:tcPr>
            <w:tcW w:w="1260" w:type="dxa"/>
            <w:vAlign w:val="bottom"/>
            <w:tcBorders>
              <w:bottom w:val="single" w:sz="8" w:color="auto"/>
            </w:tcBorders>
            <w:shd w:val="clear" w:color="auto" w:fill="2952A4"/>
          </w:tcPr>
          <w:p>
            <w:pPr>
              <w:ind w:left="40"/>
              <w:spacing w:after="0"/>
              <w:rPr>
                <w:sz w:val="20"/>
                <w:szCs w:val="20"/>
                <w:color w:val="auto"/>
              </w:rPr>
            </w:pPr>
            <w:r>
              <w:rPr>
                <w:rFonts w:ascii="Arial" w:cs="Arial" w:eastAsia="Arial" w:hAnsi="Arial"/>
                <w:sz w:val="13"/>
                <w:szCs w:val="13"/>
                <w:b w:val="1"/>
                <w:bCs w:val="1"/>
                <w:color w:val="FFFFFF"/>
              </w:rPr>
              <w:t>Regeneron</w:t>
            </w:r>
          </w:p>
        </w:tc>
        <w:tc>
          <w:tcPr>
            <w:tcW w:w="620" w:type="dxa"/>
            <w:vAlign w:val="bottom"/>
            <w:tcBorders>
              <w:bottom w:val="single" w:sz="8" w:color="auto"/>
            </w:tcBorders>
            <w:shd w:val="clear" w:color="auto" w:fill="2952A4"/>
          </w:tcPr>
          <w:p>
            <w:pPr>
              <w:jc w:val="right"/>
              <w:spacing w:after="0"/>
              <w:rPr>
                <w:sz w:val="20"/>
                <w:szCs w:val="20"/>
                <w:color w:val="auto"/>
              </w:rPr>
            </w:pPr>
            <w:r>
              <w:rPr>
                <w:rFonts w:ascii="Arial" w:cs="Arial" w:eastAsia="Arial" w:hAnsi="Arial"/>
                <w:sz w:val="13"/>
                <w:szCs w:val="13"/>
                <w:b w:val="1"/>
                <w:bCs w:val="1"/>
                <w:color w:val="FFFFFF"/>
              </w:rPr>
              <w:t>$32,938</w:t>
            </w:r>
          </w:p>
        </w:tc>
        <w:tc>
          <w:tcPr>
            <w:tcW w:w="160" w:type="dxa"/>
            <w:vAlign w:val="bottom"/>
          </w:tcPr>
          <w:p>
            <w:pPr>
              <w:spacing w:after="0"/>
              <w:rPr>
                <w:sz w:val="17"/>
                <w:szCs w:val="17"/>
                <w:color w:val="auto"/>
              </w:rPr>
            </w:pPr>
          </w:p>
        </w:tc>
        <w:tc>
          <w:tcPr>
            <w:tcW w:w="1280" w:type="dxa"/>
            <w:vAlign w:val="bottom"/>
            <w:tcBorders>
              <w:bottom w:val="single" w:sz="8" w:color="auto"/>
            </w:tcBorders>
            <w:shd w:val="clear" w:color="auto" w:fill="2952A4"/>
          </w:tcPr>
          <w:p>
            <w:pPr>
              <w:ind w:left="40"/>
              <w:spacing w:after="0"/>
              <w:rPr>
                <w:sz w:val="20"/>
                <w:szCs w:val="20"/>
                <w:color w:val="auto"/>
              </w:rPr>
            </w:pPr>
            <w:r>
              <w:rPr>
                <w:rFonts w:ascii="Arial" w:cs="Arial" w:eastAsia="Arial" w:hAnsi="Arial"/>
                <w:sz w:val="13"/>
                <w:szCs w:val="13"/>
                <w:b w:val="1"/>
                <w:bCs w:val="1"/>
                <w:color w:val="FFFFFF"/>
              </w:rPr>
              <w:t>Regeneron</w:t>
            </w:r>
          </w:p>
        </w:tc>
        <w:tc>
          <w:tcPr>
            <w:tcW w:w="640" w:type="dxa"/>
            <w:vAlign w:val="bottom"/>
            <w:tcBorders>
              <w:bottom w:val="single" w:sz="8" w:color="auto"/>
            </w:tcBorders>
            <w:shd w:val="clear" w:color="auto" w:fill="2952A4"/>
          </w:tcPr>
          <w:p>
            <w:pPr>
              <w:jc w:val="right"/>
              <w:spacing w:after="0"/>
              <w:rPr>
                <w:sz w:val="20"/>
                <w:szCs w:val="20"/>
                <w:color w:val="auto"/>
              </w:rPr>
            </w:pPr>
            <w:r>
              <w:rPr>
                <w:rFonts w:ascii="Arial" w:cs="Arial" w:eastAsia="Arial" w:hAnsi="Arial"/>
                <w:sz w:val="13"/>
                <w:szCs w:val="13"/>
                <w:b w:val="1"/>
                <w:bCs w:val="1"/>
                <w:color w:val="FFFFFF"/>
              </w:rPr>
              <w:t>$37,884</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Alexion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$4,341</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BioMarin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2,849</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Alexion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$25,491</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Alexion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$26,721</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Vertex</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$3,265</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Alexion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2,656</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lncyte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$16,861</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BioMarin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$16,298</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lncyte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$1,997</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Vertex</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2,500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BioMarin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$14,727</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lncyte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$15,452</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United Therapeutics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$1,601</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Alkermes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2,300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Alnylam</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$7,193</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Alnylam</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$10,145</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BioMarin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$1,519</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lncyte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1,367</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United Therapeutics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$3,679</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Alkermes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$7,138</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Alkermes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$1,092</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Alnylam</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1,065</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Alkermes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$3,380</w:t>
            </w:r>
          </w:p>
        </w:tc>
        <w:tc>
          <w:tcPr>
            <w:tcW w:w="160" w:type="dxa"/>
            <w:vAlign w:val="bottom"/>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231F20"/>
              </w:rPr>
              <w:t>United Therapeutics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$5,173</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Alnylam</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$86</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United Therapeutics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860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231F20"/>
              </w:rPr>
              <w:t>75th Percentile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$84,785</w:t>
            </w:r>
          </w:p>
        </w:tc>
        <w:tc>
          <w:tcPr>
            <w:tcW w:w="1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$95,499</w:t>
            </w:r>
          </w:p>
        </w:tc>
        <w:tc>
          <w:tcPr>
            <w:tcW w:w="1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$23,404</w:t>
            </w:r>
          </w:p>
        </w:tc>
        <w:tc>
          <w:tcPr>
            <w:tcW w:w="1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21,950</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231F20"/>
              </w:rPr>
              <w:t>Median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$42,541</w:t>
            </w:r>
          </w:p>
        </w:tc>
        <w:tc>
          <w:tcPr>
            <w:tcW w:w="1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$52,412</w:t>
            </w:r>
          </w:p>
        </w:tc>
        <w:tc>
          <w:tcPr>
            <w:tcW w:w="1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$9,076</w:t>
            </w:r>
          </w:p>
        </w:tc>
        <w:tc>
          <w:tcPr>
            <w:tcW w:w="1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5,325</w:t>
            </w:r>
          </w:p>
        </w:tc>
      </w:tr>
      <w:tr>
        <w:trPr>
          <w:trHeight w:val="196"/>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231F20"/>
              </w:rPr>
              <w:t>25th Percentile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$12,843</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$14,125</w:t>
            </w:r>
          </w:p>
        </w:tc>
        <w:tc>
          <w:tcPr>
            <w:tcW w:w="1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$1,581</w:t>
            </w:r>
          </w:p>
        </w:tc>
        <w:tc>
          <w:tcPr>
            <w:tcW w:w="1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2,067</w:t>
            </w:r>
          </w:p>
        </w:tc>
      </w:tr>
      <w:tr>
        <w:trPr>
          <w:trHeight w:val="163"/>
        </w:trPr>
        <w:tc>
          <w:tcPr>
            <w:tcW w:w="1260" w:type="dxa"/>
            <w:vAlign w:val="bottom"/>
          </w:tcPr>
          <w:p>
            <w:pPr>
              <w:ind w:left="80"/>
              <w:spacing w:after="0"/>
              <w:rPr>
                <w:sz w:val="20"/>
                <w:szCs w:val="20"/>
                <w:color w:val="auto"/>
              </w:rPr>
            </w:pPr>
            <w:r>
              <w:rPr>
                <w:rFonts w:ascii="Arial" w:cs="Arial" w:eastAsia="Arial" w:hAnsi="Arial"/>
                <w:sz w:val="13"/>
                <w:szCs w:val="13"/>
                <w:b w:val="1"/>
                <w:bCs w:val="1"/>
                <w:color w:val="231F20"/>
              </w:rPr>
              <w:t>Regeneron</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1260" w:type="dxa"/>
            <w:vAlign w:val="bottom"/>
          </w:tcPr>
          <w:p>
            <w:pPr>
              <w:ind w:left="80"/>
              <w:spacing w:after="0"/>
              <w:rPr>
                <w:sz w:val="20"/>
                <w:szCs w:val="20"/>
                <w:color w:val="auto"/>
              </w:rPr>
            </w:pPr>
            <w:r>
              <w:rPr>
                <w:rFonts w:ascii="Arial" w:cs="Arial" w:eastAsia="Arial" w:hAnsi="Arial"/>
                <w:sz w:val="13"/>
                <w:szCs w:val="13"/>
                <w:b w:val="1"/>
                <w:bCs w:val="1"/>
                <w:color w:val="231F20"/>
              </w:rPr>
              <w:t>Percentile Rank in</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231F20"/>
              </w:rPr>
              <w:t>43P</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231F20"/>
              </w:rPr>
              <w:t>45P</w:t>
            </w:r>
          </w:p>
        </w:tc>
        <w:tc>
          <w:tcPr>
            <w:tcW w:w="13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231F20"/>
              </w:rPr>
              <w:t>48P</w:t>
            </w: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231F20"/>
              </w:rPr>
              <w:t>53P</w:t>
            </w:r>
          </w:p>
        </w:tc>
      </w:tr>
      <w:tr>
        <w:trPr>
          <w:trHeight w:val="182"/>
        </w:trPr>
        <w:tc>
          <w:tcPr>
            <w:tcW w:w="1260" w:type="dxa"/>
            <w:vAlign w:val="bottom"/>
            <w:tcBorders>
              <w:bottom w:val="single" w:sz="8" w:color="2952A4"/>
            </w:tcBorders>
          </w:tcPr>
          <w:p>
            <w:pPr>
              <w:ind w:left="80"/>
              <w:spacing w:after="0"/>
              <w:rPr>
                <w:sz w:val="20"/>
                <w:szCs w:val="20"/>
                <w:color w:val="auto"/>
              </w:rPr>
            </w:pPr>
            <w:r>
              <w:rPr>
                <w:rFonts w:ascii="Arial" w:cs="Arial" w:eastAsia="Arial" w:hAnsi="Arial"/>
                <w:sz w:val="13"/>
                <w:szCs w:val="13"/>
                <w:b w:val="1"/>
                <w:bCs w:val="1"/>
                <w:color w:val="231F20"/>
              </w:rPr>
              <w:t>Peer Group</w:t>
            </w:r>
          </w:p>
        </w:tc>
        <w:tc>
          <w:tcPr>
            <w:tcW w:w="620" w:type="dxa"/>
            <w:vAlign w:val="bottom"/>
            <w:tcBorders>
              <w:bottom w:val="single" w:sz="8" w:color="2952A4"/>
            </w:tcBorders>
          </w:tcPr>
          <w:p>
            <w:pPr>
              <w:spacing w:after="0"/>
              <w:rPr>
                <w:sz w:val="15"/>
                <w:szCs w:val="15"/>
                <w:color w:val="auto"/>
              </w:rPr>
            </w:pPr>
          </w:p>
        </w:tc>
        <w:tc>
          <w:tcPr>
            <w:tcW w:w="160" w:type="dxa"/>
            <w:vAlign w:val="bottom"/>
            <w:tcBorders>
              <w:bottom w:val="single" w:sz="8" w:color="2952A4"/>
            </w:tcBorders>
          </w:tcPr>
          <w:p>
            <w:pPr>
              <w:spacing w:after="0"/>
              <w:rPr>
                <w:sz w:val="15"/>
                <w:szCs w:val="15"/>
                <w:color w:val="auto"/>
              </w:rPr>
            </w:pPr>
          </w:p>
        </w:tc>
        <w:tc>
          <w:tcPr>
            <w:tcW w:w="1280" w:type="dxa"/>
            <w:vAlign w:val="bottom"/>
            <w:tcBorders>
              <w:bottom w:val="single" w:sz="8" w:color="2952A4"/>
            </w:tcBorders>
          </w:tcPr>
          <w:p>
            <w:pPr>
              <w:spacing w:after="0"/>
              <w:rPr>
                <w:sz w:val="15"/>
                <w:szCs w:val="15"/>
                <w:color w:val="auto"/>
              </w:rPr>
            </w:pPr>
          </w:p>
        </w:tc>
        <w:tc>
          <w:tcPr>
            <w:tcW w:w="640" w:type="dxa"/>
            <w:vAlign w:val="bottom"/>
            <w:tcBorders>
              <w:bottom w:val="single" w:sz="8" w:color="2952A4"/>
            </w:tcBorders>
          </w:tcPr>
          <w:p>
            <w:pPr>
              <w:spacing w:after="0"/>
              <w:rPr>
                <w:sz w:val="15"/>
                <w:szCs w:val="15"/>
                <w:color w:val="auto"/>
              </w:rPr>
            </w:pPr>
          </w:p>
        </w:tc>
        <w:tc>
          <w:tcPr>
            <w:tcW w:w="160" w:type="dxa"/>
            <w:vAlign w:val="bottom"/>
            <w:tcBorders>
              <w:bottom w:val="single" w:sz="8" w:color="2952A4"/>
            </w:tcBorders>
          </w:tcPr>
          <w:p>
            <w:pPr>
              <w:spacing w:after="0"/>
              <w:rPr>
                <w:sz w:val="15"/>
                <w:szCs w:val="15"/>
                <w:color w:val="auto"/>
              </w:rPr>
            </w:pPr>
          </w:p>
        </w:tc>
        <w:tc>
          <w:tcPr>
            <w:tcW w:w="1300" w:type="dxa"/>
            <w:vAlign w:val="bottom"/>
            <w:tcBorders>
              <w:bottom w:val="single" w:sz="8" w:color="2952A4"/>
            </w:tcBorders>
          </w:tcPr>
          <w:p>
            <w:pPr>
              <w:spacing w:after="0"/>
              <w:rPr>
                <w:sz w:val="15"/>
                <w:szCs w:val="15"/>
                <w:color w:val="auto"/>
              </w:rPr>
            </w:pPr>
          </w:p>
        </w:tc>
        <w:tc>
          <w:tcPr>
            <w:tcW w:w="560" w:type="dxa"/>
            <w:vAlign w:val="bottom"/>
            <w:tcBorders>
              <w:bottom w:val="single" w:sz="8" w:color="2952A4"/>
            </w:tcBorders>
          </w:tcPr>
          <w:p>
            <w:pPr>
              <w:spacing w:after="0"/>
              <w:rPr>
                <w:sz w:val="15"/>
                <w:szCs w:val="15"/>
                <w:color w:val="auto"/>
              </w:rPr>
            </w:pPr>
          </w:p>
        </w:tc>
        <w:tc>
          <w:tcPr>
            <w:tcW w:w="160" w:type="dxa"/>
            <w:vAlign w:val="bottom"/>
            <w:tcBorders>
              <w:bottom w:val="single" w:sz="8" w:color="2952A4"/>
            </w:tcBorders>
          </w:tcPr>
          <w:p>
            <w:pPr>
              <w:spacing w:after="0"/>
              <w:rPr>
                <w:sz w:val="15"/>
                <w:szCs w:val="15"/>
                <w:color w:val="auto"/>
              </w:rPr>
            </w:pPr>
          </w:p>
        </w:tc>
        <w:tc>
          <w:tcPr>
            <w:tcW w:w="1400" w:type="dxa"/>
            <w:vAlign w:val="bottom"/>
            <w:tcBorders>
              <w:bottom w:val="single" w:sz="8" w:color="2952A4"/>
            </w:tcBorders>
          </w:tcPr>
          <w:p>
            <w:pPr>
              <w:spacing w:after="0"/>
              <w:rPr>
                <w:sz w:val="15"/>
                <w:szCs w:val="15"/>
                <w:color w:val="auto"/>
              </w:rPr>
            </w:pPr>
          </w:p>
        </w:tc>
        <w:tc>
          <w:tcPr>
            <w:tcW w:w="560" w:type="dxa"/>
            <w:vAlign w:val="bottom"/>
            <w:tcBorders>
              <w:bottom w:val="single" w:sz="8" w:color="2952A4"/>
            </w:tcBorders>
          </w:tcPr>
          <w:p>
            <w:pPr>
              <w:spacing w:after="0"/>
              <w:rPr>
                <w:sz w:val="15"/>
                <w:szCs w:val="15"/>
                <w:color w:val="auto"/>
              </w:rPr>
            </w:pPr>
          </w:p>
        </w:tc>
      </w:tr>
    </w:tbl>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Arial" w:cs="Arial" w:eastAsia="Arial" w:hAnsi="Arial"/>
                <w:sz w:val="14"/>
                <w:szCs w:val="14"/>
                <w:color w:val="231F20"/>
              </w:rPr>
              <w:t>Source: Standard &amp; Poor’s Capital IQ.</w:t>
            </w:r>
          </w:p>
        </w:tc>
      </w:tr>
      <w:tr>
        <w:trPr>
          <w:trHeight w:val="324"/>
        </w:trPr>
        <w:tc>
          <w:tcPr>
            <w:tcW w:w="320" w:type="dxa"/>
            <w:vAlign w:val="bottom"/>
          </w:tcPr>
          <w:p>
            <w:pPr>
              <w:jc w:val="right"/>
              <w:spacing w:after="0"/>
              <w:rPr>
                <w:sz w:val="20"/>
                <w:szCs w:val="20"/>
                <w:color w:val="auto"/>
              </w:rPr>
            </w:pPr>
            <w:r>
              <w:rPr>
                <w:rFonts w:ascii="Arial" w:cs="Arial" w:eastAsia="Arial" w:hAnsi="Arial"/>
                <w:sz w:val="14"/>
                <w:szCs w:val="14"/>
                <w:b w:val="1"/>
                <w:bCs w:val="1"/>
                <w:color w:val="00A5EC"/>
              </w:rPr>
              <w:t xml:space="preserve">82  </w:t>
            </w:r>
            <w:r>
              <w:rPr>
                <w:rFonts w:ascii="Arial" w:cs="Arial" w:eastAsia="Arial" w:hAnsi="Arial"/>
                <w:sz w:val="14"/>
                <w:szCs w:val="14"/>
                <w:color w:val="00A5EC"/>
              </w:rPr>
              <w:t>/</w:t>
            </w:r>
          </w:p>
        </w:tc>
        <w:tc>
          <w:tcPr>
            <w:tcW w:w="8100" w:type="dxa"/>
            <w:vAlign w:val="bottom"/>
          </w:tcPr>
          <w:p>
            <w:pPr>
              <w:ind w:left="3340"/>
              <w:spacing w:after="0"/>
              <w:rPr>
                <w:sz w:val="20"/>
                <w:szCs w:val="20"/>
                <w:color w:val="auto"/>
              </w:rPr>
            </w:pPr>
            <w:r>
              <w:rPr>
                <w:rFonts w:ascii="Arial" w:cs="Arial" w:eastAsia="Arial" w:hAnsi="Arial"/>
                <w:sz w:val="13"/>
                <w:szCs w:val="13"/>
                <w:b w:val="1"/>
                <w:bCs w:val="1"/>
                <w:color w:val="2952A4"/>
                <w:w w:val="96"/>
              </w:rPr>
              <w:t>2020 PROXY STATEMENT AND NOTICE OF ANNUAL SHAREHOLDER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144780</wp:posOffset>
            </wp:positionV>
            <wp:extent cx="713232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-111760</wp:posOffset>
            </wp:positionV>
            <wp:extent cx="745490" cy="857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94" w:name="page95"/>
    <w:bookmarkEnd w:id="94"/>
    <w:p>
      <w:pPr>
        <w:ind w:left="290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344" w:lineRule="exact"/>
        <w:rPr>
          <w:sz w:val="20"/>
          <w:szCs w:val="20"/>
          <w:color w:val="auto"/>
        </w:rPr>
      </w:pPr>
    </w:p>
    <w:p>
      <w:pPr>
        <w:ind w:left="1580" w:right="1700"/>
        <w:spacing w:after="0" w:line="235" w:lineRule="auto"/>
        <w:rPr>
          <w:sz w:val="20"/>
          <w:szCs w:val="20"/>
          <w:color w:val="auto"/>
        </w:rPr>
      </w:pPr>
      <w:r>
        <w:rPr>
          <w:rFonts w:ascii="Arial" w:cs="Arial" w:eastAsia="Arial" w:hAnsi="Arial"/>
          <w:sz w:val="15"/>
          <w:szCs w:val="15"/>
          <w:color w:val="231F20"/>
        </w:rPr>
        <w:t>Further, in our review of the Peer Group data, we also consider the practices of the 10-company sub-group of peers viewed as having businesses and drug discovery and development cultures that are most similar to Regeneron’s, with similarly-sized employee bases (marked with an asterisk in the table above and referred to as “Biotech R&amp;D Peers”).</w:t>
      </w:r>
    </w:p>
    <w:p>
      <w:pPr>
        <w:spacing w:after="0" w:line="141" w:lineRule="exact"/>
        <w:rPr>
          <w:sz w:val="20"/>
          <w:szCs w:val="20"/>
          <w:color w:val="auto"/>
        </w:rPr>
      </w:pPr>
    </w:p>
    <w:p>
      <w:pPr>
        <w:ind w:left="1580" w:right="1880"/>
        <w:spacing w:after="0" w:line="229" w:lineRule="auto"/>
        <w:rPr>
          <w:sz w:val="20"/>
          <w:szCs w:val="20"/>
          <w:color w:val="auto"/>
        </w:rPr>
      </w:pPr>
      <w:r>
        <w:rPr>
          <w:rFonts w:ascii="Arial" w:cs="Arial" w:eastAsia="Arial" w:hAnsi="Arial"/>
          <w:sz w:val="15"/>
          <w:szCs w:val="15"/>
          <w:color w:val="231F20"/>
        </w:rPr>
        <w:t>In making the compensation decisions in December 2019,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taking into account various factors such as the executive’s performance, past compensation history, experience, and their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spacing w:after="0" w:line="253"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right="1700"/>
        <w:spacing w:after="0" w:line="227" w:lineRule="auto"/>
        <w:rPr>
          <w:sz w:val="20"/>
          <w:szCs w:val="20"/>
          <w:color w:val="auto"/>
        </w:rPr>
      </w:pPr>
      <w:r>
        <w:rPr>
          <w:rFonts w:ascii="Arial" w:cs="Arial" w:eastAsia="Arial" w:hAnsi="Arial"/>
          <w:sz w:val="15"/>
          <w:szCs w:val="15"/>
          <w:color w:val="231F20"/>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The Company’s compensation and governance-related policies are further enhanced by our stock ownership guidelines applicable to our senior officers and our policy regarding recoupment or reduction (clawback) of incentive compensation of our officers and other specified employees for compliance violations; as well as a policy against hedging and pledging of our securities by our directors and employees, including the NEOs. We also have a policy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 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257" w:lineRule="exact"/>
        <w:rPr>
          <w:sz w:val="20"/>
          <w:szCs w:val="20"/>
          <w:color w:val="auto"/>
        </w:rPr>
      </w:pPr>
    </w:p>
    <w:p>
      <w:pPr>
        <w:ind w:left="1580"/>
        <w:spacing w:after="0"/>
        <w:rPr>
          <w:sz w:val="20"/>
          <w:szCs w:val="20"/>
          <w:color w:val="auto"/>
        </w:rPr>
      </w:pPr>
      <w:r>
        <w:rPr>
          <w:rFonts w:ascii="Arial" w:cs="Arial" w:eastAsia="Arial" w:hAnsi="Arial"/>
          <w:sz w:val="29"/>
          <w:szCs w:val="29"/>
          <w:b w:val="1"/>
          <w:bCs w:val="1"/>
          <w:color w:val="C04C57"/>
        </w:rPr>
        <w:t>TAX IMPLICATIONS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27940</wp:posOffset>
            </wp:positionV>
            <wp:extent cx="508317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6"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We take tax considerations into account in making our compensation-related assessments and decisions.</w:t>
      </w:r>
    </w:p>
    <w:p>
      <w:pPr>
        <w:spacing w:after="0" w:line="152" w:lineRule="exact"/>
        <w:rPr>
          <w:sz w:val="20"/>
          <w:szCs w:val="20"/>
          <w:color w:val="auto"/>
        </w:rPr>
      </w:pPr>
    </w:p>
    <w:p>
      <w:pPr>
        <w:ind w:left="1580" w:right="1720"/>
        <w:spacing w:after="0" w:line="225" w:lineRule="auto"/>
        <w:rPr>
          <w:sz w:val="20"/>
          <w:szCs w:val="20"/>
          <w:color w:val="auto"/>
        </w:rPr>
      </w:pPr>
      <w:r>
        <w:rPr>
          <w:rFonts w:ascii="Arial" w:cs="Arial" w:eastAsia="Arial" w:hAnsi="Arial"/>
          <w:sz w:val="15"/>
          <w:szCs w:val="15"/>
          <w:color w:val="231F20"/>
        </w:rPr>
        <w:t>Prior to the enactment of the Tax Cuts and Jobs Act in December 2017, Section 162(m) of the Internal Revenue Code generally limited the deductibility for federal income tax purposes of compensation in any year paid to the CEO and the other NEOs (other than the Chief Financial Officer) (the “covered employees”) to the extent such compensation exceeded $1 million, subject to certain exceptions. “Performance-based” compensation, as defined under</w:t>
      </w:r>
    </w:p>
    <w:p>
      <w:pPr>
        <w:spacing w:after="0" w:line="1" w:lineRule="exact"/>
        <w:rPr>
          <w:sz w:val="20"/>
          <w:szCs w:val="20"/>
          <w:color w:val="auto"/>
        </w:rPr>
      </w:pPr>
    </w:p>
    <w:p>
      <w:pPr>
        <w:ind w:left="1580" w:right="1680"/>
        <w:spacing w:after="0" w:line="230" w:lineRule="auto"/>
        <w:rPr>
          <w:sz w:val="20"/>
          <w:szCs w:val="20"/>
          <w:color w:val="auto"/>
        </w:rPr>
      </w:pPr>
      <w:r>
        <w:rPr>
          <w:rFonts w:ascii="Arial" w:cs="Arial" w:eastAsia="Arial" w:hAnsi="Arial"/>
          <w:sz w:val="15"/>
          <w:szCs w:val="15"/>
          <w:color w:val="231F20"/>
        </w:rPr>
        <w:t>Section 162(m) of the Internal Revenue Code, was exempt from such deduction limitation if specified requirements set forth in the Internal Revenue Code and applicable Treasury regulations were met. The Regeneron Pharmaceuticals, Inc. Cash Incentive Bonus Plan and the Amended and Restated Regeneron Pharmaceuticals, Inc. 2014 Long-Term Incentive Plan, each adopted prior to the enactment of the Tax Cuts and Jobs Act, allow (but do not require) awards thereunder to be subject to the attainment of performance goals in order to qualify for this performance-based compensation exception.</w:t>
      </w:r>
    </w:p>
    <w:p>
      <w:pPr>
        <w:spacing w:after="0" w:line="142" w:lineRule="exact"/>
        <w:rPr>
          <w:sz w:val="20"/>
          <w:szCs w:val="20"/>
          <w:color w:val="auto"/>
        </w:rPr>
      </w:pPr>
    </w:p>
    <w:p>
      <w:pPr>
        <w:ind w:left="1580" w:right="1680"/>
        <w:spacing w:after="0" w:line="228" w:lineRule="auto"/>
        <w:rPr>
          <w:sz w:val="20"/>
          <w:szCs w:val="20"/>
          <w:color w:val="auto"/>
        </w:rPr>
      </w:pPr>
      <w:r>
        <w:rPr>
          <w:rFonts w:ascii="Arial" w:cs="Arial" w:eastAsia="Arial" w:hAnsi="Arial"/>
          <w:sz w:val="15"/>
          <w:szCs w:val="15"/>
          <w:color w:val="231F20"/>
        </w:rPr>
        <w:t>Under the Tax Cuts and Jobs Act, which became effective for us commencing with our 2018 fiscal year, the exception under Section 162(m) for performance-based compensation is no longer generally available, subject to transition relief for certain grandfathered arrangements in effect as of November 2, 2017. Further, the definition of covered employees has been expanded to include our CFO. In addition, once one of our NEOs is considered a covered employee subject to the deduction limitation of Section 162(m), the NEO will remain a covered employee so long as he or she receives compensation from us. Despite the elimination of the performance-based compensation exception, we have continued to use the Cash Incentive Bonus Plan for annual cash incentives of the NEOs because we believe it furthers our compensation philosophy and objectives regardless of tax treatment. If shareholders approve the proposed Second Amended and Restated Regeneron Pharmaceuticals, Inc. 2014 Long-Term Incentive Plan at the 2020 annual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83</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95" w:name="page96"/>
    <w:bookmarkEnd w:id="95"/>
    <w:p>
      <w:pPr>
        <w:ind w:left="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344" w:lineRule="exact"/>
        <w:rPr>
          <w:sz w:val="20"/>
          <w:szCs w:val="20"/>
          <w:color w:val="auto"/>
        </w:rPr>
      </w:pPr>
    </w:p>
    <w:p>
      <w:pPr>
        <w:ind w:left="460" w:right="679"/>
        <w:spacing w:after="0" w:line="233" w:lineRule="auto"/>
        <w:rPr>
          <w:sz w:val="20"/>
          <w:szCs w:val="20"/>
          <w:color w:val="auto"/>
        </w:rPr>
      </w:pPr>
      <w:r>
        <w:rPr>
          <w:rFonts w:ascii="Arial" w:cs="Arial" w:eastAsia="Arial" w:hAnsi="Arial"/>
          <w:sz w:val="15"/>
          <w:szCs w:val="15"/>
          <w:color w:val="231F20"/>
        </w:rPr>
        <w:t>shareholder meeting, the Plan’s provisions relating to the performance-based compensation exception under Section 162(m) will be eliminated. The Compensation Committee will continue to review the full impact of Section 162(m) (as revised by the Tax Cuts and Jobs Act) on the Company, our compensation programs, and executive compensation trends generally as it makes compensation-related assessments and decisions in the future.</w:t>
      </w:r>
    </w:p>
    <w:p>
      <w:pPr>
        <w:spacing w:after="0" w:line="140" w:lineRule="exact"/>
        <w:rPr>
          <w:sz w:val="20"/>
          <w:szCs w:val="20"/>
          <w:color w:val="auto"/>
        </w:rPr>
      </w:pPr>
    </w:p>
    <w:p>
      <w:pPr>
        <w:ind w:left="460" w:right="599"/>
        <w:spacing w:after="0"/>
        <w:rPr>
          <w:sz w:val="20"/>
          <w:szCs w:val="20"/>
          <w:color w:val="auto"/>
        </w:rPr>
      </w:pPr>
      <w:r>
        <w:rPr>
          <w:rFonts w:ascii="Arial" w:cs="Arial" w:eastAsia="Arial" w:hAnsi="Arial"/>
          <w:sz w:val="15"/>
          <w:szCs w:val="15"/>
          <w:color w:val="231F20"/>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2019, this disallowance amounted to approximately $1.9 million.</w:t>
      </w:r>
    </w:p>
    <w:p>
      <w:pPr>
        <w:spacing w:after="0" w:line="282" w:lineRule="exact"/>
        <w:rPr>
          <w:sz w:val="20"/>
          <w:szCs w:val="20"/>
          <w:color w:val="auto"/>
        </w:rPr>
      </w:pPr>
    </w:p>
    <w:p>
      <w:pPr>
        <w:ind w:left="460" w:right="619"/>
        <w:spacing w:after="0" w:line="231" w:lineRule="auto"/>
        <w:rPr>
          <w:sz w:val="20"/>
          <w:szCs w:val="20"/>
          <w:color w:val="auto"/>
        </w:rPr>
      </w:pPr>
      <w:r>
        <w:rPr>
          <w:rFonts w:ascii="Arial" w:cs="Arial" w:eastAsia="Arial" w:hAnsi="Arial"/>
          <w:sz w:val="15"/>
          <w:szCs w:val="15"/>
          <w:color w:val="231F20"/>
        </w:rPr>
        <w:t>We take into account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84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96" w:name="page97"/>
    <w:bookmarkEnd w:id="96"/>
    <w:p>
      <w:pPr>
        <w:ind w:left="290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74" w:lineRule="exact"/>
        <w:rPr>
          <w:sz w:val="20"/>
          <w:szCs w:val="20"/>
          <w:color w:val="auto"/>
        </w:rPr>
      </w:pPr>
    </w:p>
    <w:p>
      <w:pPr>
        <w:ind w:left="1580" w:right="3460"/>
        <w:spacing w:after="0" w:line="278" w:lineRule="auto"/>
        <w:rPr>
          <w:sz w:val="20"/>
          <w:szCs w:val="20"/>
          <w:color w:val="auto"/>
        </w:rPr>
      </w:pPr>
      <w:r>
        <w:rPr>
          <w:rFonts w:ascii="Arial" w:cs="Arial" w:eastAsia="Arial" w:hAnsi="Arial"/>
          <w:sz w:val="59"/>
          <w:szCs w:val="59"/>
          <w:b w:val="1"/>
          <w:bCs w:val="1"/>
          <w:color w:val="2952A4"/>
        </w:rPr>
        <w:t>COMPENSATION COMMITTEE REPORT</w:t>
      </w:r>
    </w:p>
    <w:p>
      <w:pPr>
        <w:spacing w:after="0" w:line="51" w:lineRule="exact"/>
        <w:rPr>
          <w:sz w:val="20"/>
          <w:szCs w:val="20"/>
          <w:color w:val="auto"/>
        </w:rPr>
      </w:pPr>
    </w:p>
    <w:p>
      <w:pPr>
        <w:ind w:left="1580" w:right="1700"/>
        <w:spacing w:after="0" w:line="235" w:lineRule="auto"/>
        <w:rPr>
          <w:sz w:val="20"/>
          <w:szCs w:val="20"/>
          <w:color w:val="auto"/>
        </w:rPr>
      </w:pPr>
      <w:r>
        <w:rPr>
          <w:rFonts w:ascii="Arial" w:cs="Arial" w:eastAsia="Arial" w:hAnsi="Arial"/>
          <w:sz w:val="15"/>
          <w:szCs w:val="15"/>
          <w:color w:val="231F20"/>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spacing w:after="0" w:line="380"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The Compensation Committee</w:t>
      </w:r>
    </w:p>
    <w:p>
      <w:pPr>
        <w:ind w:left="1580"/>
        <w:spacing w:after="0" w:line="235" w:lineRule="auto"/>
        <w:rPr>
          <w:sz w:val="20"/>
          <w:szCs w:val="20"/>
          <w:color w:val="auto"/>
        </w:rPr>
      </w:pPr>
      <w:r>
        <w:rPr>
          <w:rFonts w:ascii="Arial" w:cs="Arial" w:eastAsia="Arial" w:hAnsi="Arial"/>
          <w:sz w:val="15"/>
          <w:szCs w:val="15"/>
          <w:b w:val="1"/>
          <w:bCs w:val="1"/>
          <w:color w:val="231F20"/>
        </w:rPr>
        <w:t>Christine A. Poon, Chairperson</w:t>
      </w:r>
    </w:p>
    <w:p>
      <w:pPr>
        <w:ind w:left="1580"/>
        <w:spacing w:after="0" w:line="226" w:lineRule="auto"/>
        <w:rPr>
          <w:sz w:val="20"/>
          <w:szCs w:val="20"/>
          <w:color w:val="auto"/>
        </w:rPr>
      </w:pPr>
      <w:r>
        <w:rPr>
          <w:rFonts w:ascii="Arial" w:cs="Arial" w:eastAsia="Arial" w:hAnsi="Arial"/>
          <w:sz w:val="15"/>
          <w:szCs w:val="15"/>
          <w:b w:val="1"/>
          <w:bCs w:val="1"/>
          <w:color w:val="231F20"/>
        </w:rPr>
        <w:t>George L. Sing</w:t>
      </w:r>
    </w:p>
    <w:p>
      <w:pPr>
        <w:ind w:left="1580"/>
        <w:spacing w:after="0"/>
        <w:rPr>
          <w:sz w:val="20"/>
          <w:szCs w:val="20"/>
          <w:color w:val="auto"/>
        </w:rPr>
      </w:pPr>
      <w:r>
        <w:rPr>
          <w:rFonts w:ascii="Arial" w:cs="Arial" w:eastAsia="Arial" w:hAnsi="Arial"/>
          <w:sz w:val="15"/>
          <w:szCs w:val="15"/>
          <w:b w:val="1"/>
          <w:bCs w:val="1"/>
          <w:color w:val="231F20"/>
        </w:rPr>
        <w:t>Huda Y. Zoghbi,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580" w:right="2080"/>
        <w:spacing w:after="0" w:line="252" w:lineRule="auto"/>
        <w:rPr>
          <w:sz w:val="20"/>
          <w:szCs w:val="20"/>
          <w:color w:val="auto"/>
        </w:rPr>
      </w:pPr>
      <w:r>
        <w:rPr>
          <w:rFonts w:ascii="Arial" w:cs="Arial" w:eastAsia="Arial" w:hAnsi="Arial"/>
          <w:sz w:val="59"/>
          <w:szCs w:val="59"/>
          <w:b w:val="1"/>
          <w:bCs w:val="1"/>
          <w:color w:val="2952A4"/>
        </w:rPr>
        <w:t>COMPENSATION COMMITTEE INTERLOCKS AND INSIDER PARTICIPATION</w:t>
      </w:r>
    </w:p>
    <w:p>
      <w:pPr>
        <w:spacing w:after="0" w:line="123" w:lineRule="exact"/>
        <w:rPr>
          <w:sz w:val="20"/>
          <w:szCs w:val="20"/>
          <w:color w:val="auto"/>
        </w:rPr>
      </w:pPr>
    </w:p>
    <w:p>
      <w:pPr>
        <w:ind w:left="1580" w:right="1820"/>
        <w:spacing w:after="0" w:line="233" w:lineRule="auto"/>
        <w:rPr>
          <w:sz w:val="20"/>
          <w:szCs w:val="20"/>
          <w:color w:val="auto"/>
        </w:rPr>
      </w:pPr>
      <w:r>
        <w:rPr>
          <w:rFonts w:ascii="Arial" w:cs="Arial" w:eastAsia="Arial" w:hAnsi="Arial"/>
          <w:sz w:val="15"/>
          <w:szCs w:val="15"/>
          <w:color w:val="231F20"/>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85</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97" w:name="page98"/>
    <w:bookmarkEnd w:id="97"/>
    <w:p>
      <w:pPr>
        <w:ind w:left="460"/>
        <w:spacing w:after="0"/>
        <w:rPr>
          <w:sz w:val="20"/>
          <w:szCs w:val="20"/>
          <w:color w:val="auto"/>
        </w:rPr>
      </w:pPr>
      <w:r>
        <w:rPr>
          <w:rFonts w:ascii="Arial" w:cs="Arial" w:eastAsia="Arial" w:hAnsi="Arial"/>
          <w:sz w:val="54"/>
          <w:szCs w:val="54"/>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172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17295"/>
                    </a:xfrm>
                    <a:prstGeom prst="rect">
                      <a:avLst/>
                    </a:prstGeom>
                    <a:noFill/>
                  </pic:spPr>
                </pic:pic>
              </a:graphicData>
            </a:graphic>
          </wp:anchor>
        </w:drawing>
        <w:t>COMPENSATION DASHBOARD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0" w:right="1259"/>
        <w:spacing w:after="0" w:line="287" w:lineRule="auto"/>
        <w:rPr>
          <w:sz w:val="20"/>
          <w:szCs w:val="20"/>
          <w:color w:val="auto"/>
        </w:rPr>
      </w:pPr>
      <w:r>
        <w:rPr>
          <w:rFonts w:ascii="Arial" w:cs="Arial" w:eastAsia="Arial" w:hAnsi="Arial"/>
          <w:sz w:val="58"/>
          <w:szCs w:val="58"/>
          <w:b w:val="1"/>
          <w:bCs w:val="1"/>
          <w:color w:val="2952A4"/>
        </w:rPr>
        <w:t>2019 EXECUTIVE COMPENSATION TABLES</w:t>
      </w:r>
    </w:p>
    <w:p>
      <w:pPr>
        <w:spacing w:after="0" w:line="27" w:lineRule="exact"/>
        <w:rPr>
          <w:sz w:val="20"/>
          <w:szCs w:val="20"/>
          <w:color w:val="auto"/>
        </w:rPr>
      </w:pPr>
    </w:p>
    <w:p>
      <w:pPr>
        <w:jc w:val="both"/>
        <w:ind w:left="460" w:right="739"/>
        <w:spacing w:after="0" w:line="235" w:lineRule="auto"/>
        <w:rPr>
          <w:sz w:val="20"/>
          <w:szCs w:val="20"/>
          <w:color w:val="auto"/>
        </w:rPr>
      </w:pPr>
      <w:r>
        <w:rPr>
          <w:rFonts w:ascii="Arial" w:cs="Arial" w:eastAsia="Arial" w:hAnsi="Arial"/>
          <w:sz w:val="15"/>
          <w:szCs w:val="15"/>
          <w:color w:val="231F20"/>
        </w:rPr>
        <w:t>The following table and accompanying footnotes provide information regarding compensation earned by, or paid to, our NEOs during the last three fiscal years (other than with respect to Dr. Murphy, who qualified as an NEO for 2019 but not for 2018 or 2017).</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C04C57"/>
        </w:rPr>
        <w:t>2019 Summary Compensation Table</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2220" w:type="dxa"/>
            <w:vAlign w:val="bottom"/>
            <w:tcBorders>
              <w:top w:val="single" w:sz="8" w:color="2952A4"/>
              <w:bottom w:val="single" w:sz="8" w:color="2952A4"/>
            </w:tcBorders>
          </w:tcPr>
          <w:p>
            <w:pPr>
              <w:ind w:left="1100"/>
              <w:spacing w:after="0"/>
              <w:rPr>
                <w:sz w:val="20"/>
                <w:szCs w:val="20"/>
                <w:color w:val="auto"/>
              </w:rPr>
            </w:pPr>
            <w:r>
              <w:rPr>
                <w:rFonts w:ascii="Arial" w:cs="Arial" w:eastAsia="Arial" w:hAnsi="Arial"/>
                <w:sz w:val="12"/>
                <w:szCs w:val="12"/>
                <w:b w:val="1"/>
                <w:bCs w:val="1"/>
                <w:color w:val="2952A4"/>
              </w:rPr>
              <w:t>A</w:t>
            </w:r>
          </w:p>
        </w:tc>
        <w:tc>
          <w:tcPr>
            <w:tcW w:w="140" w:type="dxa"/>
            <w:vAlign w:val="bottom"/>
            <w:tcBorders>
              <w:top w:val="single" w:sz="8" w:color="2952A4"/>
              <w:bottom w:val="single" w:sz="8" w:color="2952A4"/>
            </w:tcBorders>
          </w:tcPr>
          <w:p>
            <w:pPr>
              <w:spacing w:after="0"/>
              <w:rPr>
                <w:sz w:val="12"/>
                <w:szCs w:val="12"/>
                <w:color w:val="auto"/>
              </w:rPr>
            </w:pPr>
          </w:p>
        </w:tc>
        <w:tc>
          <w:tcPr>
            <w:tcW w:w="38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B</w:t>
            </w:r>
          </w:p>
        </w:tc>
        <w:tc>
          <w:tcPr>
            <w:tcW w:w="800" w:type="dxa"/>
            <w:vAlign w:val="bottom"/>
            <w:tcBorders>
              <w:top w:val="single" w:sz="8" w:color="2952A4"/>
              <w:bottom w:val="single" w:sz="8" w:color="2952A4"/>
            </w:tcBorders>
          </w:tcPr>
          <w:p>
            <w:pPr>
              <w:jc w:val="right"/>
              <w:ind w:right="256"/>
              <w:spacing w:after="0"/>
              <w:rPr>
                <w:sz w:val="20"/>
                <w:szCs w:val="20"/>
                <w:color w:val="auto"/>
              </w:rPr>
            </w:pPr>
            <w:r>
              <w:rPr>
                <w:rFonts w:ascii="Arial" w:cs="Arial" w:eastAsia="Arial" w:hAnsi="Arial"/>
                <w:sz w:val="12"/>
                <w:szCs w:val="12"/>
                <w:b w:val="1"/>
                <w:bCs w:val="1"/>
                <w:color w:val="2952A4"/>
              </w:rPr>
              <w:t>C</w:t>
            </w:r>
          </w:p>
        </w:tc>
        <w:tc>
          <w:tcPr>
            <w:tcW w:w="84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74"/>
              </w:rPr>
              <w:t>E</w:t>
            </w:r>
          </w:p>
        </w:tc>
        <w:tc>
          <w:tcPr>
            <w:tcW w:w="78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81"/>
              </w:rPr>
              <w:t>F</w:t>
            </w:r>
          </w:p>
        </w:tc>
        <w:tc>
          <w:tcPr>
            <w:tcW w:w="120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85"/>
              </w:rPr>
              <w:t>G</w:t>
            </w:r>
          </w:p>
        </w:tc>
        <w:tc>
          <w:tcPr>
            <w:tcW w:w="96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9"/>
                <w:szCs w:val="9"/>
                <w:b w:val="1"/>
                <w:bCs w:val="1"/>
                <w:color w:val="2952A4"/>
                <w:w w:val="77"/>
              </w:rPr>
              <w:t>I</w:t>
            </w:r>
          </w:p>
        </w:tc>
        <w:tc>
          <w:tcPr>
            <w:tcW w:w="780" w:type="dxa"/>
            <w:vAlign w:val="bottom"/>
            <w:tcBorders>
              <w:top w:val="single" w:sz="8" w:color="2952A4"/>
              <w:bottom w:val="single" w:sz="8" w:color="2952A4"/>
            </w:tcBorders>
          </w:tcPr>
          <w:p>
            <w:pPr>
              <w:jc w:val="right"/>
              <w:ind w:right="296"/>
              <w:spacing w:after="0"/>
              <w:rPr>
                <w:sz w:val="20"/>
                <w:szCs w:val="20"/>
                <w:color w:val="auto"/>
              </w:rPr>
            </w:pPr>
            <w:r>
              <w:rPr>
                <w:rFonts w:ascii="Arial" w:cs="Arial" w:eastAsia="Arial" w:hAnsi="Arial"/>
                <w:sz w:val="12"/>
                <w:szCs w:val="12"/>
                <w:b w:val="1"/>
                <w:bCs w:val="1"/>
                <w:color w:val="2952A4"/>
              </w:rPr>
              <w:t>J</w:t>
            </w:r>
          </w:p>
        </w:tc>
        <w:tc>
          <w:tcPr>
            <w:tcW w:w="0" w:type="dxa"/>
            <w:vAlign w:val="bottom"/>
          </w:tcPr>
          <w:p>
            <w:pPr>
              <w:spacing w:after="0"/>
              <w:rPr>
                <w:sz w:val="1"/>
                <w:szCs w:val="1"/>
                <w:color w:val="auto"/>
              </w:rPr>
            </w:pPr>
          </w:p>
        </w:tc>
      </w:tr>
      <w:tr>
        <w:trPr>
          <w:trHeight w:val="117"/>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jc w:val="center"/>
              <w:spacing w:after="0" w:line="117" w:lineRule="exact"/>
              <w:rPr>
                <w:sz w:val="20"/>
                <w:szCs w:val="20"/>
                <w:color w:val="auto"/>
              </w:rPr>
            </w:pPr>
            <w:r>
              <w:rPr>
                <w:rFonts w:ascii="Arial" w:cs="Arial" w:eastAsia="Arial" w:hAnsi="Arial"/>
                <w:sz w:val="12"/>
                <w:szCs w:val="12"/>
                <w:b w:val="1"/>
                <w:bCs w:val="1"/>
                <w:color w:val="2952A4"/>
                <w:w w:val="99"/>
              </w:rPr>
              <w:t>Non-Equity</w:t>
            </w:r>
          </w:p>
        </w:tc>
        <w:tc>
          <w:tcPr>
            <w:tcW w:w="960" w:type="dxa"/>
            <w:vAlign w:val="bottom"/>
          </w:tcPr>
          <w:p>
            <w:pPr>
              <w:jc w:val="center"/>
              <w:spacing w:after="0" w:line="117" w:lineRule="exact"/>
              <w:rPr>
                <w:sz w:val="20"/>
                <w:szCs w:val="20"/>
                <w:color w:val="auto"/>
              </w:rPr>
            </w:pPr>
            <w:r>
              <w:rPr>
                <w:rFonts w:ascii="Arial" w:cs="Arial" w:eastAsia="Arial" w:hAnsi="Arial"/>
                <w:sz w:val="12"/>
                <w:szCs w:val="12"/>
                <w:b w:val="1"/>
                <w:bCs w:val="1"/>
                <w:color w:val="2952A4"/>
                <w:w w:val="98"/>
              </w:rPr>
              <w:t>All Other</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2952A4"/>
                <w:w w:val="91"/>
              </w:rPr>
              <w:t>Stock</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2952A4"/>
                <w:w w:val="98"/>
              </w:rPr>
              <w:t>Option</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2952A4"/>
                <w:w w:val="99"/>
              </w:rPr>
              <w:t>Incentive Plan</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2952A4"/>
                <w:w w:val="98"/>
              </w:rPr>
              <w:t>Compensation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tcBorders>
              <w:bottom w:val="single" w:sz="8" w:color="2952A4"/>
            </w:tcBorders>
          </w:tcPr>
          <w:p>
            <w:pPr>
              <w:ind w:left="40"/>
              <w:spacing w:after="0"/>
              <w:rPr>
                <w:sz w:val="20"/>
                <w:szCs w:val="20"/>
                <w:color w:val="auto"/>
              </w:rPr>
            </w:pPr>
            <w:r>
              <w:rPr>
                <w:rFonts w:ascii="Arial" w:cs="Arial" w:eastAsia="Arial" w:hAnsi="Arial"/>
                <w:sz w:val="12"/>
                <w:szCs w:val="12"/>
                <w:b w:val="1"/>
                <w:bCs w:val="1"/>
                <w:color w:val="2952A4"/>
              </w:rPr>
              <w:t>Name and principal position</w:t>
            </w:r>
          </w:p>
        </w:tc>
        <w:tc>
          <w:tcPr>
            <w:tcW w:w="140" w:type="dxa"/>
            <w:vAlign w:val="bottom"/>
            <w:tcBorders>
              <w:bottom w:val="single" w:sz="8" w:color="2952A4"/>
            </w:tcBorders>
          </w:tcPr>
          <w:p>
            <w:pPr>
              <w:spacing w:after="0"/>
              <w:rPr>
                <w:sz w:val="15"/>
                <w:szCs w:val="15"/>
                <w:color w:val="auto"/>
              </w:rPr>
            </w:pPr>
          </w:p>
        </w:tc>
        <w:tc>
          <w:tcPr>
            <w:tcW w:w="3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9"/>
              </w:rPr>
              <w:t>Year</w:t>
            </w:r>
          </w:p>
        </w:tc>
        <w:tc>
          <w:tcPr>
            <w:tcW w:w="800" w:type="dxa"/>
            <w:vAlign w:val="bottom"/>
            <w:tcBorders>
              <w:bottom w:val="single" w:sz="8" w:color="2952A4"/>
            </w:tcBorders>
          </w:tcPr>
          <w:p>
            <w:pPr>
              <w:jc w:val="right"/>
              <w:ind w:right="36"/>
              <w:spacing w:after="0"/>
              <w:rPr>
                <w:sz w:val="20"/>
                <w:szCs w:val="20"/>
                <w:color w:val="auto"/>
              </w:rPr>
            </w:pPr>
            <w:r>
              <w:rPr>
                <w:rFonts w:ascii="Arial" w:cs="Arial" w:eastAsia="Arial" w:hAnsi="Arial"/>
                <w:sz w:val="12"/>
                <w:szCs w:val="12"/>
                <w:b w:val="1"/>
                <w:bCs w:val="1"/>
                <w:color w:val="2952A4"/>
              </w:rPr>
              <w:t>Salary ($)</w:t>
            </w:r>
          </w:p>
        </w:tc>
        <w:tc>
          <w:tcPr>
            <w:tcW w:w="840" w:type="dxa"/>
            <w:vAlign w:val="bottom"/>
            <w:tcBorders>
              <w:bottom w:val="single" w:sz="8" w:color="2952A4"/>
            </w:tcBorders>
          </w:tcPr>
          <w:p>
            <w:pPr>
              <w:jc w:val="center"/>
              <w:spacing w:after="0" w:line="182" w:lineRule="exact"/>
              <w:rPr>
                <w:sz w:val="20"/>
                <w:szCs w:val="20"/>
                <w:color w:val="auto"/>
              </w:rPr>
            </w:pPr>
            <w:r>
              <w:rPr>
                <w:rFonts w:ascii="Arial" w:cs="Arial" w:eastAsia="Arial" w:hAnsi="Arial"/>
                <w:sz w:val="12"/>
                <w:szCs w:val="12"/>
                <w:b w:val="1"/>
                <w:bCs w:val="1"/>
                <w:color w:val="2952A4"/>
                <w:w w:val="93"/>
              </w:rPr>
              <w:t>awards ($)</w:t>
            </w:r>
            <w:r>
              <w:rPr>
                <w:rFonts w:ascii="Arial" w:cs="Arial" w:eastAsia="Arial" w:hAnsi="Arial"/>
                <w:sz w:val="19"/>
                <w:szCs w:val="19"/>
                <w:b w:val="1"/>
                <w:bCs w:val="1"/>
                <w:color w:val="2952A4"/>
                <w:w w:val="93"/>
                <w:vertAlign w:val="superscript"/>
              </w:rPr>
              <w:t>1</w:t>
            </w:r>
          </w:p>
        </w:tc>
        <w:tc>
          <w:tcPr>
            <w:tcW w:w="780" w:type="dxa"/>
            <w:vAlign w:val="bottom"/>
            <w:tcBorders>
              <w:bottom w:val="single" w:sz="8" w:color="2952A4"/>
            </w:tcBorders>
          </w:tcPr>
          <w:p>
            <w:pPr>
              <w:jc w:val="center"/>
              <w:spacing w:after="0" w:line="182" w:lineRule="exact"/>
              <w:rPr>
                <w:sz w:val="20"/>
                <w:szCs w:val="20"/>
                <w:color w:val="auto"/>
              </w:rPr>
            </w:pPr>
            <w:r>
              <w:rPr>
                <w:rFonts w:ascii="Arial" w:cs="Arial" w:eastAsia="Arial" w:hAnsi="Arial"/>
                <w:sz w:val="12"/>
                <w:szCs w:val="12"/>
                <w:b w:val="1"/>
                <w:bCs w:val="1"/>
                <w:color w:val="2952A4"/>
                <w:w w:val="93"/>
              </w:rPr>
              <w:t>awards ($)</w:t>
            </w:r>
            <w:r>
              <w:rPr>
                <w:rFonts w:ascii="Arial" w:cs="Arial" w:eastAsia="Arial" w:hAnsi="Arial"/>
                <w:sz w:val="19"/>
                <w:szCs w:val="19"/>
                <w:b w:val="1"/>
                <w:bCs w:val="1"/>
                <w:color w:val="2952A4"/>
                <w:w w:val="93"/>
                <w:vertAlign w:val="superscript"/>
              </w:rPr>
              <w:t>1</w:t>
            </w:r>
          </w:p>
        </w:tc>
        <w:tc>
          <w:tcPr>
            <w:tcW w:w="1200" w:type="dxa"/>
            <w:vAlign w:val="bottom"/>
            <w:tcBorders>
              <w:bottom w:val="single" w:sz="8" w:color="2952A4"/>
            </w:tcBorders>
          </w:tcPr>
          <w:p>
            <w:pPr>
              <w:jc w:val="center"/>
              <w:spacing w:after="0" w:line="182" w:lineRule="exact"/>
              <w:rPr>
                <w:sz w:val="20"/>
                <w:szCs w:val="20"/>
                <w:color w:val="auto"/>
              </w:rPr>
            </w:pPr>
            <w:r>
              <w:rPr>
                <w:rFonts w:ascii="Arial" w:cs="Arial" w:eastAsia="Arial" w:hAnsi="Arial"/>
                <w:sz w:val="12"/>
                <w:szCs w:val="12"/>
                <w:b w:val="1"/>
                <w:bCs w:val="1"/>
                <w:color w:val="2952A4"/>
                <w:w w:val="95"/>
              </w:rPr>
              <w:t>Compensation ($)</w:t>
            </w:r>
            <w:r>
              <w:rPr>
                <w:rFonts w:ascii="Arial" w:cs="Arial" w:eastAsia="Arial" w:hAnsi="Arial"/>
                <w:sz w:val="19"/>
                <w:szCs w:val="19"/>
                <w:b w:val="1"/>
                <w:bCs w:val="1"/>
                <w:color w:val="2952A4"/>
                <w:w w:val="95"/>
                <w:vertAlign w:val="superscript"/>
              </w:rPr>
              <w:t>2</w:t>
            </w:r>
          </w:p>
        </w:tc>
        <w:tc>
          <w:tcPr>
            <w:tcW w:w="960" w:type="dxa"/>
            <w:vAlign w:val="bottom"/>
            <w:tcBorders>
              <w:bottom w:val="single" w:sz="8" w:color="2952A4"/>
            </w:tcBorders>
          </w:tcPr>
          <w:p>
            <w:pPr>
              <w:jc w:val="center"/>
              <w:spacing w:after="0" w:line="182" w:lineRule="exact"/>
              <w:rPr>
                <w:sz w:val="20"/>
                <w:szCs w:val="20"/>
                <w:color w:val="auto"/>
              </w:rPr>
            </w:pPr>
            <w:r>
              <w:rPr>
                <w:rFonts w:ascii="Arial" w:cs="Arial" w:eastAsia="Arial" w:hAnsi="Arial"/>
                <w:sz w:val="12"/>
                <w:szCs w:val="12"/>
                <w:b w:val="1"/>
                <w:bCs w:val="1"/>
                <w:color w:val="2952A4"/>
                <w:w w:val="91"/>
              </w:rPr>
              <w:t>($)</w:t>
            </w:r>
            <w:r>
              <w:rPr>
                <w:rFonts w:ascii="Arial" w:cs="Arial" w:eastAsia="Arial" w:hAnsi="Arial"/>
                <w:sz w:val="19"/>
                <w:szCs w:val="19"/>
                <w:b w:val="1"/>
                <w:bCs w:val="1"/>
                <w:color w:val="2952A4"/>
                <w:w w:val="91"/>
                <w:vertAlign w:val="superscript"/>
              </w:rPr>
              <w:t>3</w:t>
            </w:r>
          </w:p>
        </w:tc>
        <w:tc>
          <w:tcPr>
            <w:tcW w:w="780" w:type="dxa"/>
            <w:vAlign w:val="bottom"/>
            <w:tcBorders>
              <w:bottom w:val="single" w:sz="8" w:color="2952A4"/>
            </w:tcBorders>
          </w:tcPr>
          <w:p>
            <w:pPr>
              <w:jc w:val="right"/>
              <w:ind w:right="96"/>
              <w:spacing w:after="0"/>
              <w:rPr>
                <w:sz w:val="20"/>
                <w:szCs w:val="20"/>
                <w:color w:val="auto"/>
              </w:rPr>
            </w:pPr>
            <w:r>
              <w:rPr>
                <w:rFonts w:ascii="Arial" w:cs="Arial" w:eastAsia="Arial" w:hAnsi="Arial"/>
                <w:sz w:val="12"/>
                <w:szCs w:val="12"/>
                <w:b w:val="1"/>
                <w:bCs w:val="1"/>
                <w:color w:val="2952A4"/>
              </w:rPr>
              <w:t>Total ($)</w:t>
            </w:r>
          </w:p>
        </w:tc>
        <w:tc>
          <w:tcPr>
            <w:tcW w:w="0" w:type="dxa"/>
            <w:vAlign w:val="bottom"/>
          </w:tcPr>
          <w:p>
            <w:pPr>
              <w:spacing w:after="0"/>
              <w:rPr>
                <w:sz w:val="1"/>
                <w:szCs w:val="1"/>
                <w:color w:val="auto"/>
              </w:rPr>
            </w:pPr>
          </w:p>
        </w:tc>
      </w:tr>
      <w:tr>
        <w:trPr>
          <w:trHeight w:val="147"/>
        </w:trPr>
        <w:tc>
          <w:tcPr>
            <w:tcW w:w="2220" w:type="dxa"/>
            <w:vAlign w:val="bottom"/>
          </w:tcPr>
          <w:p>
            <w:pPr>
              <w:ind w:left="40"/>
              <w:spacing w:after="0" w:line="148" w:lineRule="exact"/>
              <w:rPr>
                <w:sz w:val="20"/>
                <w:szCs w:val="20"/>
                <w:color w:val="auto"/>
              </w:rPr>
            </w:pPr>
            <w:r>
              <w:rPr>
                <w:rFonts w:ascii="Arial" w:cs="Arial" w:eastAsia="Arial" w:hAnsi="Arial"/>
                <w:sz w:val="13"/>
                <w:szCs w:val="13"/>
                <w:b w:val="1"/>
                <w:bCs w:val="1"/>
                <w:color w:val="C04C57"/>
              </w:rPr>
              <w:t>Leonard S. Schleifer, M.D., Ph.D.</w:t>
            </w:r>
          </w:p>
        </w:tc>
        <w:tc>
          <w:tcPr>
            <w:tcW w:w="520" w:type="dxa"/>
            <w:vAlign w:val="bottom"/>
            <w:gridSpan w:val="2"/>
          </w:tcPr>
          <w:p>
            <w:pPr>
              <w:jc w:val="center"/>
              <w:ind w:left="75"/>
              <w:spacing w:after="0" w:line="148" w:lineRule="exact"/>
              <w:rPr>
                <w:sz w:val="20"/>
                <w:szCs w:val="20"/>
                <w:color w:val="auto"/>
              </w:rPr>
            </w:pPr>
            <w:r>
              <w:rPr>
                <w:rFonts w:ascii="Arial" w:cs="Arial" w:eastAsia="Arial" w:hAnsi="Arial"/>
                <w:sz w:val="13"/>
                <w:szCs w:val="13"/>
                <w:color w:val="231F20"/>
              </w:rPr>
              <w:t>2019</w:t>
            </w:r>
          </w:p>
        </w:tc>
        <w:tc>
          <w:tcPr>
            <w:tcW w:w="800" w:type="dxa"/>
            <w:vAlign w:val="bottom"/>
          </w:tcPr>
          <w:p>
            <w:pPr>
              <w:jc w:val="right"/>
              <w:ind w:right="16"/>
              <w:spacing w:after="0" w:line="148" w:lineRule="exact"/>
              <w:rPr>
                <w:sz w:val="20"/>
                <w:szCs w:val="20"/>
                <w:color w:val="auto"/>
              </w:rPr>
            </w:pPr>
            <w:r>
              <w:rPr>
                <w:rFonts w:ascii="Arial" w:cs="Arial" w:eastAsia="Arial" w:hAnsi="Arial"/>
                <w:sz w:val="13"/>
                <w:szCs w:val="13"/>
                <w:color w:val="231F20"/>
              </w:rPr>
              <w:t>1,377,100</w:t>
            </w:r>
          </w:p>
        </w:tc>
        <w:tc>
          <w:tcPr>
            <w:tcW w:w="840" w:type="dxa"/>
            <w:vAlign w:val="bottom"/>
          </w:tcPr>
          <w:p>
            <w:pPr>
              <w:jc w:val="right"/>
              <w:ind w:right="16"/>
              <w:spacing w:after="0" w:line="148" w:lineRule="exact"/>
              <w:rPr>
                <w:sz w:val="20"/>
                <w:szCs w:val="20"/>
                <w:color w:val="auto"/>
              </w:rPr>
            </w:pPr>
            <w:r>
              <w:rPr>
                <w:rFonts w:ascii="Arial" w:cs="Arial" w:eastAsia="Arial" w:hAnsi="Arial"/>
                <w:sz w:val="13"/>
                <w:szCs w:val="13"/>
                <w:color w:val="231F20"/>
              </w:rPr>
              <w:t>4,983,226</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231F20"/>
              </w:rPr>
              <w:t>11,699,586</w:t>
            </w:r>
          </w:p>
        </w:tc>
        <w:tc>
          <w:tcPr>
            <w:tcW w:w="1200" w:type="dxa"/>
            <w:vAlign w:val="bottom"/>
          </w:tcPr>
          <w:p>
            <w:pPr>
              <w:jc w:val="right"/>
              <w:ind w:right="236"/>
              <w:spacing w:after="0" w:line="148" w:lineRule="exact"/>
              <w:rPr>
                <w:sz w:val="20"/>
                <w:szCs w:val="20"/>
                <w:color w:val="auto"/>
              </w:rPr>
            </w:pPr>
            <w:r>
              <w:rPr>
                <w:rFonts w:ascii="Arial" w:cs="Arial" w:eastAsia="Arial" w:hAnsi="Arial"/>
                <w:sz w:val="13"/>
                <w:szCs w:val="13"/>
                <w:color w:val="231F20"/>
              </w:rPr>
              <w:t>3,057,162</w:t>
            </w:r>
          </w:p>
        </w:tc>
        <w:tc>
          <w:tcPr>
            <w:tcW w:w="960" w:type="dxa"/>
            <w:vAlign w:val="bottom"/>
          </w:tcPr>
          <w:p>
            <w:pPr>
              <w:jc w:val="right"/>
              <w:ind w:right="140"/>
              <w:spacing w:after="0" w:line="147" w:lineRule="exact"/>
              <w:rPr>
                <w:sz w:val="20"/>
                <w:szCs w:val="20"/>
                <w:color w:val="auto"/>
              </w:rPr>
            </w:pPr>
            <w:r>
              <w:rPr>
                <w:rFonts w:ascii="Arial" w:cs="Arial" w:eastAsia="Arial" w:hAnsi="Arial"/>
                <w:sz w:val="11"/>
                <w:szCs w:val="11"/>
                <w:color w:val="231F20"/>
              </w:rPr>
              <w:t>338,043</w:t>
            </w:r>
            <w:r>
              <w:rPr>
                <w:rFonts w:ascii="Arial" w:cs="Arial" w:eastAsia="Arial" w:hAnsi="Arial"/>
                <w:sz w:val="17"/>
                <w:szCs w:val="17"/>
                <w:color w:val="231F20"/>
                <w:vertAlign w:val="superscript"/>
              </w:rPr>
              <w:t>4</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231F20"/>
              </w:rPr>
              <w:t>21,455,117</w:t>
            </w:r>
          </w:p>
        </w:tc>
        <w:tc>
          <w:tcPr>
            <w:tcW w:w="0" w:type="dxa"/>
            <w:vAlign w:val="bottom"/>
          </w:tcPr>
          <w:p>
            <w:pPr>
              <w:spacing w:after="0"/>
              <w:rPr>
                <w:sz w:val="1"/>
                <w:szCs w:val="1"/>
                <w:color w:val="auto"/>
              </w:rPr>
            </w:pPr>
          </w:p>
        </w:tc>
      </w:tr>
      <w:tr>
        <w:trPr>
          <w:trHeight w:val="22"/>
        </w:trPr>
        <w:tc>
          <w:tcPr>
            <w:tcW w:w="2220" w:type="dxa"/>
            <w:vAlign w:val="bottom"/>
            <w:vMerge w:val="restart"/>
          </w:tcPr>
          <w:p>
            <w:pPr>
              <w:ind w:left="40"/>
              <w:spacing w:after="0"/>
              <w:rPr>
                <w:sz w:val="20"/>
                <w:szCs w:val="20"/>
                <w:color w:val="auto"/>
              </w:rPr>
            </w:pPr>
            <w:r>
              <w:rPr>
                <w:rFonts w:ascii="Arial" w:cs="Arial" w:eastAsia="Arial" w:hAnsi="Arial"/>
                <w:sz w:val="13"/>
                <w:szCs w:val="13"/>
                <w:b w:val="1"/>
                <w:bCs w:val="1"/>
                <w:color w:val="231F20"/>
              </w:rPr>
              <w:t>President and Chief Executive</w:t>
            </w: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220" w:type="dxa"/>
            <w:vAlign w:val="bottom"/>
            <w:vMerge w:val="continue"/>
          </w:tcPr>
          <w:p>
            <w:pPr>
              <w:spacing w:after="0"/>
              <w:rPr>
                <w:sz w:val="10"/>
                <w:szCs w:val="10"/>
                <w:color w:val="auto"/>
              </w:rPr>
            </w:pPr>
          </w:p>
        </w:tc>
        <w:tc>
          <w:tcPr>
            <w:tcW w:w="520" w:type="dxa"/>
            <w:vAlign w:val="bottom"/>
            <w:gridSpan w:val="2"/>
          </w:tcPr>
          <w:p>
            <w:pPr>
              <w:jc w:val="center"/>
              <w:ind w:left="75"/>
              <w:spacing w:after="0" w:line="115" w:lineRule="exact"/>
              <w:rPr>
                <w:sz w:val="20"/>
                <w:szCs w:val="20"/>
                <w:color w:val="auto"/>
              </w:rPr>
            </w:pPr>
            <w:r>
              <w:rPr>
                <w:rFonts w:ascii="Arial" w:cs="Arial" w:eastAsia="Arial" w:hAnsi="Arial"/>
                <w:sz w:val="13"/>
                <w:szCs w:val="13"/>
                <w:color w:val="231F20"/>
              </w:rPr>
              <w:t>2018</w:t>
            </w:r>
          </w:p>
        </w:tc>
        <w:tc>
          <w:tcPr>
            <w:tcW w:w="800" w:type="dxa"/>
            <w:vAlign w:val="bottom"/>
          </w:tcPr>
          <w:p>
            <w:pPr>
              <w:jc w:val="right"/>
              <w:ind w:right="16"/>
              <w:spacing w:after="0" w:line="115" w:lineRule="exact"/>
              <w:rPr>
                <w:sz w:val="20"/>
                <w:szCs w:val="20"/>
                <w:color w:val="auto"/>
              </w:rPr>
            </w:pPr>
            <w:r>
              <w:rPr>
                <w:rFonts w:ascii="Arial" w:cs="Arial" w:eastAsia="Arial" w:hAnsi="Arial"/>
                <w:sz w:val="13"/>
                <w:szCs w:val="13"/>
                <w:color w:val="231F20"/>
              </w:rPr>
              <w:t>1,330,500</w:t>
            </w:r>
          </w:p>
        </w:tc>
        <w:tc>
          <w:tcPr>
            <w:tcW w:w="840" w:type="dxa"/>
            <w:vAlign w:val="bottom"/>
          </w:tcPr>
          <w:p>
            <w:pPr>
              <w:jc w:val="right"/>
              <w:ind w:right="16"/>
              <w:spacing w:after="0" w:line="115" w:lineRule="exact"/>
              <w:rPr>
                <w:sz w:val="20"/>
                <w:szCs w:val="20"/>
                <w:color w:val="auto"/>
              </w:rPr>
            </w:pPr>
            <w:r>
              <w:rPr>
                <w:rFonts w:ascii="Arial" w:cs="Arial" w:eastAsia="Arial" w:hAnsi="Arial"/>
                <w:sz w:val="13"/>
                <w:szCs w:val="13"/>
                <w:color w:val="231F20"/>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231F20"/>
              </w:rPr>
              <w:t>21,339,913</w:t>
            </w:r>
          </w:p>
        </w:tc>
        <w:tc>
          <w:tcPr>
            <w:tcW w:w="1200" w:type="dxa"/>
            <w:vAlign w:val="bottom"/>
          </w:tcPr>
          <w:p>
            <w:pPr>
              <w:jc w:val="right"/>
              <w:ind w:right="236"/>
              <w:spacing w:after="0" w:line="115" w:lineRule="exact"/>
              <w:rPr>
                <w:sz w:val="20"/>
                <w:szCs w:val="20"/>
                <w:color w:val="auto"/>
              </w:rPr>
            </w:pPr>
            <w:r>
              <w:rPr>
                <w:rFonts w:ascii="Arial" w:cs="Arial" w:eastAsia="Arial" w:hAnsi="Arial"/>
                <w:sz w:val="13"/>
                <w:szCs w:val="13"/>
                <w:color w:val="231F20"/>
              </w:rPr>
              <w:t>2,953,710</w:t>
            </w:r>
          </w:p>
        </w:tc>
        <w:tc>
          <w:tcPr>
            <w:tcW w:w="960" w:type="dxa"/>
            <w:vAlign w:val="bottom"/>
          </w:tcPr>
          <w:p>
            <w:pPr>
              <w:jc w:val="right"/>
              <w:ind w:right="200"/>
              <w:spacing w:after="0" w:line="115" w:lineRule="exact"/>
              <w:rPr>
                <w:sz w:val="20"/>
                <w:szCs w:val="20"/>
                <w:color w:val="auto"/>
              </w:rPr>
            </w:pPr>
            <w:r>
              <w:rPr>
                <w:rFonts w:ascii="Arial" w:cs="Arial" w:eastAsia="Arial" w:hAnsi="Arial"/>
                <w:sz w:val="13"/>
                <w:szCs w:val="13"/>
                <w:color w:val="231F20"/>
              </w:rPr>
              <w:t>896,432</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231F20"/>
              </w:rPr>
              <w:t>26,520,555</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40"/>
              <w:spacing w:after="0"/>
              <w:rPr>
                <w:sz w:val="20"/>
                <w:szCs w:val="20"/>
                <w:color w:val="auto"/>
              </w:rPr>
            </w:pPr>
            <w:r>
              <w:rPr>
                <w:rFonts w:ascii="Arial" w:cs="Arial" w:eastAsia="Arial" w:hAnsi="Arial"/>
                <w:sz w:val="13"/>
                <w:szCs w:val="13"/>
                <w:b w:val="1"/>
                <w:bCs w:val="1"/>
                <w:color w:val="231F20"/>
              </w:rPr>
              <w:t>Officer</w:t>
            </w: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20" w:type="dxa"/>
            <w:vAlign w:val="bottom"/>
            <w:vMerge w:val="continue"/>
          </w:tcPr>
          <w:p>
            <w:pPr>
              <w:spacing w:after="0"/>
              <w:rPr>
                <w:sz w:val="10"/>
                <w:szCs w:val="10"/>
                <w:color w:val="auto"/>
              </w:rPr>
            </w:pPr>
          </w:p>
        </w:tc>
        <w:tc>
          <w:tcPr>
            <w:tcW w:w="520" w:type="dxa"/>
            <w:vAlign w:val="bottom"/>
            <w:gridSpan w:val="2"/>
            <w:vMerge w:val="restart"/>
          </w:tcPr>
          <w:p>
            <w:pPr>
              <w:jc w:val="center"/>
              <w:ind w:left="75"/>
              <w:spacing w:after="0" w:line="142" w:lineRule="exact"/>
              <w:rPr>
                <w:sz w:val="20"/>
                <w:szCs w:val="20"/>
                <w:color w:val="auto"/>
              </w:rPr>
            </w:pPr>
            <w:r>
              <w:rPr>
                <w:rFonts w:ascii="Arial" w:cs="Arial" w:eastAsia="Arial" w:hAnsi="Arial"/>
                <w:sz w:val="13"/>
                <w:szCs w:val="13"/>
                <w:color w:val="231F20"/>
              </w:rPr>
              <w:t>2017</w:t>
            </w:r>
          </w:p>
        </w:tc>
        <w:tc>
          <w:tcPr>
            <w:tcW w:w="800" w:type="dxa"/>
            <w:vAlign w:val="bottom"/>
            <w:vMerge w:val="restart"/>
          </w:tcPr>
          <w:p>
            <w:pPr>
              <w:jc w:val="right"/>
              <w:ind w:right="16"/>
              <w:spacing w:after="0" w:line="142" w:lineRule="exact"/>
              <w:rPr>
                <w:sz w:val="20"/>
                <w:szCs w:val="20"/>
                <w:color w:val="auto"/>
              </w:rPr>
            </w:pPr>
            <w:r>
              <w:rPr>
                <w:rFonts w:ascii="Arial" w:cs="Arial" w:eastAsia="Arial" w:hAnsi="Arial"/>
                <w:sz w:val="13"/>
                <w:szCs w:val="13"/>
                <w:color w:val="231F20"/>
              </w:rPr>
              <w:t>1,285,500</w:t>
            </w:r>
          </w:p>
        </w:tc>
        <w:tc>
          <w:tcPr>
            <w:tcW w:w="840" w:type="dxa"/>
            <w:vAlign w:val="bottom"/>
            <w:vMerge w:val="restart"/>
          </w:tcPr>
          <w:p>
            <w:pPr>
              <w:jc w:val="right"/>
              <w:ind w:right="16"/>
              <w:spacing w:after="0" w:line="142" w:lineRule="exact"/>
              <w:rPr>
                <w:sz w:val="20"/>
                <w:szCs w:val="20"/>
                <w:color w:val="auto"/>
              </w:rPr>
            </w:pPr>
            <w:r>
              <w:rPr>
                <w:rFonts w:ascii="Arial" w:cs="Arial" w:eastAsia="Arial" w:hAnsi="Arial"/>
                <w:sz w:val="13"/>
                <w:szCs w:val="13"/>
                <w:color w:val="231F20"/>
              </w:rPr>
              <w:t>—</w:t>
            </w:r>
          </w:p>
        </w:tc>
        <w:tc>
          <w:tcPr>
            <w:tcW w:w="78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21,967,210</w:t>
            </w:r>
          </w:p>
        </w:tc>
        <w:tc>
          <w:tcPr>
            <w:tcW w:w="1200" w:type="dxa"/>
            <w:vAlign w:val="bottom"/>
            <w:vMerge w:val="restart"/>
          </w:tcPr>
          <w:p>
            <w:pPr>
              <w:jc w:val="right"/>
              <w:ind w:right="236"/>
              <w:spacing w:after="0" w:line="142" w:lineRule="exact"/>
              <w:rPr>
                <w:sz w:val="20"/>
                <w:szCs w:val="20"/>
                <w:color w:val="auto"/>
              </w:rPr>
            </w:pPr>
            <w:r>
              <w:rPr>
                <w:rFonts w:ascii="Arial" w:cs="Arial" w:eastAsia="Arial" w:hAnsi="Arial"/>
                <w:sz w:val="13"/>
                <w:szCs w:val="13"/>
                <w:color w:val="231F20"/>
              </w:rPr>
              <w:t>2,468,160</w:t>
            </w:r>
          </w:p>
        </w:tc>
        <w:tc>
          <w:tcPr>
            <w:tcW w:w="960" w:type="dxa"/>
            <w:vAlign w:val="bottom"/>
            <w:vMerge w:val="restart"/>
          </w:tcPr>
          <w:p>
            <w:pPr>
              <w:jc w:val="right"/>
              <w:ind w:right="200"/>
              <w:spacing w:after="0" w:line="142" w:lineRule="exact"/>
              <w:rPr>
                <w:sz w:val="20"/>
                <w:szCs w:val="20"/>
                <w:color w:val="auto"/>
              </w:rPr>
            </w:pPr>
            <w:r>
              <w:rPr>
                <w:rFonts w:ascii="Arial" w:cs="Arial" w:eastAsia="Arial" w:hAnsi="Arial"/>
                <w:sz w:val="13"/>
                <w:szCs w:val="13"/>
                <w:color w:val="231F20"/>
              </w:rPr>
              <w:t>787,188</w:t>
            </w:r>
          </w:p>
        </w:tc>
        <w:tc>
          <w:tcPr>
            <w:tcW w:w="78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26,508,058</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vMerge w:val="continue"/>
          </w:tcPr>
          <w:p>
            <w:pPr>
              <w:spacing w:after="0"/>
              <w:rPr>
                <w:sz w:val="2"/>
                <w:szCs w:val="2"/>
                <w:color w:val="auto"/>
              </w:rPr>
            </w:pPr>
          </w:p>
        </w:tc>
        <w:tc>
          <w:tcPr>
            <w:tcW w:w="80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20" w:type="dxa"/>
            <w:vAlign w:val="bottom"/>
            <w:tcBorders>
              <w:bottom w:val="single" w:sz="8" w:color="EAEAEC"/>
            </w:tcBorders>
            <w:shd w:val="clear" w:color="auto" w:fill="EAEAEC"/>
          </w:tcPr>
          <w:p>
            <w:pPr>
              <w:ind w:left="40"/>
              <w:spacing w:after="0" w:line="148" w:lineRule="exact"/>
              <w:rPr>
                <w:sz w:val="20"/>
                <w:szCs w:val="20"/>
                <w:color w:val="auto"/>
              </w:rPr>
            </w:pPr>
            <w:r>
              <w:rPr>
                <w:rFonts w:ascii="Arial" w:cs="Arial" w:eastAsia="Arial" w:hAnsi="Arial"/>
                <w:sz w:val="13"/>
                <w:szCs w:val="13"/>
                <w:b w:val="1"/>
                <w:bCs w:val="1"/>
                <w:color w:val="C04C57"/>
                <w:w w:val="97"/>
              </w:rPr>
              <w:t>George D. Yancopoulos, M.D., Ph.D.</w:t>
            </w:r>
          </w:p>
        </w:tc>
        <w:tc>
          <w:tcPr>
            <w:tcW w:w="140" w:type="dxa"/>
            <w:vAlign w:val="bottom"/>
            <w:tcBorders>
              <w:bottom w:val="single" w:sz="8" w:color="EAEAEC"/>
            </w:tcBorders>
            <w:shd w:val="clear" w:color="auto" w:fill="EAEAEC"/>
          </w:tcPr>
          <w:p>
            <w:pPr>
              <w:spacing w:after="0"/>
              <w:rPr>
                <w:sz w:val="14"/>
                <w:szCs w:val="14"/>
                <w:color w:val="auto"/>
              </w:rPr>
            </w:pPr>
          </w:p>
        </w:tc>
        <w:tc>
          <w:tcPr>
            <w:tcW w:w="380" w:type="dxa"/>
            <w:vAlign w:val="bottom"/>
            <w:tcBorders>
              <w:bottom w:val="single" w:sz="8" w:color="EAEAEC"/>
            </w:tcBorders>
            <w:shd w:val="clear" w:color="auto" w:fill="EAEAEC"/>
          </w:tcPr>
          <w:p>
            <w:pPr>
              <w:jc w:val="center"/>
              <w:spacing w:after="0" w:line="148" w:lineRule="exact"/>
              <w:rPr>
                <w:sz w:val="20"/>
                <w:szCs w:val="20"/>
                <w:color w:val="auto"/>
              </w:rPr>
            </w:pPr>
            <w:r>
              <w:rPr>
                <w:rFonts w:ascii="Arial" w:cs="Arial" w:eastAsia="Arial" w:hAnsi="Arial"/>
                <w:sz w:val="13"/>
                <w:szCs w:val="13"/>
                <w:color w:val="231F20"/>
              </w:rPr>
              <w:t>2019</w:t>
            </w:r>
          </w:p>
        </w:tc>
        <w:tc>
          <w:tcPr>
            <w:tcW w:w="800" w:type="dxa"/>
            <w:vAlign w:val="bottom"/>
            <w:tcBorders>
              <w:bottom w:val="single" w:sz="8" w:color="EAEAEC"/>
            </w:tcBorders>
            <w:shd w:val="clear" w:color="auto" w:fill="EAEAEC"/>
          </w:tcPr>
          <w:p>
            <w:pPr>
              <w:jc w:val="right"/>
              <w:ind w:right="16"/>
              <w:spacing w:after="0" w:line="148" w:lineRule="exact"/>
              <w:rPr>
                <w:sz w:val="20"/>
                <w:szCs w:val="20"/>
                <w:color w:val="auto"/>
              </w:rPr>
            </w:pPr>
            <w:r>
              <w:rPr>
                <w:rFonts w:ascii="Arial" w:cs="Arial" w:eastAsia="Arial" w:hAnsi="Arial"/>
                <w:sz w:val="13"/>
                <w:szCs w:val="13"/>
                <w:color w:val="231F20"/>
              </w:rPr>
              <w:t>1,170,500</w:t>
            </w:r>
          </w:p>
        </w:tc>
        <w:tc>
          <w:tcPr>
            <w:tcW w:w="840" w:type="dxa"/>
            <w:vAlign w:val="bottom"/>
            <w:tcBorders>
              <w:bottom w:val="single" w:sz="8" w:color="EAEAEC"/>
            </w:tcBorders>
            <w:shd w:val="clear" w:color="auto" w:fill="EAEAEC"/>
          </w:tcPr>
          <w:p>
            <w:pPr>
              <w:jc w:val="right"/>
              <w:ind w:right="16"/>
              <w:spacing w:after="0" w:line="148" w:lineRule="exact"/>
              <w:rPr>
                <w:sz w:val="20"/>
                <w:szCs w:val="20"/>
                <w:color w:val="auto"/>
              </w:rPr>
            </w:pPr>
            <w:r>
              <w:rPr>
                <w:rFonts w:ascii="Arial" w:cs="Arial" w:eastAsia="Arial" w:hAnsi="Arial"/>
                <w:sz w:val="13"/>
                <w:szCs w:val="13"/>
                <w:color w:val="231F20"/>
              </w:rPr>
              <w:t>4,983,226</w:t>
            </w:r>
          </w:p>
        </w:tc>
        <w:tc>
          <w:tcPr>
            <w:tcW w:w="780" w:type="dxa"/>
            <w:vAlign w:val="bottom"/>
            <w:tcBorders>
              <w:bottom w:val="single" w:sz="8" w:color="EAEAEC"/>
            </w:tcBorders>
            <w:shd w:val="clear" w:color="auto" w:fill="EAEAEC"/>
          </w:tcPr>
          <w:p>
            <w:pPr>
              <w:jc w:val="right"/>
              <w:spacing w:after="0" w:line="148" w:lineRule="exact"/>
              <w:rPr>
                <w:sz w:val="20"/>
                <w:szCs w:val="20"/>
                <w:color w:val="auto"/>
              </w:rPr>
            </w:pPr>
            <w:r>
              <w:rPr>
                <w:rFonts w:ascii="Arial" w:cs="Arial" w:eastAsia="Arial" w:hAnsi="Arial"/>
                <w:sz w:val="13"/>
                <w:szCs w:val="13"/>
                <w:color w:val="231F20"/>
              </w:rPr>
              <w:t>11,699,586</w:t>
            </w:r>
          </w:p>
        </w:tc>
        <w:tc>
          <w:tcPr>
            <w:tcW w:w="1200" w:type="dxa"/>
            <w:vAlign w:val="bottom"/>
            <w:tcBorders>
              <w:bottom w:val="single" w:sz="8" w:color="EAEAEC"/>
            </w:tcBorders>
            <w:shd w:val="clear" w:color="auto" w:fill="EAEAEC"/>
          </w:tcPr>
          <w:p>
            <w:pPr>
              <w:jc w:val="right"/>
              <w:ind w:right="236"/>
              <w:spacing w:after="0" w:line="148" w:lineRule="exact"/>
              <w:rPr>
                <w:sz w:val="20"/>
                <w:szCs w:val="20"/>
                <w:color w:val="auto"/>
              </w:rPr>
            </w:pPr>
            <w:r>
              <w:rPr>
                <w:rFonts w:ascii="Arial" w:cs="Arial" w:eastAsia="Arial" w:hAnsi="Arial"/>
                <w:sz w:val="13"/>
                <w:szCs w:val="13"/>
                <w:color w:val="231F20"/>
              </w:rPr>
              <w:t>2,598,510</w:t>
            </w:r>
          </w:p>
        </w:tc>
        <w:tc>
          <w:tcPr>
            <w:tcW w:w="960" w:type="dxa"/>
            <w:vAlign w:val="bottom"/>
            <w:tcBorders>
              <w:bottom w:val="single" w:sz="8" w:color="EAEAEC"/>
            </w:tcBorders>
            <w:shd w:val="clear" w:color="auto" w:fill="EAEAEC"/>
          </w:tcPr>
          <w:p>
            <w:pPr>
              <w:jc w:val="right"/>
              <w:ind w:right="140"/>
              <w:spacing w:after="0" w:line="147" w:lineRule="exact"/>
              <w:rPr>
                <w:sz w:val="20"/>
                <w:szCs w:val="20"/>
                <w:color w:val="auto"/>
              </w:rPr>
            </w:pPr>
            <w:r>
              <w:rPr>
                <w:rFonts w:ascii="Arial" w:cs="Arial" w:eastAsia="Arial" w:hAnsi="Arial"/>
                <w:sz w:val="11"/>
                <w:szCs w:val="11"/>
                <w:color w:val="231F20"/>
              </w:rPr>
              <w:t>212,313</w:t>
            </w:r>
            <w:r>
              <w:rPr>
                <w:rFonts w:ascii="Arial" w:cs="Arial" w:eastAsia="Arial" w:hAnsi="Arial"/>
                <w:sz w:val="17"/>
                <w:szCs w:val="17"/>
                <w:color w:val="231F20"/>
                <w:vertAlign w:val="superscript"/>
              </w:rPr>
              <w:t>5</w:t>
            </w:r>
          </w:p>
        </w:tc>
        <w:tc>
          <w:tcPr>
            <w:tcW w:w="780" w:type="dxa"/>
            <w:vAlign w:val="bottom"/>
            <w:tcBorders>
              <w:bottom w:val="single" w:sz="8" w:color="EAEAEC"/>
            </w:tcBorders>
            <w:shd w:val="clear" w:color="auto" w:fill="EAEAEC"/>
          </w:tcPr>
          <w:p>
            <w:pPr>
              <w:jc w:val="right"/>
              <w:spacing w:after="0" w:line="148" w:lineRule="exact"/>
              <w:rPr>
                <w:sz w:val="20"/>
                <w:szCs w:val="20"/>
                <w:color w:val="auto"/>
              </w:rPr>
            </w:pPr>
            <w:r>
              <w:rPr>
                <w:rFonts w:ascii="Arial" w:cs="Arial" w:eastAsia="Arial" w:hAnsi="Arial"/>
                <w:sz w:val="13"/>
                <w:szCs w:val="13"/>
                <w:color w:val="231F20"/>
              </w:rPr>
              <w:t>20,664,135</w:t>
            </w:r>
          </w:p>
        </w:tc>
        <w:tc>
          <w:tcPr>
            <w:tcW w:w="0" w:type="dxa"/>
            <w:vAlign w:val="bottom"/>
          </w:tcPr>
          <w:p>
            <w:pPr>
              <w:spacing w:after="0"/>
              <w:rPr>
                <w:sz w:val="1"/>
                <w:szCs w:val="1"/>
                <w:color w:val="auto"/>
              </w:rPr>
            </w:pPr>
          </w:p>
        </w:tc>
      </w:tr>
      <w:tr>
        <w:trPr>
          <w:trHeight w:val="147"/>
        </w:trPr>
        <w:tc>
          <w:tcPr>
            <w:tcW w:w="2220" w:type="dxa"/>
            <w:vAlign w:val="bottom"/>
            <w:tcBorders>
              <w:top w:val="single" w:sz="8" w:color="EAEAEC"/>
              <w:bottom w:val="single" w:sz="8" w:color="EAEAEC"/>
            </w:tcBorders>
            <w:shd w:val="clear" w:color="auto" w:fill="EAEAEC"/>
          </w:tcPr>
          <w:p>
            <w:pPr>
              <w:ind w:left="40"/>
              <w:spacing w:after="0" w:line="115" w:lineRule="exact"/>
              <w:rPr>
                <w:sz w:val="20"/>
                <w:szCs w:val="20"/>
                <w:color w:val="auto"/>
              </w:rPr>
            </w:pPr>
            <w:r>
              <w:rPr>
                <w:rFonts w:ascii="Arial" w:cs="Arial" w:eastAsia="Arial" w:hAnsi="Arial"/>
                <w:sz w:val="13"/>
                <w:szCs w:val="13"/>
                <w:b w:val="1"/>
                <w:bCs w:val="1"/>
                <w:color w:val="231F20"/>
              </w:rPr>
              <w:t>President and Chief Scientific</w:t>
            </w:r>
          </w:p>
        </w:tc>
        <w:tc>
          <w:tcPr>
            <w:tcW w:w="140" w:type="dxa"/>
            <w:vAlign w:val="bottom"/>
            <w:tcBorders>
              <w:top w:val="single" w:sz="8" w:color="EAEAEC"/>
              <w:bottom w:val="single" w:sz="8" w:color="EAEAEC"/>
            </w:tcBorders>
            <w:shd w:val="clear" w:color="auto" w:fill="EAEAEC"/>
          </w:tcPr>
          <w:p>
            <w:pPr>
              <w:spacing w:after="0"/>
              <w:rPr>
                <w:sz w:val="12"/>
                <w:szCs w:val="12"/>
                <w:color w:val="auto"/>
              </w:rPr>
            </w:pPr>
          </w:p>
        </w:tc>
        <w:tc>
          <w:tcPr>
            <w:tcW w:w="380" w:type="dxa"/>
            <w:vAlign w:val="bottom"/>
            <w:tcBorders>
              <w:top w:val="single" w:sz="8" w:color="auto"/>
              <w:bottom w:val="single" w:sz="8" w:color="EAEAEC"/>
            </w:tcBorders>
            <w:shd w:val="clear" w:color="auto" w:fill="EAEAEC"/>
          </w:tcPr>
          <w:p>
            <w:pPr>
              <w:jc w:val="center"/>
              <w:spacing w:after="0" w:line="115" w:lineRule="exact"/>
              <w:rPr>
                <w:sz w:val="20"/>
                <w:szCs w:val="20"/>
                <w:color w:val="auto"/>
              </w:rPr>
            </w:pPr>
            <w:r>
              <w:rPr>
                <w:rFonts w:ascii="Arial" w:cs="Arial" w:eastAsia="Arial" w:hAnsi="Arial"/>
                <w:sz w:val="13"/>
                <w:szCs w:val="13"/>
                <w:color w:val="231F20"/>
              </w:rPr>
              <w:t>2018</w:t>
            </w:r>
          </w:p>
        </w:tc>
        <w:tc>
          <w:tcPr>
            <w:tcW w:w="800" w:type="dxa"/>
            <w:vAlign w:val="bottom"/>
            <w:tcBorders>
              <w:top w:val="single" w:sz="8" w:color="auto"/>
              <w:bottom w:val="single" w:sz="8" w:color="EAEAEC"/>
            </w:tcBorders>
            <w:shd w:val="clear" w:color="auto" w:fill="EAEAEC"/>
          </w:tcPr>
          <w:p>
            <w:pPr>
              <w:jc w:val="right"/>
              <w:ind w:right="16"/>
              <w:spacing w:after="0" w:line="115" w:lineRule="exact"/>
              <w:rPr>
                <w:sz w:val="20"/>
                <w:szCs w:val="20"/>
                <w:color w:val="auto"/>
              </w:rPr>
            </w:pPr>
            <w:r>
              <w:rPr>
                <w:rFonts w:ascii="Arial" w:cs="Arial" w:eastAsia="Arial" w:hAnsi="Arial"/>
                <w:sz w:val="13"/>
                <w:szCs w:val="13"/>
                <w:color w:val="231F20"/>
              </w:rPr>
              <w:t>1,130,900</w:t>
            </w:r>
          </w:p>
        </w:tc>
        <w:tc>
          <w:tcPr>
            <w:tcW w:w="840" w:type="dxa"/>
            <w:vAlign w:val="bottom"/>
            <w:tcBorders>
              <w:top w:val="single" w:sz="8" w:color="auto"/>
              <w:bottom w:val="single" w:sz="8" w:color="EAEAEC"/>
            </w:tcBorders>
            <w:shd w:val="clear" w:color="auto" w:fill="EAEAEC"/>
          </w:tcPr>
          <w:p>
            <w:pPr>
              <w:jc w:val="right"/>
              <w:ind w:right="16"/>
              <w:spacing w:after="0" w:line="115" w:lineRule="exact"/>
              <w:rPr>
                <w:sz w:val="20"/>
                <w:szCs w:val="20"/>
                <w:color w:val="auto"/>
              </w:rPr>
            </w:pPr>
            <w:r>
              <w:rPr>
                <w:rFonts w:ascii="Arial" w:cs="Arial" w:eastAsia="Arial" w:hAnsi="Arial"/>
                <w:sz w:val="13"/>
                <w:szCs w:val="13"/>
                <w:color w:val="231F20"/>
              </w:rPr>
              <w:t>—</w:t>
            </w:r>
          </w:p>
        </w:tc>
        <w:tc>
          <w:tcPr>
            <w:tcW w:w="780" w:type="dxa"/>
            <w:vAlign w:val="bottom"/>
            <w:tcBorders>
              <w:top w:val="single" w:sz="8" w:color="auto"/>
              <w:bottom w:val="single" w:sz="8" w:color="EAEAEC"/>
            </w:tcBorders>
            <w:shd w:val="clear" w:color="auto" w:fill="EAEAEC"/>
          </w:tcPr>
          <w:p>
            <w:pPr>
              <w:jc w:val="right"/>
              <w:spacing w:after="0" w:line="115" w:lineRule="exact"/>
              <w:rPr>
                <w:sz w:val="20"/>
                <w:szCs w:val="20"/>
                <w:color w:val="auto"/>
              </w:rPr>
            </w:pPr>
            <w:r>
              <w:rPr>
                <w:rFonts w:ascii="Arial" w:cs="Arial" w:eastAsia="Arial" w:hAnsi="Arial"/>
                <w:sz w:val="13"/>
                <w:szCs w:val="13"/>
                <w:color w:val="231F20"/>
              </w:rPr>
              <w:t>21,339,913</w:t>
            </w:r>
          </w:p>
        </w:tc>
        <w:tc>
          <w:tcPr>
            <w:tcW w:w="1200" w:type="dxa"/>
            <w:vAlign w:val="bottom"/>
            <w:tcBorders>
              <w:top w:val="single" w:sz="8" w:color="auto"/>
              <w:bottom w:val="single" w:sz="8" w:color="EAEAEC"/>
            </w:tcBorders>
            <w:shd w:val="clear" w:color="auto" w:fill="EAEAEC"/>
          </w:tcPr>
          <w:p>
            <w:pPr>
              <w:jc w:val="right"/>
              <w:ind w:right="236"/>
              <w:spacing w:after="0" w:line="115" w:lineRule="exact"/>
              <w:rPr>
                <w:sz w:val="20"/>
                <w:szCs w:val="20"/>
                <w:color w:val="auto"/>
              </w:rPr>
            </w:pPr>
            <w:r>
              <w:rPr>
                <w:rFonts w:ascii="Arial" w:cs="Arial" w:eastAsia="Arial" w:hAnsi="Arial"/>
                <w:sz w:val="13"/>
                <w:szCs w:val="13"/>
                <w:color w:val="231F20"/>
              </w:rPr>
              <w:t>2,510,598</w:t>
            </w:r>
          </w:p>
        </w:tc>
        <w:tc>
          <w:tcPr>
            <w:tcW w:w="960" w:type="dxa"/>
            <w:vAlign w:val="bottom"/>
            <w:tcBorders>
              <w:top w:val="single" w:sz="8" w:color="auto"/>
              <w:bottom w:val="single" w:sz="8" w:color="EAEAEC"/>
            </w:tcBorders>
            <w:shd w:val="clear" w:color="auto" w:fill="EAEAEC"/>
          </w:tcPr>
          <w:p>
            <w:pPr>
              <w:jc w:val="right"/>
              <w:ind w:right="200"/>
              <w:spacing w:after="0" w:line="115" w:lineRule="exact"/>
              <w:rPr>
                <w:sz w:val="20"/>
                <w:szCs w:val="20"/>
                <w:color w:val="auto"/>
              </w:rPr>
            </w:pPr>
            <w:r>
              <w:rPr>
                <w:rFonts w:ascii="Arial" w:cs="Arial" w:eastAsia="Arial" w:hAnsi="Arial"/>
                <w:sz w:val="13"/>
                <w:szCs w:val="13"/>
                <w:color w:val="231F20"/>
              </w:rPr>
              <w:t>399,718</w:t>
            </w:r>
          </w:p>
        </w:tc>
        <w:tc>
          <w:tcPr>
            <w:tcW w:w="780" w:type="dxa"/>
            <w:vAlign w:val="bottom"/>
            <w:tcBorders>
              <w:top w:val="single" w:sz="8" w:color="auto"/>
              <w:bottom w:val="single" w:sz="8" w:color="EAEAEC"/>
            </w:tcBorders>
            <w:shd w:val="clear" w:color="auto" w:fill="EAEAEC"/>
          </w:tcPr>
          <w:p>
            <w:pPr>
              <w:jc w:val="right"/>
              <w:spacing w:after="0" w:line="115" w:lineRule="exact"/>
              <w:rPr>
                <w:sz w:val="20"/>
                <w:szCs w:val="20"/>
                <w:color w:val="auto"/>
              </w:rPr>
            </w:pPr>
            <w:r>
              <w:rPr>
                <w:rFonts w:ascii="Arial" w:cs="Arial" w:eastAsia="Arial" w:hAnsi="Arial"/>
                <w:sz w:val="13"/>
                <w:szCs w:val="13"/>
                <w:color w:val="231F20"/>
              </w:rPr>
              <w:t>25,381,129</w:t>
            </w:r>
          </w:p>
        </w:tc>
        <w:tc>
          <w:tcPr>
            <w:tcW w:w="0" w:type="dxa"/>
            <w:vAlign w:val="bottom"/>
          </w:tcPr>
          <w:p>
            <w:pPr>
              <w:spacing w:after="0"/>
              <w:rPr>
                <w:sz w:val="1"/>
                <w:szCs w:val="1"/>
                <w:color w:val="auto"/>
              </w:rPr>
            </w:pPr>
          </w:p>
        </w:tc>
      </w:tr>
      <w:tr>
        <w:trPr>
          <w:trHeight w:val="147"/>
        </w:trPr>
        <w:tc>
          <w:tcPr>
            <w:tcW w:w="2220" w:type="dxa"/>
            <w:vAlign w:val="bottom"/>
            <w:tcBorders>
              <w:top w:val="single" w:sz="8" w:color="EAEAEC"/>
              <w:bottom w:val="single" w:sz="8" w:color="EAEAEC"/>
            </w:tcBorders>
            <w:shd w:val="clear" w:color="auto" w:fill="EAEAEC"/>
          </w:tcPr>
          <w:p>
            <w:pPr>
              <w:ind w:left="40"/>
              <w:spacing w:after="0" w:line="115" w:lineRule="exact"/>
              <w:rPr>
                <w:sz w:val="20"/>
                <w:szCs w:val="20"/>
                <w:color w:val="auto"/>
              </w:rPr>
            </w:pPr>
            <w:r>
              <w:rPr>
                <w:rFonts w:ascii="Arial" w:cs="Arial" w:eastAsia="Arial" w:hAnsi="Arial"/>
                <w:sz w:val="13"/>
                <w:szCs w:val="13"/>
                <w:b w:val="1"/>
                <w:bCs w:val="1"/>
                <w:color w:val="231F20"/>
              </w:rPr>
              <w:t>Officer</w:t>
            </w:r>
          </w:p>
        </w:tc>
        <w:tc>
          <w:tcPr>
            <w:tcW w:w="140" w:type="dxa"/>
            <w:vAlign w:val="bottom"/>
            <w:tcBorders>
              <w:top w:val="single" w:sz="8" w:color="EAEAEC"/>
              <w:bottom w:val="single" w:sz="8" w:color="EAEAEC"/>
            </w:tcBorders>
            <w:shd w:val="clear" w:color="auto" w:fill="EAEAEC"/>
          </w:tcPr>
          <w:p>
            <w:pPr>
              <w:spacing w:after="0"/>
              <w:rPr>
                <w:sz w:val="12"/>
                <w:szCs w:val="12"/>
                <w:color w:val="auto"/>
              </w:rPr>
            </w:pPr>
          </w:p>
        </w:tc>
        <w:tc>
          <w:tcPr>
            <w:tcW w:w="380" w:type="dxa"/>
            <w:vAlign w:val="bottom"/>
            <w:tcBorders>
              <w:top w:val="single" w:sz="8" w:color="auto"/>
              <w:bottom w:val="single" w:sz="8" w:color="auto"/>
            </w:tcBorders>
            <w:shd w:val="clear" w:color="auto" w:fill="EAEAEC"/>
          </w:tcPr>
          <w:p>
            <w:pPr>
              <w:jc w:val="center"/>
              <w:spacing w:after="0" w:line="142" w:lineRule="exact"/>
              <w:rPr>
                <w:sz w:val="20"/>
                <w:szCs w:val="20"/>
                <w:color w:val="auto"/>
              </w:rPr>
            </w:pPr>
            <w:r>
              <w:rPr>
                <w:rFonts w:ascii="Arial" w:cs="Arial" w:eastAsia="Arial" w:hAnsi="Arial"/>
                <w:sz w:val="13"/>
                <w:szCs w:val="13"/>
                <w:color w:val="231F20"/>
              </w:rPr>
              <w:t>2017</w:t>
            </w:r>
          </w:p>
        </w:tc>
        <w:tc>
          <w:tcPr>
            <w:tcW w:w="800" w:type="dxa"/>
            <w:vAlign w:val="bottom"/>
            <w:tcBorders>
              <w:top w:val="single" w:sz="8" w:color="auto"/>
              <w:bottom w:val="single" w:sz="8" w:color="auto"/>
            </w:tcBorders>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1,092,700</w:t>
            </w:r>
          </w:p>
        </w:tc>
        <w:tc>
          <w:tcPr>
            <w:tcW w:w="840" w:type="dxa"/>
            <w:vAlign w:val="bottom"/>
            <w:tcBorders>
              <w:top w:val="single" w:sz="8" w:color="auto"/>
              <w:bottom w:val="single" w:sz="8" w:color="auto"/>
            </w:tcBorders>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w:t>
            </w:r>
          </w:p>
        </w:tc>
        <w:tc>
          <w:tcPr>
            <w:tcW w:w="78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21,967,210</w:t>
            </w:r>
          </w:p>
        </w:tc>
        <w:tc>
          <w:tcPr>
            <w:tcW w:w="1200" w:type="dxa"/>
            <w:vAlign w:val="bottom"/>
            <w:tcBorders>
              <w:top w:val="single" w:sz="8" w:color="auto"/>
              <w:bottom w:val="single" w:sz="8" w:color="auto"/>
            </w:tcBorders>
            <w:shd w:val="clear" w:color="auto" w:fill="EAEAEC"/>
          </w:tcPr>
          <w:p>
            <w:pPr>
              <w:jc w:val="right"/>
              <w:ind w:right="236"/>
              <w:spacing w:after="0" w:line="142" w:lineRule="exact"/>
              <w:rPr>
                <w:sz w:val="20"/>
                <w:szCs w:val="20"/>
                <w:color w:val="auto"/>
              </w:rPr>
            </w:pPr>
            <w:r>
              <w:rPr>
                <w:rFonts w:ascii="Arial" w:cs="Arial" w:eastAsia="Arial" w:hAnsi="Arial"/>
                <w:sz w:val="13"/>
                <w:szCs w:val="13"/>
                <w:color w:val="231F20"/>
              </w:rPr>
              <w:t>2,097,984</w:t>
            </w:r>
          </w:p>
        </w:tc>
        <w:tc>
          <w:tcPr>
            <w:tcW w:w="960" w:type="dxa"/>
            <w:vAlign w:val="bottom"/>
            <w:tcBorders>
              <w:top w:val="single" w:sz="8" w:color="auto"/>
              <w:bottom w:val="single" w:sz="8" w:color="auto"/>
            </w:tcBorders>
            <w:shd w:val="clear" w:color="auto" w:fill="EAEAEC"/>
          </w:tcPr>
          <w:p>
            <w:pPr>
              <w:jc w:val="right"/>
              <w:ind w:right="200"/>
              <w:spacing w:after="0" w:line="142" w:lineRule="exact"/>
              <w:rPr>
                <w:sz w:val="20"/>
                <w:szCs w:val="20"/>
                <w:color w:val="auto"/>
              </w:rPr>
            </w:pPr>
            <w:r>
              <w:rPr>
                <w:rFonts w:ascii="Arial" w:cs="Arial" w:eastAsia="Arial" w:hAnsi="Arial"/>
                <w:sz w:val="13"/>
                <w:szCs w:val="13"/>
                <w:color w:val="231F20"/>
              </w:rPr>
              <w:t>141,345</w:t>
            </w:r>
          </w:p>
        </w:tc>
        <w:tc>
          <w:tcPr>
            <w:tcW w:w="78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25,299,239</w:t>
            </w:r>
          </w:p>
        </w:tc>
        <w:tc>
          <w:tcPr>
            <w:tcW w:w="0" w:type="dxa"/>
            <w:vAlign w:val="bottom"/>
          </w:tcPr>
          <w:p>
            <w:pPr>
              <w:spacing w:after="0"/>
              <w:rPr>
                <w:sz w:val="1"/>
                <w:szCs w:val="1"/>
                <w:color w:val="auto"/>
              </w:rPr>
            </w:pPr>
          </w:p>
        </w:tc>
      </w:tr>
      <w:tr>
        <w:trPr>
          <w:trHeight w:val="147"/>
        </w:trPr>
        <w:tc>
          <w:tcPr>
            <w:tcW w:w="2220" w:type="dxa"/>
            <w:vAlign w:val="bottom"/>
            <w:tcBorders>
              <w:top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C04C57"/>
              </w:rPr>
              <w:t>Robert E. Landry</w:t>
            </w:r>
          </w:p>
        </w:tc>
        <w:tc>
          <w:tcPr>
            <w:tcW w:w="520" w:type="dxa"/>
            <w:vAlign w:val="bottom"/>
            <w:tcBorders>
              <w:top w:val="single" w:sz="8" w:color="auto"/>
            </w:tcBorders>
            <w:gridSpan w:val="2"/>
          </w:tcPr>
          <w:p>
            <w:pPr>
              <w:jc w:val="center"/>
              <w:ind w:left="75"/>
              <w:spacing w:after="0" w:line="148" w:lineRule="exact"/>
              <w:rPr>
                <w:sz w:val="20"/>
                <w:szCs w:val="20"/>
                <w:color w:val="auto"/>
              </w:rPr>
            </w:pPr>
            <w:r>
              <w:rPr>
                <w:rFonts w:ascii="Arial" w:cs="Arial" w:eastAsia="Arial" w:hAnsi="Arial"/>
                <w:sz w:val="13"/>
                <w:szCs w:val="13"/>
                <w:color w:val="231F20"/>
              </w:rPr>
              <w:t>2019</w:t>
            </w:r>
          </w:p>
        </w:tc>
        <w:tc>
          <w:tcPr>
            <w:tcW w:w="800" w:type="dxa"/>
            <w:vAlign w:val="bottom"/>
            <w:tcBorders>
              <w:top w:val="single" w:sz="8" w:color="auto"/>
            </w:tcBorders>
          </w:tcPr>
          <w:p>
            <w:pPr>
              <w:jc w:val="right"/>
              <w:ind w:right="16"/>
              <w:spacing w:after="0" w:line="148" w:lineRule="exact"/>
              <w:rPr>
                <w:sz w:val="20"/>
                <w:szCs w:val="20"/>
                <w:color w:val="auto"/>
              </w:rPr>
            </w:pPr>
            <w:r>
              <w:rPr>
                <w:rFonts w:ascii="Arial" w:cs="Arial" w:eastAsia="Arial" w:hAnsi="Arial"/>
                <w:sz w:val="13"/>
                <w:szCs w:val="13"/>
                <w:color w:val="231F20"/>
              </w:rPr>
              <w:t>730,000</w:t>
            </w:r>
          </w:p>
        </w:tc>
        <w:tc>
          <w:tcPr>
            <w:tcW w:w="840" w:type="dxa"/>
            <w:vAlign w:val="bottom"/>
            <w:tcBorders>
              <w:top w:val="single" w:sz="8" w:color="auto"/>
            </w:tcBorders>
          </w:tcPr>
          <w:p>
            <w:pPr>
              <w:jc w:val="right"/>
              <w:ind w:right="16"/>
              <w:spacing w:after="0" w:line="148" w:lineRule="exact"/>
              <w:rPr>
                <w:sz w:val="20"/>
                <w:szCs w:val="20"/>
                <w:color w:val="auto"/>
              </w:rPr>
            </w:pPr>
            <w:r>
              <w:rPr>
                <w:rFonts w:ascii="Arial" w:cs="Arial" w:eastAsia="Arial" w:hAnsi="Arial"/>
                <w:sz w:val="13"/>
                <w:szCs w:val="13"/>
                <w:color w:val="231F20"/>
              </w:rPr>
              <w:t>2,840,008</w:t>
            </w:r>
          </w:p>
        </w:tc>
        <w:tc>
          <w:tcPr>
            <w:tcW w:w="7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231F20"/>
              </w:rPr>
              <w:t>3,526,669</w:t>
            </w:r>
          </w:p>
        </w:tc>
        <w:tc>
          <w:tcPr>
            <w:tcW w:w="1200" w:type="dxa"/>
            <w:vAlign w:val="bottom"/>
            <w:tcBorders>
              <w:top w:val="single" w:sz="8" w:color="auto"/>
            </w:tcBorders>
          </w:tcPr>
          <w:p>
            <w:pPr>
              <w:jc w:val="right"/>
              <w:ind w:right="236"/>
              <w:spacing w:after="0" w:line="148" w:lineRule="exact"/>
              <w:rPr>
                <w:sz w:val="20"/>
                <w:szCs w:val="20"/>
                <w:color w:val="auto"/>
              </w:rPr>
            </w:pPr>
            <w:r>
              <w:rPr>
                <w:rFonts w:ascii="Arial" w:cs="Arial" w:eastAsia="Arial" w:hAnsi="Arial"/>
                <w:sz w:val="13"/>
                <w:szCs w:val="13"/>
                <w:color w:val="231F20"/>
              </w:rPr>
              <w:t>811,395</w:t>
            </w:r>
          </w:p>
        </w:tc>
        <w:tc>
          <w:tcPr>
            <w:tcW w:w="960" w:type="dxa"/>
            <w:vAlign w:val="bottom"/>
            <w:tcBorders>
              <w:top w:val="single" w:sz="8" w:color="auto"/>
            </w:tcBorders>
          </w:tcPr>
          <w:p>
            <w:pPr>
              <w:jc w:val="right"/>
              <w:ind w:right="140"/>
              <w:spacing w:after="0" w:line="147" w:lineRule="exact"/>
              <w:rPr>
                <w:sz w:val="20"/>
                <w:szCs w:val="20"/>
                <w:color w:val="auto"/>
              </w:rPr>
            </w:pPr>
            <w:r>
              <w:rPr>
                <w:rFonts w:ascii="Arial" w:cs="Arial" w:eastAsia="Arial" w:hAnsi="Arial"/>
                <w:sz w:val="11"/>
                <w:szCs w:val="11"/>
                <w:color w:val="231F20"/>
              </w:rPr>
              <w:t>23,470</w:t>
            </w:r>
            <w:r>
              <w:rPr>
                <w:rFonts w:ascii="Arial" w:cs="Arial" w:eastAsia="Arial" w:hAnsi="Arial"/>
                <w:sz w:val="17"/>
                <w:szCs w:val="17"/>
                <w:color w:val="231F20"/>
                <w:vertAlign w:val="superscript"/>
              </w:rPr>
              <w:t>6</w:t>
            </w:r>
          </w:p>
        </w:tc>
        <w:tc>
          <w:tcPr>
            <w:tcW w:w="7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231F20"/>
              </w:rPr>
              <w:t>7,931,542</w:t>
            </w:r>
          </w:p>
        </w:tc>
        <w:tc>
          <w:tcPr>
            <w:tcW w:w="0" w:type="dxa"/>
            <w:vAlign w:val="bottom"/>
          </w:tcPr>
          <w:p>
            <w:pPr>
              <w:spacing w:after="0"/>
              <w:rPr>
                <w:sz w:val="1"/>
                <w:szCs w:val="1"/>
                <w:color w:val="auto"/>
              </w:rPr>
            </w:pPr>
          </w:p>
        </w:tc>
      </w:tr>
      <w:tr>
        <w:trPr>
          <w:trHeight w:val="22"/>
        </w:trPr>
        <w:tc>
          <w:tcPr>
            <w:tcW w:w="2220" w:type="dxa"/>
            <w:vAlign w:val="bottom"/>
            <w:vMerge w:val="restart"/>
          </w:tcPr>
          <w:p>
            <w:pPr>
              <w:ind w:left="40"/>
              <w:spacing w:after="0"/>
              <w:rPr>
                <w:sz w:val="20"/>
                <w:szCs w:val="20"/>
                <w:color w:val="auto"/>
              </w:rPr>
            </w:pPr>
            <w:r>
              <w:rPr>
                <w:rFonts w:ascii="Arial" w:cs="Arial" w:eastAsia="Arial" w:hAnsi="Arial"/>
                <w:sz w:val="13"/>
                <w:szCs w:val="13"/>
                <w:b w:val="1"/>
                <w:bCs w:val="1"/>
                <w:color w:val="231F20"/>
              </w:rPr>
              <w:t>Executive Vice President,</w:t>
            </w: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220" w:type="dxa"/>
            <w:vAlign w:val="bottom"/>
            <w:vMerge w:val="continue"/>
          </w:tcPr>
          <w:p>
            <w:pPr>
              <w:spacing w:after="0"/>
              <w:rPr>
                <w:sz w:val="10"/>
                <w:szCs w:val="10"/>
                <w:color w:val="auto"/>
              </w:rPr>
            </w:pPr>
          </w:p>
        </w:tc>
        <w:tc>
          <w:tcPr>
            <w:tcW w:w="520" w:type="dxa"/>
            <w:vAlign w:val="bottom"/>
            <w:gridSpan w:val="2"/>
          </w:tcPr>
          <w:p>
            <w:pPr>
              <w:jc w:val="center"/>
              <w:ind w:left="75"/>
              <w:spacing w:after="0" w:line="115" w:lineRule="exact"/>
              <w:rPr>
                <w:sz w:val="20"/>
                <w:szCs w:val="20"/>
                <w:color w:val="auto"/>
              </w:rPr>
            </w:pPr>
            <w:r>
              <w:rPr>
                <w:rFonts w:ascii="Arial" w:cs="Arial" w:eastAsia="Arial" w:hAnsi="Arial"/>
                <w:sz w:val="13"/>
                <w:szCs w:val="13"/>
                <w:color w:val="231F20"/>
              </w:rPr>
              <w:t>2018</w:t>
            </w:r>
          </w:p>
        </w:tc>
        <w:tc>
          <w:tcPr>
            <w:tcW w:w="800" w:type="dxa"/>
            <w:vAlign w:val="bottom"/>
          </w:tcPr>
          <w:p>
            <w:pPr>
              <w:jc w:val="right"/>
              <w:ind w:right="16"/>
              <w:spacing w:after="0" w:line="115" w:lineRule="exact"/>
              <w:rPr>
                <w:sz w:val="20"/>
                <w:szCs w:val="20"/>
                <w:color w:val="auto"/>
              </w:rPr>
            </w:pPr>
            <w:r>
              <w:rPr>
                <w:rFonts w:ascii="Arial" w:cs="Arial" w:eastAsia="Arial" w:hAnsi="Arial"/>
                <w:sz w:val="13"/>
                <w:szCs w:val="13"/>
                <w:color w:val="231F20"/>
              </w:rPr>
              <w:t>680,000</w:t>
            </w:r>
          </w:p>
        </w:tc>
        <w:tc>
          <w:tcPr>
            <w:tcW w:w="840" w:type="dxa"/>
            <w:vAlign w:val="bottom"/>
          </w:tcPr>
          <w:p>
            <w:pPr>
              <w:jc w:val="right"/>
              <w:ind w:right="16"/>
              <w:spacing w:after="0" w:line="115" w:lineRule="exact"/>
              <w:rPr>
                <w:sz w:val="20"/>
                <w:szCs w:val="20"/>
                <w:color w:val="auto"/>
              </w:rPr>
            </w:pPr>
            <w:r>
              <w:rPr>
                <w:rFonts w:ascii="Arial" w:cs="Arial" w:eastAsia="Arial" w:hAnsi="Arial"/>
                <w:sz w:val="13"/>
                <w:szCs w:val="13"/>
                <w:color w:val="231F20"/>
              </w:rPr>
              <w:t>4,767,500</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231F20"/>
              </w:rPr>
              <w:t>3,308,184</w:t>
            </w:r>
          </w:p>
        </w:tc>
        <w:tc>
          <w:tcPr>
            <w:tcW w:w="1200" w:type="dxa"/>
            <w:vAlign w:val="bottom"/>
          </w:tcPr>
          <w:p>
            <w:pPr>
              <w:jc w:val="right"/>
              <w:ind w:right="236"/>
              <w:spacing w:after="0" w:line="115" w:lineRule="exact"/>
              <w:rPr>
                <w:sz w:val="20"/>
                <w:szCs w:val="20"/>
                <w:color w:val="auto"/>
              </w:rPr>
            </w:pPr>
            <w:r>
              <w:rPr>
                <w:rFonts w:ascii="Arial" w:cs="Arial" w:eastAsia="Arial" w:hAnsi="Arial"/>
                <w:sz w:val="13"/>
                <w:szCs w:val="13"/>
                <w:color w:val="231F20"/>
              </w:rPr>
              <w:t>581,400</w:t>
            </w:r>
          </w:p>
        </w:tc>
        <w:tc>
          <w:tcPr>
            <w:tcW w:w="960" w:type="dxa"/>
            <w:vAlign w:val="bottom"/>
          </w:tcPr>
          <w:p>
            <w:pPr>
              <w:jc w:val="right"/>
              <w:ind w:right="200"/>
              <w:spacing w:after="0" w:line="115" w:lineRule="exact"/>
              <w:rPr>
                <w:sz w:val="20"/>
                <w:szCs w:val="20"/>
                <w:color w:val="auto"/>
              </w:rPr>
            </w:pPr>
            <w:r>
              <w:rPr>
                <w:rFonts w:ascii="Arial" w:cs="Arial" w:eastAsia="Arial" w:hAnsi="Arial"/>
                <w:sz w:val="13"/>
                <w:szCs w:val="13"/>
                <w:color w:val="231F20"/>
              </w:rPr>
              <w:t>19,535</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231F20"/>
              </w:rPr>
              <w:t>9,356,619</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40"/>
              <w:spacing w:after="0"/>
              <w:rPr>
                <w:sz w:val="20"/>
                <w:szCs w:val="20"/>
                <w:color w:val="auto"/>
              </w:rPr>
            </w:pPr>
            <w:r>
              <w:rPr>
                <w:rFonts w:ascii="Arial" w:cs="Arial" w:eastAsia="Arial" w:hAnsi="Arial"/>
                <w:sz w:val="13"/>
                <w:szCs w:val="13"/>
                <w:b w:val="1"/>
                <w:bCs w:val="1"/>
                <w:color w:val="231F20"/>
                <w:w w:val="99"/>
              </w:rPr>
              <w:t>Finance and Chief Financial Officer</w:t>
            </w: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20" w:type="dxa"/>
            <w:vAlign w:val="bottom"/>
            <w:vMerge w:val="continue"/>
          </w:tcPr>
          <w:p>
            <w:pPr>
              <w:spacing w:after="0"/>
              <w:rPr>
                <w:sz w:val="10"/>
                <w:szCs w:val="10"/>
                <w:color w:val="auto"/>
              </w:rPr>
            </w:pPr>
          </w:p>
        </w:tc>
        <w:tc>
          <w:tcPr>
            <w:tcW w:w="520" w:type="dxa"/>
            <w:vAlign w:val="bottom"/>
            <w:gridSpan w:val="2"/>
            <w:vMerge w:val="restart"/>
          </w:tcPr>
          <w:p>
            <w:pPr>
              <w:jc w:val="center"/>
              <w:ind w:left="75"/>
              <w:spacing w:after="0" w:line="142" w:lineRule="exact"/>
              <w:rPr>
                <w:sz w:val="20"/>
                <w:szCs w:val="20"/>
                <w:color w:val="auto"/>
              </w:rPr>
            </w:pPr>
            <w:r>
              <w:rPr>
                <w:rFonts w:ascii="Arial" w:cs="Arial" w:eastAsia="Arial" w:hAnsi="Arial"/>
                <w:sz w:val="13"/>
                <w:szCs w:val="13"/>
                <w:color w:val="231F20"/>
              </w:rPr>
              <w:t>2017</w:t>
            </w:r>
          </w:p>
        </w:tc>
        <w:tc>
          <w:tcPr>
            <w:tcW w:w="800" w:type="dxa"/>
            <w:vAlign w:val="bottom"/>
            <w:vMerge w:val="restart"/>
          </w:tcPr>
          <w:p>
            <w:pPr>
              <w:jc w:val="right"/>
              <w:ind w:right="16"/>
              <w:spacing w:after="0" w:line="142" w:lineRule="exact"/>
              <w:rPr>
                <w:sz w:val="20"/>
                <w:szCs w:val="20"/>
                <w:color w:val="auto"/>
              </w:rPr>
            </w:pPr>
            <w:r>
              <w:rPr>
                <w:rFonts w:ascii="Arial" w:cs="Arial" w:eastAsia="Arial" w:hAnsi="Arial"/>
                <w:sz w:val="13"/>
                <w:szCs w:val="13"/>
                <w:color w:val="231F20"/>
              </w:rPr>
              <w:t>618,000</w:t>
            </w:r>
          </w:p>
        </w:tc>
        <w:tc>
          <w:tcPr>
            <w:tcW w:w="840" w:type="dxa"/>
            <w:vAlign w:val="bottom"/>
            <w:vMerge w:val="restart"/>
          </w:tcPr>
          <w:p>
            <w:pPr>
              <w:jc w:val="right"/>
              <w:ind w:right="16"/>
              <w:spacing w:after="0" w:line="142" w:lineRule="exact"/>
              <w:rPr>
                <w:sz w:val="20"/>
                <w:szCs w:val="20"/>
                <w:color w:val="auto"/>
              </w:rPr>
            </w:pPr>
            <w:r>
              <w:rPr>
                <w:rFonts w:ascii="Arial" w:cs="Arial" w:eastAsia="Arial" w:hAnsi="Arial"/>
                <w:sz w:val="13"/>
                <w:szCs w:val="13"/>
                <w:color w:val="231F20"/>
              </w:rPr>
              <w:t>—</w:t>
            </w:r>
          </w:p>
        </w:tc>
        <w:tc>
          <w:tcPr>
            <w:tcW w:w="78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3,675,566</w:t>
            </w:r>
          </w:p>
        </w:tc>
        <w:tc>
          <w:tcPr>
            <w:tcW w:w="1200" w:type="dxa"/>
            <w:vAlign w:val="bottom"/>
            <w:vMerge w:val="restart"/>
          </w:tcPr>
          <w:p>
            <w:pPr>
              <w:jc w:val="right"/>
              <w:ind w:right="236"/>
              <w:spacing w:after="0" w:line="142" w:lineRule="exact"/>
              <w:rPr>
                <w:sz w:val="20"/>
                <w:szCs w:val="20"/>
                <w:color w:val="auto"/>
              </w:rPr>
            </w:pPr>
            <w:r>
              <w:rPr>
                <w:rFonts w:ascii="Arial" w:cs="Arial" w:eastAsia="Arial" w:hAnsi="Arial"/>
                <w:sz w:val="13"/>
                <w:szCs w:val="13"/>
                <w:color w:val="231F20"/>
              </w:rPr>
              <w:t>482,040</w:t>
            </w:r>
          </w:p>
        </w:tc>
        <w:tc>
          <w:tcPr>
            <w:tcW w:w="960" w:type="dxa"/>
            <w:vAlign w:val="bottom"/>
            <w:vMerge w:val="restart"/>
          </w:tcPr>
          <w:p>
            <w:pPr>
              <w:jc w:val="right"/>
              <w:ind w:right="200"/>
              <w:spacing w:after="0" w:line="142" w:lineRule="exact"/>
              <w:rPr>
                <w:sz w:val="20"/>
                <w:szCs w:val="20"/>
                <w:color w:val="auto"/>
              </w:rPr>
            </w:pPr>
            <w:r>
              <w:rPr>
                <w:rFonts w:ascii="Arial" w:cs="Arial" w:eastAsia="Arial" w:hAnsi="Arial"/>
                <w:sz w:val="13"/>
                <w:szCs w:val="13"/>
                <w:color w:val="231F20"/>
              </w:rPr>
              <w:t>19,130</w:t>
            </w:r>
          </w:p>
        </w:tc>
        <w:tc>
          <w:tcPr>
            <w:tcW w:w="78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4,794,736</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vMerge w:val="continue"/>
          </w:tcPr>
          <w:p>
            <w:pPr>
              <w:spacing w:after="0"/>
              <w:rPr>
                <w:sz w:val="2"/>
                <w:szCs w:val="2"/>
                <w:color w:val="auto"/>
              </w:rPr>
            </w:pPr>
          </w:p>
        </w:tc>
        <w:tc>
          <w:tcPr>
            <w:tcW w:w="80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20" w:type="dxa"/>
            <w:vAlign w:val="bottom"/>
            <w:tcBorders>
              <w:bottom w:val="single" w:sz="8" w:color="EAEAEC"/>
            </w:tcBorders>
            <w:shd w:val="clear" w:color="auto" w:fill="EAEAEC"/>
          </w:tcPr>
          <w:p>
            <w:pPr>
              <w:ind w:left="40"/>
              <w:spacing w:after="0" w:line="129" w:lineRule="exact"/>
              <w:rPr>
                <w:sz w:val="20"/>
                <w:szCs w:val="20"/>
                <w:color w:val="auto"/>
              </w:rPr>
            </w:pPr>
            <w:r>
              <w:rPr>
                <w:rFonts w:ascii="Arial" w:cs="Arial" w:eastAsia="Arial" w:hAnsi="Arial"/>
                <w:sz w:val="13"/>
                <w:szCs w:val="13"/>
                <w:b w:val="1"/>
                <w:bCs w:val="1"/>
                <w:color w:val="C04C57"/>
              </w:rPr>
              <w:t>Daniel P. Van Plew</w:t>
            </w:r>
          </w:p>
        </w:tc>
        <w:tc>
          <w:tcPr>
            <w:tcW w:w="140" w:type="dxa"/>
            <w:vAlign w:val="bottom"/>
            <w:tcBorders>
              <w:bottom w:val="single" w:sz="8" w:color="EAEAEC"/>
            </w:tcBorders>
            <w:shd w:val="clear" w:color="auto" w:fill="EAEAEC"/>
          </w:tcPr>
          <w:p>
            <w:pPr>
              <w:spacing w:after="0"/>
              <w:rPr>
                <w:sz w:val="15"/>
                <w:szCs w:val="15"/>
                <w:color w:val="auto"/>
              </w:rPr>
            </w:pPr>
          </w:p>
        </w:tc>
        <w:tc>
          <w:tcPr>
            <w:tcW w:w="380" w:type="dxa"/>
            <w:vAlign w:val="bottom"/>
            <w:tcBorders>
              <w:bottom w:val="single" w:sz="8" w:color="EAEAEC"/>
            </w:tcBorders>
            <w:shd w:val="clear" w:color="auto" w:fill="EAEAEC"/>
          </w:tcPr>
          <w:p>
            <w:pPr>
              <w:jc w:val="center"/>
              <w:spacing w:after="0" w:line="129" w:lineRule="exact"/>
              <w:rPr>
                <w:sz w:val="20"/>
                <w:szCs w:val="20"/>
                <w:color w:val="auto"/>
              </w:rPr>
            </w:pPr>
            <w:r>
              <w:rPr>
                <w:rFonts w:ascii="Arial" w:cs="Arial" w:eastAsia="Arial" w:hAnsi="Arial"/>
                <w:sz w:val="13"/>
                <w:szCs w:val="13"/>
                <w:color w:val="231F20"/>
              </w:rPr>
              <w:t>2019</w:t>
            </w:r>
          </w:p>
        </w:tc>
        <w:tc>
          <w:tcPr>
            <w:tcW w:w="800" w:type="dxa"/>
            <w:vAlign w:val="bottom"/>
            <w:tcBorders>
              <w:bottom w:val="single" w:sz="8" w:color="EAEAEC"/>
            </w:tcBorders>
            <w:shd w:val="clear" w:color="auto" w:fill="EAEAEC"/>
          </w:tcPr>
          <w:p>
            <w:pPr>
              <w:jc w:val="right"/>
              <w:ind w:right="16"/>
              <w:spacing w:after="0" w:line="129" w:lineRule="exact"/>
              <w:rPr>
                <w:sz w:val="20"/>
                <w:szCs w:val="20"/>
                <w:color w:val="auto"/>
              </w:rPr>
            </w:pPr>
            <w:r>
              <w:rPr>
                <w:rFonts w:ascii="Arial" w:cs="Arial" w:eastAsia="Arial" w:hAnsi="Arial"/>
                <w:sz w:val="13"/>
                <w:szCs w:val="13"/>
                <w:color w:val="231F20"/>
              </w:rPr>
              <w:t>683,100</w:t>
            </w:r>
          </w:p>
        </w:tc>
        <w:tc>
          <w:tcPr>
            <w:tcW w:w="840" w:type="dxa"/>
            <w:vAlign w:val="bottom"/>
            <w:tcBorders>
              <w:bottom w:val="single" w:sz="8" w:color="EAEAEC"/>
            </w:tcBorders>
            <w:shd w:val="clear" w:color="auto" w:fill="EAEAEC"/>
          </w:tcPr>
          <w:p>
            <w:pPr>
              <w:jc w:val="right"/>
              <w:ind w:right="16"/>
              <w:spacing w:after="0" w:line="129" w:lineRule="exact"/>
              <w:rPr>
                <w:sz w:val="20"/>
                <w:szCs w:val="20"/>
                <w:color w:val="auto"/>
              </w:rPr>
            </w:pPr>
            <w:r>
              <w:rPr>
                <w:rFonts w:ascii="Arial" w:cs="Arial" w:eastAsia="Arial" w:hAnsi="Arial"/>
                <w:sz w:val="13"/>
                <w:szCs w:val="13"/>
                <w:color w:val="231F20"/>
              </w:rPr>
              <w:t>2,840,008</w:t>
            </w:r>
          </w:p>
        </w:tc>
        <w:tc>
          <w:tcPr>
            <w:tcW w:w="780" w:type="dxa"/>
            <w:vAlign w:val="bottom"/>
            <w:tcBorders>
              <w:bottom w:val="single" w:sz="8" w:color="EAEAEC"/>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3,526,669</w:t>
            </w:r>
          </w:p>
        </w:tc>
        <w:tc>
          <w:tcPr>
            <w:tcW w:w="1200" w:type="dxa"/>
            <w:vAlign w:val="bottom"/>
            <w:tcBorders>
              <w:bottom w:val="single" w:sz="8" w:color="EAEAEC"/>
            </w:tcBorders>
            <w:shd w:val="clear" w:color="auto" w:fill="EAEAEC"/>
          </w:tcPr>
          <w:p>
            <w:pPr>
              <w:jc w:val="right"/>
              <w:ind w:right="236"/>
              <w:spacing w:after="0" w:line="129" w:lineRule="exact"/>
              <w:rPr>
                <w:sz w:val="20"/>
                <w:szCs w:val="20"/>
                <w:color w:val="auto"/>
              </w:rPr>
            </w:pPr>
            <w:r>
              <w:rPr>
                <w:rFonts w:ascii="Arial" w:cs="Arial" w:eastAsia="Arial" w:hAnsi="Arial"/>
                <w:sz w:val="13"/>
                <w:szCs w:val="13"/>
                <w:color w:val="231F20"/>
              </w:rPr>
              <w:t>759,266</w:t>
            </w:r>
          </w:p>
        </w:tc>
        <w:tc>
          <w:tcPr>
            <w:tcW w:w="960" w:type="dxa"/>
            <w:vAlign w:val="bottom"/>
            <w:tcBorders>
              <w:bottom w:val="single" w:sz="8" w:color="EAEAEC"/>
            </w:tcBorders>
            <w:shd w:val="clear" w:color="auto" w:fill="EAEAEC"/>
          </w:tcPr>
          <w:p>
            <w:pPr>
              <w:jc w:val="right"/>
              <w:ind w:right="140"/>
              <w:spacing w:after="0" w:line="129" w:lineRule="exact"/>
              <w:rPr>
                <w:sz w:val="20"/>
                <w:szCs w:val="20"/>
                <w:color w:val="auto"/>
              </w:rPr>
            </w:pPr>
            <w:r>
              <w:rPr>
                <w:rFonts w:ascii="Arial" w:cs="Arial" w:eastAsia="Arial" w:hAnsi="Arial"/>
                <w:sz w:val="10"/>
                <w:szCs w:val="10"/>
                <w:color w:val="231F20"/>
              </w:rPr>
              <w:t>20,470</w:t>
            </w:r>
            <w:r>
              <w:rPr>
                <w:rFonts w:ascii="Arial" w:cs="Arial" w:eastAsia="Arial" w:hAnsi="Arial"/>
                <w:sz w:val="14"/>
                <w:szCs w:val="14"/>
                <w:color w:val="231F20"/>
                <w:vertAlign w:val="superscript"/>
              </w:rPr>
              <w:t>7</w:t>
            </w:r>
          </w:p>
        </w:tc>
        <w:tc>
          <w:tcPr>
            <w:tcW w:w="780" w:type="dxa"/>
            <w:vAlign w:val="bottom"/>
            <w:tcBorders>
              <w:bottom w:val="single" w:sz="8" w:color="EAEAEC"/>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7,829,513</w:t>
            </w:r>
          </w:p>
        </w:tc>
        <w:tc>
          <w:tcPr>
            <w:tcW w:w="0" w:type="dxa"/>
            <w:vAlign w:val="bottom"/>
          </w:tcPr>
          <w:p>
            <w:pPr>
              <w:spacing w:after="0"/>
              <w:rPr>
                <w:sz w:val="1"/>
                <w:szCs w:val="1"/>
                <w:color w:val="auto"/>
              </w:rPr>
            </w:pPr>
          </w:p>
        </w:tc>
      </w:tr>
      <w:tr>
        <w:trPr>
          <w:trHeight w:val="39"/>
        </w:trPr>
        <w:tc>
          <w:tcPr>
            <w:tcW w:w="2220" w:type="dxa"/>
            <w:vAlign w:val="bottom"/>
            <w:tcBorders>
              <w:top w:val="single" w:sz="8" w:color="EAEAEC"/>
            </w:tcBorders>
            <w:shd w:val="clear" w:color="auto" w:fill="EAEAEC"/>
          </w:tcPr>
          <w:p>
            <w:pPr>
              <w:ind w:left="40"/>
              <w:spacing w:after="0" w:line="39" w:lineRule="exact"/>
              <w:rPr>
                <w:sz w:val="20"/>
                <w:szCs w:val="20"/>
                <w:color w:val="auto"/>
              </w:rPr>
            </w:pPr>
            <w:r>
              <w:rPr>
                <w:rFonts w:ascii="Arial" w:cs="Arial" w:eastAsia="Arial" w:hAnsi="Arial"/>
                <w:sz w:val="4"/>
                <w:szCs w:val="4"/>
                <w:b w:val="1"/>
                <w:bCs w:val="1"/>
                <w:color w:val="231F20"/>
              </w:rPr>
              <w:t>Executive Vice President and</w:t>
            </w:r>
          </w:p>
        </w:tc>
        <w:tc>
          <w:tcPr>
            <w:tcW w:w="140" w:type="dxa"/>
            <w:vAlign w:val="bottom"/>
            <w:tcBorders>
              <w:top w:val="single" w:sz="8" w:color="EAEAEC"/>
            </w:tcBorders>
            <w:shd w:val="clear" w:color="auto" w:fill="EAEAEC"/>
          </w:tcPr>
          <w:p>
            <w:pPr>
              <w:spacing w:after="0"/>
              <w:rPr>
                <w:sz w:val="3"/>
                <w:szCs w:val="3"/>
                <w:color w:val="auto"/>
              </w:rPr>
            </w:pPr>
          </w:p>
        </w:tc>
        <w:tc>
          <w:tcPr>
            <w:tcW w:w="380" w:type="dxa"/>
            <w:vAlign w:val="bottom"/>
            <w:tcBorders>
              <w:top w:val="single" w:sz="8" w:color="auto"/>
            </w:tcBorders>
            <w:vMerge w:val="restart"/>
            <w:shd w:val="clear" w:color="auto" w:fill="EAEAEC"/>
          </w:tcPr>
          <w:p>
            <w:pPr>
              <w:jc w:val="center"/>
              <w:spacing w:after="0" w:line="142" w:lineRule="exact"/>
              <w:rPr>
                <w:sz w:val="20"/>
                <w:szCs w:val="20"/>
                <w:color w:val="auto"/>
              </w:rPr>
            </w:pPr>
            <w:r>
              <w:rPr>
                <w:rFonts w:ascii="Arial" w:cs="Arial" w:eastAsia="Arial" w:hAnsi="Arial"/>
                <w:sz w:val="13"/>
                <w:szCs w:val="13"/>
                <w:color w:val="231F20"/>
              </w:rPr>
              <w:t>2018</w:t>
            </w:r>
          </w:p>
        </w:tc>
        <w:tc>
          <w:tcPr>
            <w:tcW w:w="800" w:type="dxa"/>
            <w:vAlign w:val="bottom"/>
            <w:tcBorders>
              <w:top w:val="single" w:sz="8" w:color="auto"/>
            </w:tcBorders>
            <w:vMerge w:val="restart"/>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660,000</w:t>
            </w:r>
          </w:p>
        </w:tc>
        <w:tc>
          <w:tcPr>
            <w:tcW w:w="840" w:type="dxa"/>
            <w:vAlign w:val="bottom"/>
            <w:tcBorders>
              <w:top w:val="single" w:sz="8" w:color="auto"/>
            </w:tcBorders>
            <w:vMerge w:val="restart"/>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w:t>
            </w:r>
          </w:p>
        </w:tc>
        <w:tc>
          <w:tcPr>
            <w:tcW w:w="780" w:type="dxa"/>
            <w:vAlign w:val="bottom"/>
            <w:tcBorders>
              <w:top w:val="single" w:sz="8" w:color="auto"/>
            </w:tcBorders>
            <w:vMerge w:val="restart"/>
            <w:shd w:val="clear" w:color="auto" w:fill="EAEAEC"/>
          </w:tcPr>
          <w:p>
            <w:pPr>
              <w:jc w:val="right"/>
              <w:spacing w:after="0" w:line="142" w:lineRule="exact"/>
              <w:rPr>
                <w:sz w:val="20"/>
                <w:szCs w:val="20"/>
                <w:color w:val="auto"/>
              </w:rPr>
            </w:pPr>
            <w:r>
              <w:rPr>
                <w:rFonts w:ascii="Arial" w:cs="Arial" w:eastAsia="Arial" w:hAnsi="Arial"/>
                <w:sz w:val="13"/>
                <w:szCs w:val="13"/>
                <w:color w:val="231F20"/>
              </w:rPr>
              <w:t>7,650,147</w:t>
            </w:r>
          </w:p>
        </w:tc>
        <w:tc>
          <w:tcPr>
            <w:tcW w:w="1200" w:type="dxa"/>
            <w:vAlign w:val="bottom"/>
            <w:tcBorders>
              <w:top w:val="single" w:sz="8" w:color="auto"/>
            </w:tcBorders>
            <w:vMerge w:val="restart"/>
            <w:shd w:val="clear" w:color="auto" w:fill="EAEAEC"/>
          </w:tcPr>
          <w:p>
            <w:pPr>
              <w:jc w:val="right"/>
              <w:ind w:right="236"/>
              <w:spacing w:after="0" w:line="142" w:lineRule="exact"/>
              <w:rPr>
                <w:sz w:val="20"/>
                <w:szCs w:val="20"/>
                <w:color w:val="auto"/>
              </w:rPr>
            </w:pPr>
            <w:r>
              <w:rPr>
                <w:rFonts w:ascii="Arial" w:cs="Arial" w:eastAsia="Arial" w:hAnsi="Arial"/>
                <w:sz w:val="13"/>
                <w:szCs w:val="13"/>
                <w:color w:val="231F20"/>
              </w:rPr>
              <w:t>677,160</w:t>
            </w:r>
          </w:p>
        </w:tc>
        <w:tc>
          <w:tcPr>
            <w:tcW w:w="960" w:type="dxa"/>
            <w:vAlign w:val="bottom"/>
            <w:tcBorders>
              <w:top w:val="single" w:sz="8" w:color="auto"/>
            </w:tcBorders>
            <w:vMerge w:val="restart"/>
            <w:shd w:val="clear" w:color="auto" w:fill="EAEAEC"/>
          </w:tcPr>
          <w:p>
            <w:pPr>
              <w:jc w:val="right"/>
              <w:ind w:right="200"/>
              <w:spacing w:after="0" w:line="142" w:lineRule="exact"/>
              <w:rPr>
                <w:sz w:val="20"/>
                <w:szCs w:val="20"/>
                <w:color w:val="auto"/>
              </w:rPr>
            </w:pPr>
            <w:r>
              <w:rPr>
                <w:rFonts w:ascii="Arial" w:cs="Arial" w:eastAsia="Arial" w:hAnsi="Arial"/>
                <w:sz w:val="13"/>
                <w:szCs w:val="13"/>
                <w:color w:val="231F20"/>
              </w:rPr>
              <w:t>19,915</w:t>
            </w:r>
          </w:p>
        </w:tc>
        <w:tc>
          <w:tcPr>
            <w:tcW w:w="780" w:type="dxa"/>
            <w:vAlign w:val="bottom"/>
            <w:tcBorders>
              <w:top w:val="single" w:sz="8" w:color="auto"/>
            </w:tcBorders>
            <w:vMerge w:val="restart"/>
            <w:shd w:val="clear" w:color="auto" w:fill="EAEAEC"/>
          </w:tcPr>
          <w:p>
            <w:pPr>
              <w:jc w:val="right"/>
              <w:spacing w:after="0" w:line="142" w:lineRule="exact"/>
              <w:rPr>
                <w:sz w:val="20"/>
                <w:szCs w:val="20"/>
                <w:color w:val="auto"/>
              </w:rPr>
            </w:pPr>
            <w:r>
              <w:rPr>
                <w:rFonts w:ascii="Arial" w:cs="Arial" w:eastAsia="Arial" w:hAnsi="Arial"/>
                <w:sz w:val="13"/>
                <w:szCs w:val="13"/>
                <w:color w:val="231F20"/>
              </w:rPr>
              <w:t>9,007,222</w:t>
            </w:r>
          </w:p>
        </w:tc>
        <w:tc>
          <w:tcPr>
            <w:tcW w:w="0" w:type="dxa"/>
            <w:vAlign w:val="bottom"/>
          </w:tcPr>
          <w:p>
            <w:pPr>
              <w:spacing w:after="0" w:line="20" w:lineRule="exact"/>
              <w:rPr>
                <w:sz w:val="1"/>
                <w:szCs w:val="1"/>
                <w:color w:val="auto"/>
              </w:rPr>
            </w:pPr>
          </w:p>
        </w:tc>
      </w:tr>
      <w:tr>
        <w:trPr>
          <w:trHeight w:val="116"/>
        </w:trPr>
        <w:tc>
          <w:tcPr>
            <w:tcW w:w="2220" w:type="dxa"/>
            <w:vAlign w:val="bottom"/>
            <w:tcBorders>
              <w:bottom w:val="single" w:sz="8" w:color="EAEAEC"/>
            </w:tcBorders>
            <w:shd w:val="clear" w:color="auto" w:fill="EAEAEC"/>
          </w:tcPr>
          <w:p>
            <w:pPr>
              <w:ind w:left="40"/>
              <w:spacing w:after="0" w:line="110" w:lineRule="exact"/>
              <w:rPr>
                <w:sz w:val="20"/>
                <w:szCs w:val="20"/>
                <w:color w:val="auto"/>
              </w:rPr>
            </w:pPr>
            <w:r>
              <w:rPr>
                <w:rFonts w:ascii="Arial" w:cs="Arial" w:eastAsia="Arial" w:hAnsi="Arial"/>
                <w:sz w:val="12"/>
                <w:szCs w:val="12"/>
                <w:b w:val="1"/>
                <w:bCs w:val="1"/>
                <w:color w:val="231F20"/>
              </w:rPr>
              <w:t>General Manager, Industrial</w:t>
            </w:r>
          </w:p>
        </w:tc>
        <w:tc>
          <w:tcPr>
            <w:tcW w:w="140" w:type="dxa"/>
            <w:vAlign w:val="bottom"/>
            <w:tcBorders>
              <w:bottom w:val="single" w:sz="8" w:color="EAEAEC"/>
            </w:tcBorders>
            <w:shd w:val="clear" w:color="auto" w:fill="EAEAEC"/>
          </w:tcPr>
          <w:p>
            <w:pPr>
              <w:spacing w:after="0"/>
              <w:rPr>
                <w:sz w:val="10"/>
                <w:szCs w:val="10"/>
                <w:color w:val="auto"/>
              </w:rPr>
            </w:pPr>
          </w:p>
        </w:tc>
        <w:tc>
          <w:tcPr>
            <w:tcW w:w="380" w:type="dxa"/>
            <w:vAlign w:val="bottom"/>
            <w:tcBorders>
              <w:bottom w:val="single" w:sz="8" w:color="auto"/>
            </w:tcBorders>
            <w:vMerge w:val="continue"/>
            <w:shd w:val="clear" w:color="auto" w:fill="EAEAEC"/>
          </w:tcPr>
          <w:p>
            <w:pPr>
              <w:spacing w:after="0"/>
              <w:rPr>
                <w:sz w:val="10"/>
                <w:szCs w:val="10"/>
                <w:color w:val="auto"/>
              </w:rPr>
            </w:pPr>
          </w:p>
        </w:tc>
        <w:tc>
          <w:tcPr>
            <w:tcW w:w="800" w:type="dxa"/>
            <w:vAlign w:val="bottom"/>
            <w:tcBorders>
              <w:bottom w:val="single" w:sz="8" w:color="auto"/>
            </w:tcBorders>
            <w:vMerge w:val="continue"/>
            <w:shd w:val="clear" w:color="auto" w:fill="EAEAEC"/>
          </w:tcPr>
          <w:p>
            <w:pPr>
              <w:spacing w:after="0"/>
              <w:rPr>
                <w:sz w:val="10"/>
                <w:szCs w:val="10"/>
                <w:color w:val="auto"/>
              </w:rPr>
            </w:pPr>
          </w:p>
        </w:tc>
        <w:tc>
          <w:tcPr>
            <w:tcW w:w="840" w:type="dxa"/>
            <w:vAlign w:val="bottom"/>
            <w:tcBorders>
              <w:bottom w:val="single" w:sz="8" w:color="auto"/>
            </w:tcBorders>
            <w:vMerge w:val="continue"/>
            <w:shd w:val="clear" w:color="auto" w:fill="EAEAEC"/>
          </w:tcPr>
          <w:p>
            <w:pPr>
              <w:spacing w:after="0"/>
              <w:rPr>
                <w:sz w:val="10"/>
                <w:szCs w:val="10"/>
                <w:color w:val="auto"/>
              </w:rPr>
            </w:pPr>
          </w:p>
        </w:tc>
        <w:tc>
          <w:tcPr>
            <w:tcW w:w="780" w:type="dxa"/>
            <w:vAlign w:val="bottom"/>
            <w:tcBorders>
              <w:bottom w:val="single" w:sz="8" w:color="auto"/>
            </w:tcBorders>
            <w:vMerge w:val="continue"/>
            <w:shd w:val="clear" w:color="auto" w:fill="EAEAEC"/>
          </w:tcPr>
          <w:p>
            <w:pPr>
              <w:spacing w:after="0"/>
              <w:rPr>
                <w:sz w:val="10"/>
                <w:szCs w:val="10"/>
                <w:color w:val="auto"/>
              </w:rPr>
            </w:pPr>
          </w:p>
        </w:tc>
        <w:tc>
          <w:tcPr>
            <w:tcW w:w="1200" w:type="dxa"/>
            <w:vAlign w:val="bottom"/>
            <w:tcBorders>
              <w:bottom w:val="single" w:sz="8" w:color="auto"/>
            </w:tcBorders>
            <w:vMerge w:val="continue"/>
            <w:shd w:val="clear" w:color="auto" w:fill="EAEAEC"/>
          </w:tcPr>
          <w:p>
            <w:pPr>
              <w:spacing w:after="0"/>
              <w:rPr>
                <w:sz w:val="10"/>
                <w:szCs w:val="10"/>
                <w:color w:val="auto"/>
              </w:rPr>
            </w:pPr>
          </w:p>
        </w:tc>
        <w:tc>
          <w:tcPr>
            <w:tcW w:w="960" w:type="dxa"/>
            <w:vAlign w:val="bottom"/>
            <w:tcBorders>
              <w:bottom w:val="single" w:sz="8" w:color="auto"/>
            </w:tcBorders>
            <w:vMerge w:val="continue"/>
            <w:shd w:val="clear" w:color="auto" w:fill="EAEAEC"/>
          </w:tcPr>
          <w:p>
            <w:pPr>
              <w:spacing w:after="0"/>
              <w:rPr>
                <w:sz w:val="10"/>
                <w:szCs w:val="10"/>
                <w:color w:val="auto"/>
              </w:rPr>
            </w:pPr>
          </w:p>
        </w:tc>
        <w:tc>
          <w:tcPr>
            <w:tcW w:w="780" w:type="dxa"/>
            <w:vAlign w:val="bottom"/>
            <w:tcBorders>
              <w:bottom w:val="single" w:sz="8" w:color="auto"/>
            </w:tcBorders>
            <w:vMerge w:val="continue"/>
            <w:shd w:val="clear" w:color="auto" w:fill="EAEAE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220" w:type="dxa"/>
            <w:vAlign w:val="bottom"/>
            <w:tcBorders>
              <w:bottom w:val="single" w:sz="8" w:color="auto"/>
            </w:tcBorders>
            <w:shd w:val="clear" w:color="auto" w:fill="EAEAEC"/>
          </w:tcPr>
          <w:p>
            <w:pPr>
              <w:ind w:left="40"/>
              <w:spacing w:after="0"/>
              <w:rPr>
                <w:sz w:val="20"/>
                <w:szCs w:val="20"/>
                <w:color w:val="auto"/>
              </w:rPr>
            </w:pPr>
            <w:r>
              <w:rPr>
                <w:rFonts w:ascii="Arial" w:cs="Arial" w:eastAsia="Arial" w:hAnsi="Arial"/>
                <w:sz w:val="13"/>
                <w:szCs w:val="13"/>
                <w:b w:val="1"/>
                <w:bCs w:val="1"/>
                <w:color w:val="231F20"/>
              </w:rPr>
              <w:t>Operations and Product Supply</w:t>
            </w:r>
          </w:p>
        </w:tc>
        <w:tc>
          <w:tcPr>
            <w:tcW w:w="140" w:type="dxa"/>
            <w:vAlign w:val="bottom"/>
            <w:tcBorders>
              <w:bottom w:val="single" w:sz="8" w:color="auto"/>
            </w:tcBorders>
            <w:shd w:val="clear" w:color="auto" w:fill="EAEAEC"/>
          </w:tcPr>
          <w:p>
            <w:pPr>
              <w:spacing w:after="0"/>
              <w:rPr>
                <w:sz w:val="13"/>
                <w:szCs w:val="13"/>
                <w:color w:val="auto"/>
              </w:rPr>
            </w:pPr>
          </w:p>
        </w:tc>
        <w:tc>
          <w:tcPr>
            <w:tcW w:w="38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rPr>
              <w:t>2017</w:t>
            </w:r>
          </w:p>
        </w:tc>
        <w:tc>
          <w:tcPr>
            <w:tcW w:w="80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560,000</w:t>
            </w:r>
          </w:p>
        </w:tc>
        <w:tc>
          <w:tcPr>
            <w:tcW w:w="84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7,875,030</w:t>
            </w:r>
          </w:p>
        </w:tc>
        <w:tc>
          <w:tcPr>
            <w:tcW w:w="1200" w:type="dxa"/>
            <w:vAlign w:val="bottom"/>
            <w:tcBorders>
              <w:bottom w:val="single" w:sz="8" w:color="auto"/>
            </w:tcBorders>
            <w:shd w:val="clear" w:color="auto" w:fill="EAEAEC"/>
          </w:tcPr>
          <w:p>
            <w:pPr>
              <w:jc w:val="right"/>
              <w:ind w:right="236"/>
              <w:spacing w:after="0"/>
              <w:rPr>
                <w:sz w:val="20"/>
                <w:szCs w:val="20"/>
                <w:color w:val="auto"/>
              </w:rPr>
            </w:pPr>
            <w:r>
              <w:rPr>
                <w:rFonts w:ascii="Arial" w:cs="Arial" w:eastAsia="Arial" w:hAnsi="Arial"/>
                <w:sz w:val="13"/>
                <w:szCs w:val="13"/>
                <w:color w:val="231F20"/>
              </w:rPr>
              <w:t>524,160</w:t>
            </w:r>
          </w:p>
        </w:tc>
        <w:tc>
          <w:tcPr>
            <w:tcW w:w="960" w:type="dxa"/>
            <w:vAlign w:val="bottom"/>
            <w:tcBorders>
              <w:bottom w:val="single" w:sz="8" w:color="auto"/>
            </w:tcBorders>
            <w:shd w:val="clear" w:color="auto" w:fill="EAEAEC"/>
          </w:tcPr>
          <w:p>
            <w:pPr>
              <w:jc w:val="right"/>
              <w:ind w:right="200"/>
              <w:spacing w:after="0"/>
              <w:rPr>
                <w:sz w:val="20"/>
                <w:szCs w:val="20"/>
                <w:color w:val="auto"/>
              </w:rPr>
            </w:pPr>
            <w:r>
              <w:rPr>
                <w:rFonts w:ascii="Arial" w:cs="Arial" w:eastAsia="Arial" w:hAnsi="Arial"/>
                <w:sz w:val="13"/>
                <w:szCs w:val="13"/>
                <w:color w:val="231F20"/>
              </w:rPr>
              <w:t>19,410</w:t>
            </w:r>
          </w:p>
        </w:tc>
        <w:tc>
          <w:tcPr>
            <w:tcW w:w="7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8,978,600</w:t>
            </w:r>
          </w:p>
        </w:tc>
        <w:tc>
          <w:tcPr>
            <w:tcW w:w="0" w:type="dxa"/>
            <w:vAlign w:val="bottom"/>
          </w:tcPr>
          <w:p>
            <w:pPr>
              <w:spacing w:after="0"/>
              <w:rPr>
                <w:sz w:val="1"/>
                <w:szCs w:val="1"/>
                <w:color w:val="auto"/>
              </w:rPr>
            </w:pPr>
          </w:p>
        </w:tc>
      </w:tr>
      <w:tr>
        <w:trPr>
          <w:trHeight w:val="107"/>
        </w:trPr>
        <w:tc>
          <w:tcPr>
            <w:tcW w:w="2220" w:type="dxa"/>
            <w:vAlign w:val="bottom"/>
          </w:tcPr>
          <w:p>
            <w:pPr>
              <w:ind w:left="40"/>
              <w:spacing w:after="0" w:line="107" w:lineRule="exact"/>
              <w:rPr>
                <w:sz w:val="20"/>
                <w:szCs w:val="20"/>
                <w:color w:val="auto"/>
              </w:rPr>
            </w:pPr>
            <w:r>
              <w:rPr>
                <w:rFonts w:ascii="Arial" w:cs="Arial" w:eastAsia="Arial" w:hAnsi="Arial"/>
                <w:sz w:val="12"/>
                <w:szCs w:val="12"/>
                <w:b w:val="1"/>
                <w:bCs w:val="1"/>
                <w:color w:val="C04C57"/>
              </w:rPr>
              <w:t>Andrew J. Murphy, Ph.D.</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rPr>
                <w:sz w:val="20"/>
                <w:szCs w:val="20"/>
                <w:color w:val="auto"/>
              </w:rPr>
            </w:pPr>
            <w:r>
              <w:rPr>
                <w:rFonts w:ascii="Arial" w:cs="Arial" w:eastAsia="Arial" w:hAnsi="Arial"/>
                <w:sz w:val="13"/>
                <w:szCs w:val="13"/>
                <w:b w:val="1"/>
                <w:bCs w:val="1"/>
                <w:color w:val="231F20"/>
              </w:rPr>
              <w:t>Executive Vice President,</w:t>
            </w:r>
          </w:p>
        </w:tc>
        <w:tc>
          <w:tcPr>
            <w:tcW w:w="520" w:type="dxa"/>
            <w:vAlign w:val="bottom"/>
            <w:gridSpan w:val="2"/>
          </w:tcPr>
          <w:p>
            <w:pPr>
              <w:jc w:val="center"/>
              <w:ind w:left="75"/>
              <w:spacing w:after="0"/>
              <w:rPr>
                <w:sz w:val="20"/>
                <w:szCs w:val="20"/>
                <w:color w:val="auto"/>
              </w:rPr>
            </w:pPr>
            <w:r>
              <w:rPr>
                <w:rFonts w:ascii="Arial" w:cs="Arial" w:eastAsia="Arial" w:hAnsi="Arial"/>
                <w:sz w:val="13"/>
                <w:szCs w:val="13"/>
                <w:color w:val="231F20"/>
              </w:rPr>
              <w:t>2019</w:t>
            </w:r>
          </w:p>
        </w:tc>
        <w:tc>
          <w:tcPr>
            <w:tcW w:w="800" w:type="dxa"/>
            <w:vAlign w:val="bottom"/>
          </w:tcPr>
          <w:p>
            <w:pPr>
              <w:jc w:val="right"/>
              <w:ind w:right="16"/>
              <w:spacing w:after="0"/>
              <w:rPr>
                <w:sz w:val="20"/>
                <w:szCs w:val="20"/>
                <w:color w:val="auto"/>
              </w:rPr>
            </w:pPr>
            <w:r>
              <w:rPr>
                <w:rFonts w:ascii="Arial" w:cs="Arial" w:eastAsia="Arial" w:hAnsi="Arial"/>
                <w:sz w:val="13"/>
                <w:szCs w:val="13"/>
                <w:color w:val="231F20"/>
              </w:rPr>
              <w:t>600,000</w:t>
            </w:r>
          </w:p>
        </w:tc>
        <w:tc>
          <w:tcPr>
            <w:tcW w:w="840" w:type="dxa"/>
            <w:vAlign w:val="bottom"/>
          </w:tcPr>
          <w:p>
            <w:pPr>
              <w:jc w:val="right"/>
              <w:ind w:right="16"/>
              <w:spacing w:after="0"/>
              <w:rPr>
                <w:sz w:val="20"/>
                <w:szCs w:val="20"/>
                <w:color w:val="auto"/>
              </w:rPr>
            </w:pPr>
            <w:r>
              <w:rPr>
                <w:rFonts w:ascii="Arial" w:cs="Arial" w:eastAsia="Arial" w:hAnsi="Arial"/>
                <w:sz w:val="13"/>
                <w:szCs w:val="13"/>
                <w:color w:val="231F20"/>
              </w:rPr>
              <w:t>4,702,308</w:t>
            </w:r>
          </w:p>
        </w:tc>
        <w:tc>
          <w:tcPr>
            <w:tcW w:w="780" w:type="dxa"/>
            <w:vAlign w:val="bottom"/>
          </w:tcPr>
          <w:p>
            <w:pPr>
              <w:jc w:val="right"/>
              <w:spacing w:after="0"/>
              <w:rPr>
                <w:sz w:val="20"/>
                <w:szCs w:val="20"/>
                <w:color w:val="auto"/>
              </w:rPr>
            </w:pPr>
            <w:r>
              <w:rPr>
                <w:rFonts w:ascii="Arial" w:cs="Arial" w:eastAsia="Arial" w:hAnsi="Arial"/>
                <w:sz w:val="13"/>
                <w:szCs w:val="13"/>
                <w:color w:val="231F20"/>
              </w:rPr>
              <w:t>3,526,669</w:t>
            </w:r>
          </w:p>
        </w:tc>
        <w:tc>
          <w:tcPr>
            <w:tcW w:w="1200" w:type="dxa"/>
            <w:vAlign w:val="bottom"/>
          </w:tcPr>
          <w:p>
            <w:pPr>
              <w:jc w:val="right"/>
              <w:ind w:right="236"/>
              <w:spacing w:after="0"/>
              <w:rPr>
                <w:sz w:val="20"/>
                <w:szCs w:val="20"/>
                <w:color w:val="auto"/>
              </w:rPr>
            </w:pPr>
            <w:r>
              <w:rPr>
                <w:rFonts w:ascii="Arial" w:cs="Arial" w:eastAsia="Arial" w:hAnsi="Arial"/>
                <w:sz w:val="13"/>
                <w:szCs w:val="13"/>
                <w:color w:val="231F20"/>
              </w:rPr>
              <w:t>666,900</w:t>
            </w:r>
          </w:p>
        </w:tc>
        <w:tc>
          <w:tcPr>
            <w:tcW w:w="960" w:type="dxa"/>
            <w:vAlign w:val="bottom"/>
          </w:tcPr>
          <w:p>
            <w:pPr>
              <w:jc w:val="right"/>
              <w:ind w:right="140"/>
              <w:spacing w:after="0" w:line="157" w:lineRule="exact"/>
              <w:rPr>
                <w:sz w:val="20"/>
                <w:szCs w:val="20"/>
                <w:color w:val="auto"/>
              </w:rPr>
            </w:pPr>
            <w:r>
              <w:rPr>
                <w:rFonts w:ascii="Arial" w:cs="Arial" w:eastAsia="Arial" w:hAnsi="Arial"/>
                <w:sz w:val="12"/>
                <w:szCs w:val="12"/>
                <w:color w:val="231F20"/>
              </w:rPr>
              <w:t>23,470</w:t>
            </w:r>
            <w:r>
              <w:rPr>
                <w:rFonts w:ascii="Arial" w:cs="Arial" w:eastAsia="Arial" w:hAnsi="Arial"/>
                <w:sz w:val="18"/>
                <w:szCs w:val="18"/>
                <w:color w:val="231F20"/>
                <w:vertAlign w:val="superscript"/>
              </w:rPr>
              <w:t>9</w:t>
            </w:r>
          </w:p>
        </w:tc>
        <w:tc>
          <w:tcPr>
            <w:tcW w:w="780" w:type="dxa"/>
            <w:vAlign w:val="bottom"/>
          </w:tcPr>
          <w:p>
            <w:pPr>
              <w:jc w:val="right"/>
              <w:spacing w:after="0"/>
              <w:rPr>
                <w:sz w:val="20"/>
                <w:szCs w:val="20"/>
                <w:color w:val="auto"/>
              </w:rPr>
            </w:pPr>
            <w:r>
              <w:rPr>
                <w:rFonts w:ascii="Arial" w:cs="Arial" w:eastAsia="Arial" w:hAnsi="Arial"/>
                <w:sz w:val="13"/>
                <w:szCs w:val="13"/>
                <w:color w:val="231F20"/>
              </w:rPr>
              <w:t>9,519,347</w:t>
            </w:r>
          </w:p>
        </w:tc>
        <w:tc>
          <w:tcPr>
            <w:tcW w:w="0" w:type="dxa"/>
            <w:vAlign w:val="bottom"/>
          </w:tcPr>
          <w:p>
            <w:pPr>
              <w:spacing w:after="0"/>
              <w:rPr>
                <w:sz w:val="1"/>
                <w:szCs w:val="1"/>
                <w:color w:val="auto"/>
              </w:rPr>
            </w:pPr>
          </w:p>
        </w:tc>
      </w:tr>
      <w:tr>
        <w:trPr>
          <w:trHeight w:val="175"/>
        </w:trPr>
        <w:tc>
          <w:tcPr>
            <w:tcW w:w="2220" w:type="dxa"/>
            <w:vAlign w:val="bottom"/>
            <w:tcBorders>
              <w:bottom w:val="single" w:sz="8" w:color="2952A4"/>
            </w:tcBorders>
          </w:tcPr>
          <w:p>
            <w:pPr>
              <w:ind w:left="40"/>
              <w:spacing w:after="0" w:line="176" w:lineRule="exact"/>
              <w:rPr>
                <w:sz w:val="20"/>
                <w:szCs w:val="20"/>
                <w:color w:val="auto"/>
              </w:rPr>
            </w:pPr>
            <w:r>
              <w:rPr>
                <w:rFonts w:ascii="Arial" w:cs="Arial" w:eastAsia="Arial" w:hAnsi="Arial"/>
                <w:sz w:val="13"/>
                <w:szCs w:val="13"/>
                <w:b w:val="1"/>
                <w:bCs w:val="1"/>
                <w:color w:val="231F20"/>
              </w:rPr>
              <w:t>Research</w:t>
            </w:r>
            <w:r>
              <w:rPr>
                <w:rFonts w:ascii="Arial" w:cs="Arial" w:eastAsia="Arial" w:hAnsi="Arial"/>
                <w:sz w:val="20"/>
                <w:szCs w:val="20"/>
                <w:b w:val="1"/>
                <w:bCs w:val="1"/>
                <w:color w:val="231F20"/>
                <w:vertAlign w:val="superscript"/>
              </w:rPr>
              <w:t>8</w:t>
            </w:r>
          </w:p>
        </w:tc>
        <w:tc>
          <w:tcPr>
            <w:tcW w:w="140" w:type="dxa"/>
            <w:vAlign w:val="bottom"/>
            <w:tcBorders>
              <w:bottom w:val="single" w:sz="8" w:color="2952A4"/>
            </w:tcBorders>
          </w:tcPr>
          <w:p>
            <w:pPr>
              <w:spacing w:after="0"/>
              <w:rPr>
                <w:sz w:val="15"/>
                <w:szCs w:val="15"/>
                <w:color w:val="auto"/>
              </w:rPr>
            </w:pPr>
          </w:p>
        </w:tc>
        <w:tc>
          <w:tcPr>
            <w:tcW w:w="380" w:type="dxa"/>
            <w:vAlign w:val="bottom"/>
            <w:tcBorders>
              <w:bottom w:val="single" w:sz="8" w:color="2952A4"/>
            </w:tcBorders>
          </w:tcPr>
          <w:p>
            <w:pPr>
              <w:spacing w:after="0"/>
              <w:rPr>
                <w:sz w:val="15"/>
                <w:szCs w:val="15"/>
                <w:color w:val="auto"/>
              </w:rPr>
            </w:pPr>
          </w:p>
        </w:tc>
        <w:tc>
          <w:tcPr>
            <w:tcW w:w="800" w:type="dxa"/>
            <w:vAlign w:val="bottom"/>
            <w:tcBorders>
              <w:bottom w:val="single" w:sz="8" w:color="2952A4"/>
            </w:tcBorders>
          </w:tcPr>
          <w:p>
            <w:pPr>
              <w:spacing w:after="0"/>
              <w:rPr>
                <w:sz w:val="15"/>
                <w:szCs w:val="15"/>
                <w:color w:val="auto"/>
              </w:rPr>
            </w:pPr>
          </w:p>
        </w:tc>
        <w:tc>
          <w:tcPr>
            <w:tcW w:w="840" w:type="dxa"/>
            <w:vAlign w:val="bottom"/>
            <w:tcBorders>
              <w:bottom w:val="single" w:sz="8" w:color="2952A4"/>
            </w:tcBorders>
          </w:tcPr>
          <w:p>
            <w:pPr>
              <w:spacing w:after="0"/>
              <w:rPr>
                <w:sz w:val="15"/>
                <w:szCs w:val="15"/>
                <w:color w:val="auto"/>
              </w:rPr>
            </w:pPr>
          </w:p>
        </w:tc>
        <w:tc>
          <w:tcPr>
            <w:tcW w:w="780" w:type="dxa"/>
            <w:vAlign w:val="bottom"/>
            <w:tcBorders>
              <w:bottom w:val="single" w:sz="8" w:color="2952A4"/>
            </w:tcBorders>
          </w:tcPr>
          <w:p>
            <w:pPr>
              <w:spacing w:after="0"/>
              <w:rPr>
                <w:sz w:val="15"/>
                <w:szCs w:val="15"/>
                <w:color w:val="auto"/>
              </w:rPr>
            </w:pPr>
          </w:p>
        </w:tc>
        <w:tc>
          <w:tcPr>
            <w:tcW w:w="1200" w:type="dxa"/>
            <w:vAlign w:val="bottom"/>
            <w:tcBorders>
              <w:bottom w:val="single" w:sz="8" w:color="2952A4"/>
            </w:tcBorders>
          </w:tcPr>
          <w:p>
            <w:pPr>
              <w:spacing w:after="0"/>
              <w:rPr>
                <w:sz w:val="15"/>
                <w:szCs w:val="15"/>
                <w:color w:val="auto"/>
              </w:rPr>
            </w:pPr>
          </w:p>
        </w:tc>
        <w:tc>
          <w:tcPr>
            <w:tcW w:w="960" w:type="dxa"/>
            <w:vAlign w:val="bottom"/>
            <w:tcBorders>
              <w:bottom w:val="single" w:sz="8" w:color="2952A4"/>
            </w:tcBorders>
          </w:tcPr>
          <w:p>
            <w:pPr>
              <w:spacing w:after="0"/>
              <w:rPr>
                <w:sz w:val="15"/>
                <w:szCs w:val="15"/>
                <w:color w:val="auto"/>
              </w:rPr>
            </w:pPr>
          </w:p>
        </w:tc>
        <w:tc>
          <w:tcPr>
            <w:tcW w:w="780" w:type="dxa"/>
            <w:vAlign w:val="bottom"/>
            <w:tcBorders>
              <w:bottom w:val="single" w:sz="8" w:color="2952A4"/>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9019"/>
          </w:cols>
          <w:pgMar w:left="1440" w:top="1378" w:right="1440" w:bottom="1440" w:gutter="0" w:footer="0" w:header="0"/>
        </w:sectPr>
      </w:pPr>
    </w:p>
    <w:p>
      <w:pPr>
        <w:ind w:left="620" w:right="40" w:hanging="166"/>
        <w:spacing w:after="0" w:line="241" w:lineRule="auto"/>
        <w:tabs>
          <w:tab w:leader="none" w:pos="620" w:val="left"/>
        </w:tabs>
        <w:numPr>
          <w:ilvl w:val="0"/>
          <w:numId w:val="164"/>
        </w:numPr>
        <w:rPr>
          <w:rFonts w:ascii="Arial" w:cs="Arial" w:eastAsia="Arial" w:hAnsi="Arial"/>
          <w:sz w:val="14"/>
          <w:szCs w:val="14"/>
          <w:b w:val="1"/>
          <w:bCs w:val="1"/>
          <w:color w:val="2952A4"/>
        </w:rPr>
      </w:pPr>
      <w:r>
        <w:rPr>
          <w:rFonts w:ascii="Arial" w:cs="Arial" w:eastAsia="Arial" w:hAnsi="Arial"/>
          <w:sz w:val="14"/>
          <w:szCs w:val="14"/>
          <w:color w:val="231F20"/>
        </w:rPr>
        <w:t>The amounts in columns (e) and (f) reflect the respective aggregate grant date fair values (disregarding estimated forfeitures) of PSUs or RSAs (as applicable) and stock option awards granted in 2019, 2018, and 2017, respectively, pursuant to the Amended and Restated Regeneron Pharmaceuticals, Inc. 2014 Long-Term Incentive Plan. Valuation assumptions and methodologies used in the calculation of these amounts are included in Note 13 to the Company’s audited financial statements for the fiscal year ended December 31, 2019 included in the 2019</w:t>
      </w:r>
    </w:p>
    <w:p>
      <w:pPr>
        <w:spacing w:after="0" w:line="4" w:lineRule="exact"/>
        <w:rPr>
          <w:sz w:val="20"/>
          <w:szCs w:val="20"/>
          <w:color w:val="auto"/>
        </w:rPr>
      </w:pPr>
    </w:p>
    <w:p>
      <w:pPr>
        <w:ind w:left="620"/>
        <w:spacing w:after="0"/>
        <w:rPr>
          <w:sz w:val="20"/>
          <w:szCs w:val="20"/>
          <w:color w:val="auto"/>
        </w:rPr>
      </w:pPr>
      <w:r>
        <w:rPr>
          <w:rFonts w:ascii="Arial" w:cs="Arial" w:eastAsia="Arial" w:hAnsi="Arial"/>
          <w:sz w:val="14"/>
          <w:szCs w:val="14"/>
          <w:color w:val="231F20"/>
        </w:rPr>
        <w:t>Annual Report.</w:t>
      </w:r>
    </w:p>
    <w:p>
      <w:pPr>
        <w:spacing w:after="0" w:line="1" w:lineRule="exact"/>
        <w:rPr>
          <w:sz w:val="20"/>
          <w:szCs w:val="20"/>
          <w:color w:val="auto"/>
        </w:rPr>
      </w:pPr>
    </w:p>
    <w:p>
      <w:pPr>
        <w:ind w:left="620" w:right="140" w:hanging="166"/>
        <w:spacing w:after="0" w:line="241" w:lineRule="auto"/>
        <w:tabs>
          <w:tab w:leader="none" w:pos="620" w:val="left"/>
        </w:tabs>
        <w:numPr>
          <w:ilvl w:val="0"/>
          <w:numId w:val="165"/>
        </w:numPr>
        <w:rPr>
          <w:rFonts w:ascii="Arial" w:cs="Arial" w:eastAsia="Arial" w:hAnsi="Arial"/>
          <w:sz w:val="14"/>
          <w:szCs w:val="14"/>
          <w:b w:val="1"/>
          <w:bCs w:val="1"/>
          <w:color w:val="2952A4"/>
        </w:rPr>
      </w:pPr>
      <w:r>
        <w:rPr>
          <w:rFonts w:ascii="Arial" w:cs="Arial" w:eastAsia="Arial" w:hAnsi="Arial"/>
          <w:sz w:val="14"/>
          <w:szCs w:val="14"/>
          <w:color w:val="231F20"/>
        </w:rPr>
        <w:t>Non-equity incentive plan compensation amounts (consisting of cash incentives paid to the NEOs in respect of the relevant year under the Regeneron Pharmaceuticals, Inc. Cash Incentive Bonus Plan) are</w:t>
      </w:r>
    </w:p>
    <w:p>
      <w:pPr>
        <w:spacing w:after="0" w:line="1" w:lineRule="exact"/>
        <w:rPr>
          <w:sz w:val="20"/>
          <w:szCs w:val="20"/>
          <w:color w:val="auto"/>
        </w:rPr>
      </w:pPr>
    </w:p>
    <w:p>
      <w:pPr>
        <w:ind w:left="620" w:right="380"/>
        <w:spacing w:after="0" w:line="241" w:lineRule="auto"/>
        <w:rPr>
          <w:sz w:val="20"/>
          <w:szCs w:val="20"/>
          <w:color w:val="auto"/>
        </w:rPr>
      </w:pPr>
      <w:r>
        <w:rPr>
          <w:rFonts w:ascii="Arial" w:cs="Arial" w:eastAsia="Arial" w:hAnsi="Arial"/>
          <w:sz w:val="14"/>
          <w:szCs w:val="14"/>
          <w:color w:val="231F20"/>
        </w:rPr>
        <w:t>shown in the year in which they were accrued and earned.</w:t>
      </w:r>
    </w:p>
    <w:p>
      <w:pPr>
        <w:spacing w:after="0" w:line="1" w:lineRule="exact"/>
        <w:rPr>
          <w:sz w:val="20"/>
          <w:szCs w:val="20"/>
          <w:color w:val="auto"/>
        </w:rPr>
      </w:pPr>
    </w:p>
    <w:p>
      <w:pPr>
        <w:ind w:left="620" w:right="60" w:hanging="166"/>
        <w:spacing w:after="0" w:line="241" w:lineRule="auto"/>
        <w:tabs>
          <w:tab w:leader="none" w:pos="620" w:val="left"/>
        </w:tabs>
        <w:numPr>
          <w:ilvl w:val="0"/>
          <w:numId w:val="166"/>
        </w:numPr>
        <w:rPr>
          <w:rFonts w:ascii="Arial" w:cs="Arial" w:eastAsia="Arial" w:hAnsi="Arial"/>
          <w:sz w:val="14"/>
          <w:szCs w:val="14"/>
          <w:b w:val="1"/>
          <w:bCs w:val="1"/>
          <w:color w:val="2952A4"/>
        </w:rPr>
      </w:pPr>
      <w:r>
        <w:rPr>
          <w:rFonts w:ascii="Arial" w:cs="Arial" w:eastAsia="Arial" w:hAnsi="Arial"/>
          <w:sz w:val="14"/>
          <w:szCs w:val="14"/>
          <w:color w:val="231F20"/>
        </w:rPr>
        <w:t>See the subsection “Additional Compensation Information – Perquisites and Personal Benefits” below for further information. Certain 2019 perquisites and other personal benefits are quantified for each of the NEOs in the footnotes to this table below based on the</w:t>
      </w:r>
    </w:p>
    <w:p>
      <w:pPr>
        <w:spacing w:after="0" w:line="2" w:lineRule="exact"/>
        <w:rPr>
          <w:sz w:val="20"/>
          <w:szCs w:val="20"/>
          <w:color w:val="auto"/>
        </w:rPr>
      </w:pPr>
    </w:p>
    <w:p>
      <w:pPr>
        <w:ind w:left="620" w:right="260"/>
        <w:spacing w:after="0" w:line="241" w:lineRule="auto"/>
        <w:rPr>
          <w:sz w:val="20"/>
          <w:szCs w:val="20"/>
          <w:color w:val="auto"/>
        </w:rPr>
      </w:pPr>
      <w:r>
        <w:rPr>
          <w:rFonts w:ascii="Arial" w:cs="Arial" w:eastAsia="Arial" w:hAnsi="Arial"/>
          <w:sz w:val="14"/>
          <w:szCs w:val="14"/>
          <w:color w:val="231F20"/>
        </w:rPr>
        <w:t>actual additional cost incurred by us in providing the perquisite or other personal benefit.</w:t>
      </w:r>
    </w:p>
    <w:p>
      <w:pPr>
        <w:spacing w:after="0" w:line="1" w:lineRule="exact"/>
        <w:rPr>
          <w:sz w:val="20"/>
          <w:szCs w:val="20"/>
          <w:color w:val="auto"/>
        </w:rPr>
      </w:pPr>
    </w:p>
    <w:p>
      <w:pPr>
        <w:ind w:left="620" w:hanging="166"/>
        <w:spacing w:after="0" w:line="242" w:lineRule="auto"/>
        <w:tabs>
          <w:tab w:leader="none" w:pos="620" w:val="left"/>
        </w:tabs>
        <w:numPr>
          <w:ilvl w:val="0"/>
          <w:numId w:val="167"/>
        </w:numPr>
        <w:rPr>
          <w:rFonts w:ascii="Arial" w:cs="Arial" w:eastAsia="Arial" w:hAnsi="Arial"/>
          <w:sz w:val="14"/>
          <w:szCs w:val="14"/>
          <w:b w:val="1"/>
          <w:bCs w:val="1"/>
          <w:color w:val="2952A4"/>
        </w:rPr>
      </w:pPr>
      <w:r>
        <w:rPr>
          <w:rFonts w:ascii="Arial" w:cs="Arial" w:eastAsia="Arial" w:hAnsi="Arial"/>
          <w:sz w:val="14"/>
          <w:szCs w:val="14"/>
          <w:color w:val="231F20"/>
        </w:rPr>
        <w:t>Consists of (i) $20,724 for life insurance premiums, (ii) $44,671 for long-term disability insurance premiums, (iii) $28,857 for medical malpractice insurance premiums, (iv) $12,500 for 401(k) Savings Plan matching contributions in respect of 2019, (v) $10,970 for tax and financial planning advisory services, and (vi) $200,574 and $19,748 for personal use of Company-provided aircraft and secure car transportation/on-site residential security at Dr. Schleifer’s primary residence, respectively, in each case in accordance with our security policy (calculated as described in the subsection “Additional Compensation Information – Perquisites and Personal Benefits” below).</w:t>
      </w:r>
    </w:p>
    <w:p>
      <w:pPr>
        <w:spacing w:after="0" w:line="20" w:lineRule="exact"/>
        <w:rPr>
          <w:sz w:val="20"/>
          <w:szCs w:val="20"/>
          <w:color w:val="auto"/>
        </w:rPr>
      </w:pPr>
      <w:r>
        <w:rPr>
          <w:sz w:val="20"/>
          <w:szCs w:val="20"/>
          <w:color w:val="auto"/>
        </w:rPr>
        <w:br w:type="column"/>
      </w:r>
    </w:p>
    <w:p>
      <w:pPr>
        <w:ind w:left="176" w:right="559" w:hanging="176"/>
        <w:spacing w:after="0" w:line="241" w:lineRule="auto"/>
        <w:tabs>
          <w:tab w:leader="none" w:pos="176" w:val="left"/>
        </w:tabs>
        <w:numPr>
          <w:ilvl w:val="0"/>
          <w:numId w:val="168"/>
        </w:numPr>
        <w:rPr>
          <w:rFonts w:ascii="Arial" w:cs="Arial" w:eastAsia="Arial" w:hAnsi="Arial"/>
          <w:sz w:val="14"/>
          <w:szCs w:val="14"/>
          <w:b w:val="1"/>
          <w:bCs w:val="1"/>
          <w:color w:val="2952A4"/>
        </w:rPr>
      </w:pPr>
      <w:r>
        <w:rPr>
          <w:rFonts w:ascii="Arial" w:cs="Arial" w:eastAsia="Arial" w:hAnsi="Arial"/>
          <w:sz w:val="14"/>
          <w:szCs w:val="14"/>
          <w:color w:val="231F20"/>
        </w:rPr>
        <w:t>Consists of (i) $12,500 for 401(k) Savings Plan matching contributions in respect of 2019, (ii) $10,970 for tax and financial planning advisory services, and (iii) $184,546 and $4,297 for personal use of Company-provided aircraft and secure car transportation/on-site residential security at Dr. Yancopoulos’s primary residence, respectively, in each case in accordance with our</w:t>
      </w:r>
    </w:p>
    <w:p>
      <w:pPr>
        <w:spacing w:after="0" w:line="2" w:lineRule="exact"/>
        <w:rPr>
          <w:sz w:val="20"/>
          <w:szCs w:val="20"/>
          <w:color w:val="auto"/>
        </w:rPr>
      </w:pPr>
    </w:p>
    <w:p>
      <w:pPr>
        <w:ind w:left="176" w:right="899"/>
        <w:spacing w:after="0" w:line="241" w:lineRule="auto"/>
        <w:rPr>
          <w:sz w:val="20"/>
          <w:szCs w:val="20"/>
          <w:color w:val="auto"/>
        </w:rPr>
      </w:pPr>
      <w:r>
        <w:rPr>
          <w:rFonts w:ascii="Arial" w:cs="Arial" w:eastAsia="Arial" w:hAnsi="Arial"/>
          <w:sz w:val="14"/>
          <w:szCs w:val="14"/>
          <w:color w:val="231F20"/>
        </w:rPr>
        <w:t>security policy (calculated as described in the subsection “Additional Compensation Information – Perquisites and Personal Benefits” below).</w:t>
      </w:r>
    </w:p>
    <w:p>
      <w:pPr>
        <w:spacing w:after="0" w:line="1" w:lineRule="exact"/>
        <w:rPr>
          <w:sz w:val="20"/>
          <w:szCs w:val="20"/>
          <w:color w:val="auto"/>
        </w:rPr>
      </w:pPr>
    </w:p>
    <w:p>
      <w:pPr>
        <w:ind w:left="176" w:hanging="176"/>
        <w:spacing w:after="0"/>
        <w:tabs>
          <w:tab w:leader="none" w:pos="176" w:val="left"/>
        </w:tabs>
        <w:numPr>
          <w:ilvl w:val="0"/>
          <w:numId w:val="169"/>
        </w:numPr>
        <w:rPr>
          <w:rFonts w:ascii="Arial" w:cs="Arial" w:eastAsia="Arial" w:hAnsi="Arial"/>
          <w:sz w:val="14"/>
          <w:szCs w:val="14"/>
          <w:b w:val="1"/>
          <w:bCs w:val="1"/>
          <w:color w:val="2952A4"/>
        </w:rPr>
      </w:pPr>
      <w:r>
        <w:rPr>
          <w:rFonts w:ascii="Arial" w:cs="Arial" w:eastAsia="Arial" w:hAnsi="Arial"/>
          <w:sz w:val="14"/>
          <w:szCs w:val="14"/>
          <w:color w:val="231F20"/>
        </w:rPr>
        <w:t>Consists of (i) $12,500 for 401(k) Savings Plan matching</w:t>
      </w:r>
    </w:p>
    <w:p>
      <w:pPr>
        <w:spacing w:after="0" w:line="1" w:lineRule="exact"/>
        <w:rPr>
          <w:sz w:val="20"/>
          <w:szCs w:val="20"/>
          <w:color w:val="auto"/>
        </w:rPr>
      </w:pPr>
    </w:p>
    <w:p>
      <w:pPr>
        <w:ind w:left="176" w:right="679"/>
        <w:spacing w:after="0" w:line="241" w:lineRule="auto"/>
        <w:rPr>
          <w:sz w:val="20"/>
          <w:szCs w:val="20"/>
          <w:color w:val="auto"/>
        </w:rPr>
      </w:pPr>
      <w:r>
        <w:rPr>
          <w:rFonts w:ascii="Arial" w:cs="Arial" w:eastAsia="Arial" w:hAnsi="Arial"/>
          <w:sz w:val="14"/>
          <w:szCs w:val="14"/>
          <w:color w:val="231F20"/>
        </w:rPr>
        <w:t>contributions in respect of 2019 and (ii) $10,970 for tax and financial planning advisory services.</w:t>
      </w:r>
    </w:p>
    <w:p>
      <w:pPr>
        <w:spacing w:after="0" w:line="1" w:lineRule="exact"/>
        <w:rPr>
          <w:sz w:val="20"/>
          <w:szCs w:val="20"/>
          <w:color w:val="auto"/>
        </w:rPr>
      </w:pPr>
    </w:p>
    <w:p>
      <w:pPr>
        <w:jc w:val="both"/>
        <w:ind w:left="176" w:right="639" w:hanging="176"/>
        <w:spacing w:after="0" w:line="241" w:lineRule="auto"/>
        <w:tabs>
          <w:tab w:leader="none" w:pos="176" w:val="left"/>
        </w:tabs>
        <w:numPr>
          <w:ilvl w:val="0"/>
          <w:numId w:val="170"/>
        </w:numPr>
        <w:rPr>
          <w:rFonts w:ascii="Arial" w:cs="Arial" w:eastAsia="Arial" w:hAnsi="Arial"/>
          <w:sz w:val="14"/>
          <w:szCs w:val="14"/>
          <w:b w:val="1"/>
          <w:bCs w:val="1"/>
          <w:color w:val="2952A4"/>
        </w:rPr>
      </w:pPr>
      <w:r>
        <w:rPr>
          <w:rFonts w:ascii="Arial" w:cs="Arial" w:eastAsia="Arial" w:hAnsi="Arial"/>
          <w:sz w:val="14"/>
          <w:szCs w:val="14"/>
          <w:color w:val="231F20"/>
        </w:rPr>
        <w:t>Consists of (i) $9,500 for 401(k) Savings Plan matching contributions in respect of 2019 and (ii) $10,970 for tax and financial planning advisory services.</w:t>
      </w:r>
    </w:p>
    <w:p>
      <w:pPr>
        <w:spacing w:after="0" w:line="1" w:lineRule="exact"/>
        <w:rPr>
          <w:sz w:val="20"/>
          <w:szCs w:val="20"/>
          <w:color w:val="auto"/>
        </w:rPr>
      </w:pPr>
    </w:p>
    <w:p>
      <w:pPr>
        <w:ind w:left="176" w:right="879" w:hanging="176"/>
        <w:spacing w:after="0" w:line="241" w:lineRule="auto"/>
        <w:tabs>
          <w:tab w:leader="none" w:pos="176" w:val="left"/>
        </w:tabs>
        <w:numPr>
          <w:ilvl w:val="0"/>
          <w:numId w:val="171"/>
        </w:numPr>
        <w:rPr>
          <w:rFonts w:ascii="Arial" w:cs="Arial" w:eastAsia="Arial" w:hAnsi="Arial"/>
          <w:sz w:val="14"/>
          <w:szCs w:val="14"/>
          <w:b w:val="1"/>
          <w:bCs w:val="1"/>
          <w:color w:val="2952A4"/>
        </w:rPr>
      </w:pPr>
      <w:r>
        <w:rPr>
          <w:rFonts w:ascii="Arial" w:cs="Arial" w:eastAsia="Arial" w:hAnsi="Arial"/>
          <w:sz w:val="14"/>
          <w:szCs w:val="14"/>
          <w:color w:val="231F20"/>
        </w:rPr>
        <w:t>Dr. Murphy qualified as an NEO for 2019 but not for 2018 or 2017.</w:t>
      </w:r>
    </w:p>
    <w:p>
      <w:pPr>
        <w:spacing w:after="0" w:line="1" w:lineRule="exact"/>
        <w:rPr>
          <w:sz w:val="20"/>
          <w:szCs w:val="20"/>
          <w:color w:val="auto"/>
        </w:rPr>
      </w:pPr>
    </w:p>
    <w:p>
      <w:pPr>
        <w:jc w:val="both"/>
        <w:ind w:left="176" w:right="679" w:hanging="176"/>
        <w:spacing w:after="0" w:line="249" w:lineRule="auto"/>
        <w:tabs>
          <w:tab w:leader="none" w:pos="176" w:val="left"/>
        </w:tabs>
        <w:numPr>
          <w:ilvl w:val="0"/>
          <w:numId w:val="172"/>
        </w:numPr>
        <w:rPr>
          <w:rFonts w:ascii="Arial" w:cs="Arial" w:eastAsia="Arial" w:hAnsi="Arial"/>
          <w:sz w:val="14"/>
          <w:szCs w:val="14"/>
          <w:b w:val="1"/>
          <w:bCs w:val="1"/>
          <w:color w:val="2952A4"/>
        </w:rPr>
      </w:pPr>
      <w:r>
        <w:rPr>
          <w:rFonts w:ascii="Arial" w:cs="Arial" w:eastAsia="Arial" w:hAnsi="Arial"/>
          <w:sz w:val="14"/>
          <w:szCs w:val="14"/>
          <w:color w:val="231F20"/>
        </w:rPr>
        <w:t>Consists of $12,500 for 401(k) Savings Plan matching contributions in respect of 2019 and (ii) $10,970 for tax and financial planning advisory services.</w:t>
      </w:r>
    </w:p>
    <w:p>
      <w:pPr>
        <w:spacing w:after="0" w:line="2780" w:lineRule="exact"/>
        <w:rPr>
          <w:sz w:val="20"/>
          <w:szCs w:val="20"/>
          <w:color w:val="auto"/>
        </w:rPr>
      </w:pPr>
    </w:p>
    <w:p>
      <w:pPr>
        <w:sectPr>
          <w:pgSz w:w="11900" w:h="16838" w:orient="portrait"/>
          <w:cols w:equalWidth="0" w:num="2">
            <w:col w:w="4200" w:space="484"/>
            <w:col w:w="4335"/>
          </w:cols>
          <w:pgMar w:left="1440" w:top="1378" w:right="1440" w:bottom="1440" w:gutter="0" w:footer="0" w:header="0"/>
          <w:type w:val="continuous"/>
        </w:sectPr>
      </w:pPr>
    </w:p>
    <w:p>
      <w:pPr>
        <w:spacing w:after="0" w:line="10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A5EC"/>
        </w:rPr>
        <w:t xml:space="preserve">86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378" w:right="1440" w:bottom="1440" w:gutter="0" w:footer="0" w:header="0"/>
          <w:type w:val="continuous"/>
        </w:sectPr>
      </w:pPr>
    </w:p>
    <w:bookmarkStart w:id="98" w:name="page99"/>
    <w:bookmarkEnd w:id="98"/>
    <w:p>
      <w:pPr>
        <w:ind w:left="4100"/>
        <w:spacing w:after="0"/>
        <w:rPr>
          <w:sz w:val="20"/>
          <w:szCs w:val="20"/>
          <w:color w:val="auto"/>
        </w:rPr>
      </w:pPr>
      <w:r>
        <w:rPr>
          <w:rFonts w:ascii="Arial" w:cs="Arial" w:eastAsia="Arial" w:hAnsi="Arial"/>
          <w:sz w:val="16"/>
          <w:szCs w:val="16"/>
          <w:b w:val="1"/>
          <w:bCs w:val="1"/>
          <w:color w:val="2952A4"/>
        </w:rPr>
        <w:drawing>
          <wp:anchor simplePos="0" relativeHeight="251657728" behindDoc="1" locked="0" layoutInCell="0" allowOverlap="1">
            <wp:simplePos x="0" y="0"/>
            <wp:positionH relativeFrom="page">
              <wp:posOffset>345440</wp:posOffset>
            </wp:positionH>
            <wp:positionV relativeFrom="page">
              <wp:posOffset>268605</wp:posOffset>
            </wp:positionV>
            <wp:extent cx="231140" cy="14573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231140" cy="1457325"/>
                    </a:xfrm>
                    <a:prstGeom prst="rect">
                      <a:avLst/>
                    </a:prstGeom>
                    <a:noFill/>
                  </pic:spPr>
                </pic:pic>
              </a:graphicData>
            </a:graphic>
          </wp:anchor>
        </w:drawing>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66262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C04C57"/>
        </w:rPr>
        <w:t>2019 Grants of Plan-Based Awards</w:t>
      </w:r>
    </w:p>
    <w:p>
      <w:pPr>
        <w:spacing w:after="0" w:line="217" w:lineRule="exact"/>
        <w:rPr>
          <w:sz w:val="20"/>
          <w:szCs w:val="20"/>
          <w:color w:val="auto"/>
        </w:rPr>
      </w:pPr>
    </w:p>
    <w:p>
      <w:pPr>
        <w:ind w:left="1580" w:right="2040"/>
        <w:spacing w:after="0" w:line="242" w:lineRule="auto"/>
        <w:rPr>
          <w:sz w:val="20"/>
          <w:szCs w:val="20"/>
          <w:color w:val="auto"/>
        </w:rPr>
      </w:pPr>
      <w:r>
        <w:rPr>
          <w:rFonts w:ascii="Arial" w:cs="Arial" w:eastAsia="Arial" w:hAnsi="Arial"/>
          <w:sz w:val="15"/>
          <w:szCs w:val="15"/>
          <w:color w:val="231F20"/>
        </w:rPr>
        <w:t>The following table and explanatory footnotes provide information regarding the annual cash incentive and equity awards granted to our NEOs during 2019.</w:t>
      </w:r>
    </w:p>
    <w:p>
      <w:pPr>
        <w:spacing w:after="0" w:line="122" w:lineRule="exact"/>
        <w:rPr>
          <w:sz w:val="20"/>
          <w:szCs w:val="20"/>
          <w:color w:val="auto"/>
        </w:rPr>
      </w:pPr>
    </w:p>
    <w:tbl>
      <w:tblPr>
        <w:tblLayout w:type="fixed"/>
        <w:tblInd w:w="1580" w:type="dxa"/>
        <w:tblCellMar>
          <w:top w:w="0" w:type="dxa"/>
          <w:left w:w="0" w:type="dxa"/>
          <w:bottom w:w="0" w:type="dxa"/>
          <w:right w:w="0" w:type="dxa"/>
        </w:tblCellMar>
      </w:tblPr>
      <w:tr>
        <w:trPr>
          <w:trHeight w:val="135"/>
        </w:trPr>
        <w:tc>
          <w:tcPr>
            <w:tcW w:w="900" w:type="dxa"/>
            <w:vAlign w:val="bottom"/>
            <w:tcBorders>
              <w:top w:val="single" w:sz="8" w:color="2952A4"/>
              <w:bottom w:val="single" w:sz="8" w:color="2952A4"/>
            </w:tcBorders>
          </w:tcPr>
          <w:p>
            <w:pPr>
              <w:ind w:left="40"/>
              <w:spacing w:after="0"/>
              <w:rPr>
                <w:sz w:val="20"/>
                <w:szCs w:val="20"/>
                <w:color w:val="auto"/>
              </w:rPr>
            </w:pPr>
            <w:r>
              <w:rPr>
                <w:rFonts w:ascii="Arial" w:cs="Arial" w:eastAsia="Arial" w:hAnsi="Arial"/>
                <w:sz w:val="11"/>
                <w:szCs w:val="11"/>
                <w:b w:val="1"/>
                <w:bCs w:val="1"/>
                <w:color w:val="2952A4"/>
              </w:rPr>
              <w:t>A</w:t>
            </w:r>
          </w:p>
        </w:tc>
        <w:tc>
          <w:tcPr>
            <w:tcW w:w="40" w:type="dxa"/>
            <w:vAlign w:val="bottom"/>
            <w:tcBorders>
              <w:top w:val="single" w:sz="8" w:color="2952A4"/>
              <w:bottom w:val="single" w:sz="8" w:color="2952A4"/>
            </w:tcBorders>
          </w:tcPr>
          <w:p>
            <w:pPr>
              <w:spacing w:after="0"/>
              <w:rPr>
                <w:sz w:val="11"/>
                <w:szCs w:val="11"/>
                <w:color w:val="auto"/>
              </w:rPr>
            </w:pPr>
          </w:p>
        </w:tc>
        <w:tc>
          <w:tcPr>
            <w:tcW w:w="760" w:type="dxa"/>
            <w:vAlign w:val="bottom"/>
            <w:tcBorders>
              <w:top w:val="single" w:sz="8" w:color="2952A4"/>
              <w:bottom w:val="single" w:sz="8" w:color="2952A4"/>
            </w:tcBorders>
            <w:gridSpan w:val="2"/>
          </w:tcPr>
          <w:p>
            <w:pPr>
              <w:ind w:left="300"/>
              <w:spacing w:after="0"/>
              <w:rPr>
                <w:sz w:val="20"/>
                <w:szCs w:val="20"/>
                <w:color w:val="auto"/>
              </w:rPr>
            </w:pPr>
            <w:r>
              <w:rPr>
                <w:rFonts w:ascii="Arial" w:cs="Arial" w:eastAsia="Arial" w:hAnsi="Arial"/>
                <w:sz w:val="11"/>
                <w:szCs w:val="11"/>
                <w:b w:val="1"/>
                <w:bCs w:val="1"/>
                <w:color w:val="2952A4"/>
              </w:rPr>
              <w:t>B</w:t>
            </w:r>
          </w:p>
        </w:tc>
        <w:tc>
          <w:tcPr>
            <w:tcW w:w="620" w:type="dxa"/>
            <w:vAlign w:val="bottom"/>
            <w:tcBorders>
              <w:top w:val="single" w:sz="8" w:color="2952A4"/>
              <w:bottom w:val="single" w:sz="8" w:color="2952A4"/>
            </w:tcBorders>
          </w:tcPr>
          <w:p>
            <w:pPr>
              <w:jc w:val="right"/>
              <w:ind w:right="237"/>
              <w:spacing w:after="0"/>
              <w:rPr>
                <w:sz w:val="20"/>
                <w:szCs w:val="20"/>
                <w:color w:val="auto"/>
              </w:rPr>
            </w:pPr>
            <w:r>
              <w:rPr>
                <w:rFonts w:ascii="Arial" w:cs="Arial" w:eastAsia="Arial" w:hAnsi="Arial"/>
                <w:sz w:val="11"/>
                <w:szCs w:val="11"/>
                <w:b w:val="1"/>
                <w:bCs w:val="1"/>
                <w:color w:val="2952A4"/>
              </w:rPr>
              <w:t>C</w:t>
            </w:r>
          </w:p>
        </w:tc>
        <w:tc>
          <w:tcPr>
            <w:tcW w:w="640" w:type="dxa"/>
            <w:vAlign w:val="bottom"/>
            <w:tcBorders>
              <w:top w:val="single" w:sz="8" w:color="2952A4"/>
              <w:bottom w:val="single" w:sz="8" w:color="2952A4"/>
            </w:tcBorders>
          </w:tcPr>
          <w:p>
            <w:pPr>
              <w:jc w:val="center"/>
              <w:ind w:right="17"/>
              <w:spacing w:after="0"/>
              <w:rPr>
                <w:sz w:val="20"/>
                <w:szCs w:val="20"/>
                <w:color w:val="auto"/>
              </w:rPr>
            </w:pPr>
            <w:r>
              <w:rPr>
                <w:rFonts w:ascii="Arial" w:cs="Arial" w:eastAsia="Arial" w:hAnsi="Arial"/>
                <w:sz w:val="11"/>
                <w:szCs w:val="11"/>
                <w:b w:val="1"/>
                <w:bCs w:val="1"/>
                <w:color w:val="2952A4"/>
              </w:rPr>
              <w:t>D</w:t>
            </w:r>
          </w:p>
        </w:tc>
        <w:tc>
          <w:tcPr>
            <w:tcW w:w="640" w:type="dxa"/>
            <w:vAlign w:val="bottom"/>
            <w:tcBorders>
              <w:top w:val="single" w:sz="8" w:color="2952A4"/>
              <w:bottom w:val="single" w:sz="8" w:color="2952A4"/>
            </w:tcBorders>
            <w:gridSpan w:val="2"/>
          </w:tcPr>
          <w:p>
            <w:pPr>
              <w:jc w:val="center"/>
              <w:ind w:right="20"/>
              <w:spacing w:after="0"/>
              <w:rPr>
                <w:sz w:val="20"/>
                <w:szCs w:val="20"/>
                <w:color w:val="auto"/>
              </w:rPr>
            </w:pPr>
            <w:r>
              <w:rPr>
                <w:rFonts w:ascii="Arial" w:cs="Arial" w:eastAsia="Arial" w:hAnsi="Arial"/>
                <w:sz w:val="11"/>
                <w:szCs w:val="11"/>
                <w:b w:val="1"/>
                <w:bCs w:val="1"/>
                <w:color w:val="2952A4"/>
                <w:w w:val="81"/>
              </w:rPr>
              <w:t>E</w:t>
            </w:r>
          </w:p>
        </w:tc>
        <w:tc>
          <w:tcPr>
            <w:tcW w:w="54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F</w:t>
            </w:r>
          </w:p>
        </w:tc>
        <w:tc>
          <w:tcPr>
            <w:tcW w:w="46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G</w:t>
            </w:r>
          </w:p>
        </w:tc>
        <w:tc>
          <w:tcPr>
            <w:tcW w:w="540" w:type="dxa"/>
            <w:vAlign w:val="bottom"/>
            <w:tcBorders>
              <w:top w:val="single" w:sz="8" w:color="2952A4"/>
              <w:bottom w:val="single" w:sz="8" w:color="2952A4"/>
            </w:tcBorders>
            <w:gridSpan w:val="2"/>
          </w:tcPr>
          <w:p>
            <w:pPr>
              <w:jc w:val="center"/>
              <w:ind w:right="20"/>
              <w:spacing w:after="0"/>
              <w:rPr>
                <w:sz w:val="20"/>
                <w:szCs w:val="20"/>
                <w:color w:val="auto"/>
              </w:rPr>
            </w:pPr>
            <w:r>
              <w:rPr>
                <w:rFonts w:ascii="Arial" w:cs="Arial" w:eastAsia="Arial" w:hAnsi="Arial"/>
                <w:sz w:val="11"/>
                <w:szCs w:val="11"/>
                <w:b w:val="1"/>
                <w:bCs w:val="1"/>
                <w:color w:val="2952A4"/>
              </w:rPr>
              <w:t>H</w:t>
            </w:r>
          </w:p>
        </w:tc>
        <w:tc>
          <w:tcPr>
            <w:tcW w:w="58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I</w:t>
            </w:r>
          </w:p>
        </w:tc>
        <w:tc>
          <w:tcPr>
            <w:tcW w:w="60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1"/>
                <w:szCs w:val="11"/>
                <w:b w:val="1"/>
                <w:bCs w:val="1"/>
                <w:color w:val="2952A4"/>
                <w:w w:val="97"/>
              </w:rPr>
              <w:t>J</w:t>
            </w:r>
          </w:p>
        </w:tc>
        <w:tc>
          <w:tcPr>
            <w:tcW w:w="48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K</w:t>
            </w:r>
          </w:p>
        </w:tc>
        <w:tc>
          <w:tcPr>
            <w:tcW w:w="580" w:type="dxa"/>
            <w:vAlign w:val="bottom"/>
            <w:tcBorders>
              <w:top w:val="single" w:sz="8" w:color="2952A4"/>
              <w:bottom w:val="single" w:sz="8" w:color="2952A4"/>
            </w:tcBorders>
          </w:tcPr>
          <w:p>
            <w:pPr>
              <w:spacing w:after="0"/>
              <w:rPr>
                <w:sz w:val="11"/>
                <w:szCs w:val="11"/>
                <w:color w:val="auto"/>
              </w:rPr>
            </w:pPr>
          </w:p>
        </w:tc>
        <w:tc>
          <w:tcPr>
            <w:tcW w:w="72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L</w:t>
            </w:r>
          </w:p>
        </w:tc>
        <w:tc>
          <w:tcPr>
            <w:tcW w:w="0" w:type="dxa"/>
            <w:vAlign w:val="bottom"/>
          </w:tcPr>
          <w:p>
            <w:pPr>
              <w:spacing w:after="0"/>
              <w:rPr>
                <w:sz w:val="1"/>
                <w:szCs w:val="1"/>
                <w:color w:val="auto"/>
              </w:rPr>
            </w:pPr>
          </w:p>
        </w:tc>
      </w:tr>
      <w:tr>
        <w:trPr>
          <w:trHeight w:val="100"/>
        </w:trPr>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jc w:val="center"/>
              <w:spacing w:after="0" w:line="100" w:lineRule="exact"/>
              <w:rPr>
                <w:sz w:val="20"/>
                <w:szCs w:val="20"/>
                <w:color w:val="auto"/>
              </w:rPr>
            </w:pPr>
            <w:r>
              <w:rPr>
                <w:rFonts w:ascii="Arial" w:cs="Arial" w:eastAsia="Arial" w:hAnsi="Arial"/>
                <w:sz w:val="11"/>
                <w:szCs w:val="11"/>
                <w:b w:val="1"/>
                <w:bCs w:val="1"/>
                <w:color w:val="2952A4"/>
                <w:w w:val="98"/>
              </w:rPr>
              <w:t>All other</w:t>
            </w:r>
          </w:p>
        </w:tc>
        <w:tc>
          <w:tcPr>
            <w:tcW w:w="600" w:type="dxa"/>
            <w:vAlign w:val="bottom"/>
          </w:tcPr>
          <w:p>
            <w:pPr>
              <w:jc w:val="center"/>
              <w:spacing w:after="0" w:line="100" w:lineRule="exact"/>
              <w:rPr>
                <w:sz w:val="20"/>
                <w:szCs w:val="20"/>
                <w:color w:val="auto"/>
              </w:rPr>
            </w:pPr>
            <w:r>
              <w:rPr>
                <w:rFonts w:ascii="Arial" w:cs="Arial" w:eastAsia="Arial" w:hAnsi="Arial"/>
                <w:sz w:val="11"/>
                <w:szCs w:val="11"/>
                <w:b w:val="1"/>
                <w:bCs w:val="1"/>
                <w:color w:val="2952A4"/>
                <w:w w:val="98"/>
              </w:rPr>
              <w:t>All other</w:t>
            </w: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4"/>
            <w:vMerge w:val="restart"/>
          </w:tcPr>
          <w:p>
            <w:pPr>
              <w:jc w:val="center"/>
              <w:ind w:right="40"/>
              <w:spacing w:after="0"/>
              <w:rPr>
                <w:sz w:val="20"/>
                <w:szCs w:val="20"/>
                <w:color w:val="auto"/>
              </w:rPr>
            </w:pPr>
            <w:r>
              <w:rPr>
                <w:rFonts w:ascii="Arial" w:cs="Arial" w:eastAsia="Arial" w:hAnsi="Arial"/>
                <w:sz w:val="11"/>
                <w:szCs w:val="11"/>
                <w:b w:val="1"/>
                <w:bCs w:val="1"/>
                <w:color w:val="2952A4"/>
                <w:w w:val="98"/>
              </w:rPr>
              <w:t>Estimated Possible Payouts Under</w:t>
            </w:r>
          </w:p>
        </w:tc>
        <w:tc>
          <w:tcPr>
            <w:tcW w:w="1540" w:type="dxa"/>
            <w:vAlign w:val="bottom"/>
            <w:gridSpan w:val="4"/>
            <w:vMerge w:val="restart"/>
          </w:tcPr>
          <w:p>
            <w:pPr>
              <w:jc w:val="center"/>
              <w:ind w:right="20"/>
              <w:spacing w:after="0"/>
              <w:rPr>
                <w:sz w:val="20"/>
                <w:szCs w:val="20"/>
                <w:color w:val="auto"/>
              </w:rPr>
            </w:pPr>
            <w:r>
              <w:rPr>
                <w:rFonts w:ascii="Arial" w:cs="Arial" w:eastAsia="Arial" w:hAnsi="Arial"/>
                <w:sz w:val="11"/>
                <w:szCs w:val="11"/>
                <w:b w:val="1"/>
                <w:bCs w:val="1"/>
                <w:color w:val="2952A4"/>
                <w:w w:val="98"/>
              </w:rPr>
              <w:t>Estimated Possible Payouts</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7"/>
              </w:rPr>
              <w:t>stock</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5"/>
              </w:rPr>
              <w:t>option</w:t>
            </w:r>
          </w:p>
        </w:tc>
        <w:tc>
          <w:tcPr>
            <w:tcW w:w="48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4"/>
              </w:rPr>
              <w:t>Closing</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4"/>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Arial" w:cs="Arial" w:eastAsia="Arial" w:hAnsi="Arial"/>
                <w:sz w:val="11"/>
                <w:szCs w:val="11"/>
                <w:b w:val="1"/>
                <w:bCs w:val="1"/>
                <w:color w:val="2952A4"/>
                <w:w w:val="96"/>
              </w:rPr>
              <w:t>awards:</w:t>
            </w:r>
          </w:p>
        </w:tc>
        <w:tc>
          <w:tcPr>
            <w:tcW w:w="600" w:type="dxa"/>
            <w:vAlign w:val="bottom"/>
          </w:tcPr>
          <w:p>
            <w:pPr>
              <w:jc w:val="center"/>
              <w:spacing w:after="0" w:line="110" w:lineRule="exact"/>
              <w:rPr>
                <w:sz w:val="20"/>
                <w:szCs w:val="20"/>
                <w:color w:val="auto"/>
              </w:rPr>
            </w:pPr>
            <w:r>
              <w:rPr>
                <w:rFonts w:ascii="Arial" w:cs="Arial" w:eastAsia="Arial" w:hAnsi="Arial"/>
                <w:sz w:val="11"/>
                <w:szCs w:val="11"/>
                <w:b w:val="1"/>
                <w:bCs w:val="1"/>
                <w:color w:val="2952A4"/>
                <w:w w:val="96"/>
              </w:rPr>
              <w:t>awards:</w:t>
            </w:r>
          </w:p>
        </w:tc>
        <w:tc>
          <w:tcPr>
            <w:tcW w:w="480" w:type="dxa"/>
            <w:vAlign w:val="bottom"/>
          </w:tcPr>
          <w:p>
            <w:pPr>
              <w:jc w:val="center"/>
              <w:spacing w:after="0" w:line="110" w:lineRule="exact"/>
              <w:rPr>
                <w:sz w:val="20"/>
                <w:szCs w:val="20"/>
                <w:color w:val="auto"/>
              </w:rPr>
            </w:pPr>
            <w:r>
              <w:rPr>
                <w:rFonts w:ascii="Arial" w:cs="Arial" w:eastAsia="Arial" w:hAnsi="Arial"/>
                <w:sz w:val="11"/>
                <w:szCs w:val="11"/>
                <w:b w:val="1"/>
                <w:bCs w:val="1"/>
                <w:color w:val="2952A4"/>
                <w:w w:val="97"/>
              </w:rPr>
              <w:t>Exercise</w:t>
            </w:r>
          </w:p>
        </w:tc>
        <w:tc>
          <w:tcPr>
            <w:tcW w:w="580" w:type="dxa"/>
            <w:vAlign w:val="bottom"/>
          </w:tcPr>
          <w:p>
            <w:pPr>
              <w:jc w:val="center"/>
              <w:spacing w:after="0" w:line="110" w:lineRule="exact"/>
              <w:rPr>
                <w:sz w:val="20"/>
                <w:szCs w:val="20"/>
                <w:color w:val="auto"/>
              </w:rPr>
            </w:pPr>
            <w:r>
              <w:rPr>
                <w:rFonts w:ascii="Arial" w:cs="Arial" w:eastAsia="Arial" w:hAnsi="Arial"/>
                <w:sz w:val="11"/>
                <w:szCs w:val="11"/>
                <w:b w:val="1"/>
                <w:bCs w:val="1"/>
                <w:color w:val="2952A4"/>
                <w:w w:val="95"/>
              </w:rPr>
              <w:t>price of</w:t>
            </w:r>
          </w:p>
        </w:tc>
        <w:tc>
          <w:tcPr>
            <w:tcW w:w="720" w:type="dxa"/>
            <w:vAlign w:val="bottom"/>
          </w:tcPr>
          <w:p>
            <w:pPr>
              <w:jc w:val="center"/>
              <w:spacing w:after="0" w:line="110" w:lineRule="exact"/>
              <w:rPr>
                <w:sz w:val="20"/>
                <w:szCs w:val="20"/>
                <w:color w:val="auto"/>
              </w:rPr>
            </w:pPr>
            <w:r>
              <w:rPr>
                <w:rFonts w:ascii="Arial" w:cs="Arial" w:eastAsia="Arial" w:hAnsi="Arial"/>
                <w:sz w:val="11"/>
                <w:szCs w:val="11"/>
                <w:b w:val="1"/>
                <w:bCs w:val="1"/>
                <w:color w:val="2952A4"/>
                <w:w w:val="98"/>
              </w:rPr>
              <w:t>Grant date</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4"/>
          </w:tcPr>
          <w:p>
            <w:pPr>
              <w:jc w:val="center"/>
              <w:ind w:right="40"/>
              <w:spacing w:after="0" w:line="122" w:lineRule="exact"/>
              <w:rPr>
                <w:sz w:val="20"/>
                <w:szCs w:val="20"/>
                <w:color w:val="auto"/>
              </w:rPr>
            </w:pPr>
            <w:r>
              <w:rPr>
                <w:rFonts w:ascii="Arial" w:cs="Arial" w:eastAsia="Arial" w:hAnsi="Arial"/>
                <w:sz w:val="11"/>
                <w:szCs w:val="11"/>
                <w:b w:val="1"/>
                <w:bCs w:val="1"/>
                <w:color w:val="2952A4"/>
                <w:w w:val="98"/>
              </w:rPr>
              <w:t>Non-Equity Incentive Plan</w:t>
            </w:r>
          </w:p>
        </w:tc>
        <w:tc>
          <w:tcPr>
            <w:tcW w:w="1540" w:type="dxa"/>
            <w:vAlign w:val="bottom"/>
            <w:gridSpan w:val="4"/>
          </w:tcPr>
          <w:p>
            <w:pPr>
              <w:jc w:val="center"/>
              <w:ind w:right="40"/>
              <w:spacing w:after="0" w:line="122" w:lineRule="exact"/>
              <w:rPr>
                <w:sz w:val="20"/>
                <w:szCs w:val="20"/>
                <w:color w:val="auto"/>
              </w:rPr>
            </w:pPr>
            <w:r>
              <w:rPr>
                <w:rFonts w:ascii="Arial" w:cs="Arial" w:eastAsia="Arial" w:hAnsi="Arial"/>
                <w:sz w:val="11"/>
                <w:szCs w:val="11"/>
                <w:b w:val="1"/>
                <w:bCs w:val="1"/>
                <w:color w:val="2952A4"/>
                <w:w w:val="97"/>
              </w:rPr>
              <w:t>Under Equity Incentive Plan</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6"/>
              </w:rPr>
              <w:t>number of</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6"/>
              </w:rPr>
              <w:t>number of</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rPr>
              <w:t>or base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9"/>
              </w:rPr>
              <w:t>Company</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9"/>
              </w:rPr>
              <w:t>fair value</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2952A4"/>
            </w:tcBorders>
          </w:tcPr>
          <w:p>
            <w:pPr>
              <w:spacing w:after="0"/>
              <w:rPr>
                <w:sz w:val="12"/>
                <w:szCs w:val="12"/>
                <w:color w:val="auto"/>
              </w:rPr>
            </w:pPr>
          </w:p>
        </w:tc>
        <w:tc>
          <w:tcPr>
            <w:tcW w:w="640" w:type="dxa"/>
            <w:vAlign w:val="bottom"/>
            <w:tcBorders>
              <w:bottom w:val="single" w:sz="8" w:color="2952A4"/>
            </w:tcBorders>
          </w:tcPr>
          <w:p>
            <w:pPr>
              <w:jc w:val="center"/>
              <w:spacing w:after="0" w:line="133" w:lineRule="exact"/>
              <w:rPr>
                <w:sz w:val="20"/>
                <w:szCs w:val="20"/>
                <w:color w:val="auto"/>
              </w:rPr>
            </w:pPr>
            <w:r>
              <w:rPr>
                <w:rFonts w:ascii="Arial" w:cs="Arial" w:eastAsia="Arial" w:hAnsi="Arial"/>
                <w:sz w:val="10"/>
                <w:szCs w:val="10"/>
                <w:b w:val="1"/>
                <w:bCs w:val="1"/>
                <w:color w:val="2952A4"/>
              </w:rPr>
              <w:t>Awards</w:t>
            </w:r>
            <w:r>
              <w:rPr>
                <w:rFonts w:ascii="Arial" w:cs="Arial" w:eastAsia="Arial" w:hAnsi="Arial"/>
                <w:sz w:val="15"/>
                <w:szCs w:val="15"/>
                <w:b w:val="1"/>
                <w:bCs w:val="1"/>
                <w:color w:val="2952A4"/>
                <w:vertAlign w:val="superscript"/>
              </w:rPr>
              <w:t>1</w:t>
            </w:r>
          </w:p>
        </w:tc>
        <w:tc>
          <w:tcPr>
            <w:tcW w:w="600" w:type="dxa"/>
            <w:vAlign w:val="bottom"/>
            <w:tcBorders>
              <w:bottom w:val="single" w:sz="8" w:color="2952A4"/>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2952A4"/>
            </w:tcBorders>
          </w:tcPr>
          <w:p>
            <w:pPr>
              <w:spacing w:after="0"/>
              <w:rPr>
                <w:sz w:val="12"/>
                <w:szCs w:val="12"/>
                <w:color w:val="auto"/>
              </w:rPr>
            </w:pPr>
          </w:p>
        </w:tc>
        <w:tc>
          <w:tcPr>
            <w:tcW w:w="460" w:type="dxa"/>
            <w:vAlign w:val="bottom"/>
            <w:tcBorders>
              <w:bottom w:val="single" w:sz="8" w:color="2952A4"/>
            </w:tcBorders>
          </w:tcPr>
          <w:p>
            <w:pPr>
              <w:jc w:val="center"/>
              <w:spacing w:after="0" w:line="133" w:lineRule="exact"/>
              <w:rPr>
                <w:sz w:val="20"/>
                <w:szCs w:val="20"/>
                <w:color w:val="auto"/>
              </w:rPr>
            </w:pPr>
            <w:r>
              <w:rPr>
                <w:rFonts w:ascii="Arial" w:cs="Arial" w:eastAsia="Arial" w:hAnsi="Arial"/>
                <w:sz w:val="10"/>
                <w:szCs w:val="10"/>
                <w:b w:val="1"/>
                <w:bCs w:val="1"/>
                <w:color w:val="2952A4"/>
              </w:rPr>
              <w:t>Awards</w:t>
            </w:r>
            <w:r>
              <w:rPr>
                <w:rFonts w:ascii="Arial" w:cs="Arial" w:eastAsia="Arial" w:hAnsi="Arial"/>
                <w:sz w:val="15"/>
                <w:szCs w:val="15"/>
                <w:b w:val="1"/>
                <w:bCs w:val="1"/>
                <w:color w:val="2952A4"/>
                <w:vertAlign w:val="superscript"/>
              </w:rPr>
              <w:t>2</w:t>
            </w:r>
          </w:p>
        </w:tc>
        <w:tc>
          <w:tcPr>
            <w:tcW w:w="520" w:type="dxa"/>
            <w:vAlign w:val="bottom"/>
            <w:tcBorders>
              <w:bottom w:val="single" w:sz="8" w:color="2952A4"/>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2952A4"/>
                <w:w w:val="98"/>
              </w:rPr>
              <w:t>shares of</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2952A4"/>
                <w:w w:val="97"/>
              </w:rPr>
              <w:t>securities</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2952A4"/>
              </w:rPr>
              <w:t>price of</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2952A4"/>
              </w:rPr>
              <w:t>common</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2952A4"/>
                <w:w w:val="94"/>
              </w:rPr>
              <w:t>of stock</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Arial" w:cs="Arial" w:eastAsia="Arial" w:hAnsi="Arial"/>
                <w:sz w:val="11"/>
                <w:szCs w:val="11"/>
                <w:b w:val="1"/>
                <w:bCs w:val="1"/>
                <w:color w:val="2952A4"/>
                <w:w w:val="98"/>
              </w:rPr>
              <w:t>stock or</w:t>
            </w:r>
          </w:p>
        </w:tc>
        <w:tc>
          <w:tcPr>
            <w:tcW w:w="600" w:type="dxa"/>
            <w:vAlign w:val="bottom"/>
          </w:tcPr>
          <w:p>
            <w:pPr>
              <w:jc w:val="center"/>
              <w:spacing w:after="0" w:line="108" w:lineRule="exact"/>
              <w:rPr>
                <w:sz w:val="20"/>
                <w:szCs w:val="20"/>
                <w:color w:val="auto"/>
              </w:rPr>
            </w:pPr>
            <w:r>
              <w:rPr>
                <w:rFonts w:ascii="Arial" w:cs="Arial" w:eastAsia="Arial" w:hAnsi="Arial"/>
                <w:sz w:val="11"/>
                <w:szCs w:val="11"/>
                <w:b w:val="1"/>
                <w:bCs w:val="1"/>
                <w:color w:val="2952A4"/>
                <w:w w:val="97"/>
              </w:rPr>
              <w:t>Underlying</w:t>
            </w:r>
          </w:p>
        </w:tc>
        <w:tc>
          <w:tcPr>
            <w:tcW w:w="480" w:type="dxa"/>
            <w:vAlign w:val="bottom"/>
          </w:tcPr>
          <w:p>
            <w:pPr>
              <w:jc w:val="center"/>
              <w:spacing w:after="0" w:line="108" w:lineRule="exact"/>
              <w:rPr>
                <w:sz w:val="20"/>
                <w:szCs w:val="20"/>
                <w:color w:val="auto"/>
              </w:rPr>
            </w:pPr>
            <w:r>
              <w:rPr>
                <w:rFonts w:ascii="Arial" w:cs="Arial" w:eastAsia="Arial" w:hAnsi="Arial"/>
                <w:sz w:val="11"/>
                <w:szCs w:val="11"/>
                <w:b w:val="1"/>
                <w:bCs w:val="1"/>
                <w:color w:val="2952A4"/>
              </w:rPr>
              <w:t>Option</w:t>
            </w:r>
          </w:p>
        </w:tc>
        <w:tc>
          <w:tcPr>
            <w:tcW w:w="580" w:type="dxa"/>
            <w:vAlign w:val="bottom"/>
          </w:tcPr>
          <w:p>
            <w:pPr>
              <w:jc w:val="center"/>
              <w:spacing w:after="0" w:line="108" w:lineRule="exact"/>
              <w:rPr>
                <w:sz w:val="20"/>
                <w:szCs w:val="20"/>
                <w:color w:val="auto"/>
              </w:rPr>
            </w:pPr>
            <w:r>
              <w:rPr>
                <w:rFonts w:ascii="Arial" w:cs="Arial" w:eastAsia="Arial" w:hAnsi="Arial"/>
                <w:sz w:val="11"/>
                <w:szCs w:val="11"/>
                <w:b w:val="1"/>
                <w:bCs w:val="1"/>
                <w:color w:val="2952A4"/>
              </w:rPr>
              <w:t>stock on</w:t>
            </w: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2952A4"/>
                <w:w w:val="99"/>
              </w:rPr>
              <w:t>and option</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Arial" w:cs="Arial" w:eastAsia="Arial" w:hAnsi="Arial"/>
                <w:sz w:val="11"/>
                <w:szCs w:val="11"/>
                <w:b w:val="1"/>
                <w:bCs w:val="1"/>
                <w:color w:val="2952A4"/>
                <w:w w:val="97"/>
              </w:rPr>
              <w:t>Threshold</w:t>
            </w:r>
          </w:p>
        </w:tc>
        <w:tc>
          <w:tcPr>
            <w:tcW w:w="640" w:type="dxa"/>
            <w:vAlign w:val="bottom"/>
          </w:tcPr>
          <w:p>
            <w:pPr>
              <w:jc w:val="center"/>
              <w:ind w:right="17"/>
              <w:spacing w:after="0" w:line="122" w:lineRule="exact"/>
              <w:rPr>
                <w:sz w:val="20"/>
                <w:szCs w:val="20"/>
                <w:color w:val="auto"/>
              </w:rPr>
            </w:pPr>
            <w:r>
              <w:rPr>
                <w:rFonts w:ascii="Arial" w:cs="Arial" w:eastAsia="Arial" w:hAnsi="Arial"/>
                <w:sz w:val="11"/>
                <w:szCs w:val="11"/>
                <w:b w:val="1"/>
                <w:bCs w:val="1"/>
                <w:color w:val="2952A4"/>
                <w:w w:val="95"/>
              </w:rPr>
              <w:t>Target</w:t>
            </w:r>
          </w:p>
        </w:tc>
        <w:tc>
          <w:tcPr>
            <w:tcW w:w="64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2952A4"/>
                <w:w w:val="98"/>
              </w:rPr>
              <w:t>Maximum</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7"/>
              </w:rPr>
              <w:t>Threshold</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5"/>
              </w:rPr>
              <w:t>Target</w:t>
            </w:r>
          </w:p>
        </w:tc>
        <w:tc>
          <w:tcPr>
            <w:tcW w:w="54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2952A4"/>
                <w:w w:val="94"/>
              </w:rPr>
              <w:t>Maximum</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8"/>
              </w:rPr>
              <w:t>units</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rPr>
              <w:t>options</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rPr>
              <w:t>awards</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7"/>
              </w:rPr>
              <w:t>grant date</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2952A4"/>
                <w:w w:val="94"/>
              </w:rPr>
              <w:t>awards</w:t>
            </w:r>
          </w:p>
        </w:tc>
        <w:tc>
          <w:tcPr>
            <w:tcW w:w="0" w:type="dxa"/>
            <w:vAlign w:val="bottom"/>
          </w:tcPr>
          <w:p>
            <w:pPr>
              <w:spacing w:after="0"/>
              <w:rPr>
                <w:sz w:val="1"/>
                <w:szCs w:val="1"/>
                <w:color w:val="auto"/>
              </w:rPr>
            </w:pPr>
          </w:p>
        </w:tc>
      </w:tr>
      <w:tr>
        <w:trPr>
          <w:trHeight w:val="148"/>
        </w:trPr>
        <w:tc>
          <w:tcPr>
            <w:tcW w:w="900" w:type="dxa"/>
            <w:vAlign w:val="bottom"/>
            <w:tcBorders>
              <w:bottom w:val="single" w:sz="8" w:color="2952A4"/>
            </w:tcBorders>
          </w:tcPr>
          <w:p>
            <w:pPr>
              <w:ind w:left="40"/>
              <w:spacing w:after="0"/>
              <w:rPr>
                <w:sz w:val="20"/>
                <w:szCs w:val="20"/>
                <w:color w:val="auto"/>
              </w:rPr>
            </w:pPr>
            <w:r>
              <w:rPr>
                <w:rFonts w:ascii="Arial" w:cs="Arial" w:eastAsia="Arial" w:hAnsi="Arial"/>
                <w:sz w:val="11"/>
                <w:szCs w:val="11"/>
                <w:b w:val="1"/>
                <w:bCs w:val="1"/>
                <w:color w:val="2952A4"/>
              </w:rPr>
              <w:t>Name</w:t>
            </w:r>
          </w:p>
        </w:tc>
        <w:tc>
          <w:tcPr>
            <w:tcW w:w="40" w:type="dxa"/>
            <w:vAlign w:val="bottom"/>
            <w:tcBorders>
              <w:bottom w:val="single" w:sz="8" w:color="2952A4"/>
            </w:tcBorders>
          </w:tcPr>
          <w:p>
            <w:pPr>
              <w:spacing w:after="0"/>
              <w:rPr>
                <w:sz w:val="12"/>
                <w:szCs w:val="12"/>
                <w:color w:val="auto"/>
              </w:rPr>
            </w:pPr>
          </w:p>
        </w:tc>
        <w:tc>
          <w:tcPr>
            <w:tcW w:w="760" w:type="dxa"/>
            <w:vAlign w:val="bottom"/>
            <w:tcBorders>
              <w:bottom w:val="single" w:sz="8" w:color="2952A4"/>
            </w:tcBorders>
            <w:gridSpan w:val="2"/>
          </w:tcPr>
          <w:p>
            <w:pPr>
              <w:ind w:left="60"/>
              <w:spacing w:after="0"/>
              <w:rPr>
                <w:sz w:val="20"/>
                <w:szCs w:val="20"/>
                <w:color w:val="auto"/>
              </w:rPr>
            </w:pPr>
            <w:r>
              <w:rPr>
                <w:rFonts w:ascii="Arial" w:cs="Arial" w:eastAsia="Arial" w:hAnsi="Arial"/>
                <w:sz w:val="11"/>
                <w:szCs w:val="11"/>
                <w:b w:val="1"/>
                <w:bCs w:val="1"/>
                <w:color w:val="2952A4"/>
              </w:rPr>
              <w:t>Grant date</w:t>
            </w:r>
          </w:p>
        </w:tc>
        <w:tc>
          <w:tcPr>
            <w:tcW w:w="620" w:type="dxa"/>
            <w:vAlign w:val="bottom"/>
            <w:tcBorders>
              <w:bottom w:val="single" w:sz="8" w:color="2952A4"/>
            </w:tcBorders>
          </w:tcPr>
          <w:p>
            <w:pPr>
              <w:jc w:val="right"/>
              <w:ind w:right="217"/>
              <w:spacing w:after="0"/>
              <w:rPr>
                <w:sz w:val="20"/>
                <w:szCs w:val="20"/>
                <w:color w:val="auto"/>
              </w:rPr>
            </w:pPr>
            <w:r>
              <w:rPr>
                <w:rFonts w:ascii="Arial" w:cs="Arial" w:eastAsia="Arial" w:hAnsi="Arial"/>
                <w:sz w:val="11"/>
                <w:szCs w:val="11"/>
                <w:b w:val="1"/>
                <w:bCs w:val="1"/>
                <w:color w:val="2952A4"/>
              </w:rPr>
              <w:t>($)</w:t>
            </w:r>
          </w:p>
        </w:tc>
        <w:tc>
          <w:tcPr>
            <w:tcW w:w="64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w:t>
            </w:r>
          </w:p>
        </w:tc>
        <w:tc>
          <w:tcPr>
            <w:tcW w:w="60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w:t>
            </w:r>
          </w:p>
        </w:tc>
        <w:tc>
          <w:tcPr>
            <w:tcW w:w="40" w:type="dxa"/>
            <w:vAlign w:val="bottom"/>
            <w:tcBorders>
              <w:bottom w:val="single" w:sz="8" w:color="2952A4"/>
            </w:tcBorders>
          </w:tcPr>
          <w:p>
            <w:pPr>
              <w:spacing w:after="0"/>
              <w:rPr>
                <w:sz w:val="12"/>
                <w:szCs w:val="12"/>
                <w:color w:val="auto"/>
              </w:rPr>
            </w:pPr>
          </w:p>
        </w:tc>
        <w:tc>
          <w:tcPr>
            <w:tcW w:w="54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w w:val="88"/>
              </w:rPr>
              <w:t>(#)</w:t>
            </w:r>
          </w:p>
        </w:tc>
        <w:tc>
          <w:tcPr>
            <w:tcW w:w="46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w:t>
            </w:r>
          </w:p>
        </w:tc>
        <w:tc>
          <w:tcPr>
            <w:tcW w:w="52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w w:val="88"/>
              </w:rPr>
              <w:t>(#)</w:t>
            </w:r>
          </w:p>
        </w:tc>
        <w:tc>
          <w:tcPr>
            <w:tcW w:w="20" w:type="dxa"/>
            <w:vAlign w:val="bottom"/>
            <w:tcBorders>
              <w:bottom w:val="single" w:sz="8" w:color="2952A4"/>
            </w:tcBorders>
          </w:tcPr>
          <w:p>
            <w:pPr>
              <w:spacing w:after="0"/>
              <w:rPr>
                <w:sz w:val="12"/>
                <w:szCs w:val="12"/>
                <w:color w:val="auto"/>
              </w:rPr>
            </w:pPr>
          </w:p>
        </w:tc>
        <w:tc>
          <w:tcPr>
            <w:tcW w:w="58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w w:val="88"/>
              </w:rPr>
              <w:t>(#)</w:t>
            </w:r>
          </w:p>
        </w:tc>
        <w:tc>
          <w:tcPr>
            <w:tcW w:w="600" w:type="dxa"/>
            <w:vAlign w:val="bottom"/>
            <w:tcBorders>
              <w:bottom w:val="single" w:sz="8" w:color="2952A4"/>
            </w:tcBorders>
          </w:tcPr>
          <w:p>
            <w:pPr>
              <w:jc w:val="center"/>
              <w:spacing w:after="0"/>
              <w:rPr>
                <w:sz w:val="20"/>
                <w:szCs w:val="20"/>
                <w:color w:val="auto"/>
              </w:rPr>
            </w:pPr>
            <w:r>
              <w:rPr>
                <w:rFonts w:ascii="Arial" w:cs="Arial" w:eastAsia="Arial" w:hAnsi="Arial"/>
                <w:sz w:val="11"/>
                <w:szCs w:val="11"/>
                <w:b w:val="1"/>
                <w:bCs w:val="1"/>
                <w:color w:val="2952A4"/>
              </w:rPr>
              <w:t>(#)</w:t>
            </w:r>
          </w:p>
        </w:tc>
        <w:tc>
          <w:tcPr>
            <w:tcW w:w="480" w:type="dxa"/>
            <w:vAlign w:val="bottom"/>
            <w:tcBorders>
              <w:bottom w:val="single" w:sz="8" w:color="2952A4"/>
            </w:tcBorders>
          </w:tcPr>
          <w:p>
            <w:pPr>
              <w:jc w:val="center"/>
              <w:spacing w:after="0" w:line="149" w:lineRule="exact"/>
              <w:rPr>
                <w:sz w:val="20"/>
                <w:szCs w:val="20"/>
                <w:color w:val="auto"/>
              </w:rPr>
            </w:pPr>
            <w:r>
              <w:rPr>
                <w:rFonts w:ascii="Arial" w:cs="Arial" w:eastAsia="Arial" w:hAnsi="Arial"/>
                <w:sz w:val="11"/>
                <w:szCs w:val="11"/>
                <w:b w:val="1"/>
                <w:bCs w:val="1"/>
                <w:color w:val="2952A4"/>
                <w:w w:val="97"/>
              </w:rPr>
              <w:t>($/Sh)</w:t>
            </w:r>
            <w:r>
              <w:rPr>
                <w:rFonts w:ascii="Arial" w:cs="Arial" w:eastAsia="Arial" w:hAnsi="Arial"/>
                <w:sz w:val="17"/>
                <w:szCs w:val="17"/>
                <w:b w:val="1"/>
                <w:bCs w:val="1"/>
                <w:color w:val="2952A4"/>
                <w:w w:val="97"/>
                <w:vertAlign w:val="superscript"/>
              </w:rPr>
              <w:t>3</w:t>
            </w:r>
          </w:p>
        </w:tc>
        <w:tc>
          <w:tcPr>
            <w:tcW w:w="580" w:type="dxa"/>
            <w:vAlign w:val="bottom"/>
            <w:tcBorders>
              <w:bottom w:val="single" w:sz="8" w:color="2952A4"/>
            </w:tcBorders>
          </w:tcPr>
          <w:p>
            <w:pPr>
              <w:jc w:val="center"/>
              <w:spacing w:after="0" w:line="149" w:lineRule="exact"/>
              <w:rPr>
                <w:sz w:val="20"/>
                <w:szCs w:val="20"/>
                <w:color w:val="auto"/>
              </w:rPr>
            </w:pPr>
            <w:r>
              <w:rPr>
                <w:rFonts w:ascii="Arial" w:cs="Arial" w:eastAsia="Arial" w:hAnsi="Arial"/>
                <w:sz w:val="11"/>
                <w:szCs w:val="11"/>
                <w:b w:val="1"/>
                <w:bCs w:val="1"/>
                <w:color w:val="2952A4"/>
                <w:w w:val="92"/>
              </w:rPr>
              <w:t>($/Sh)</w:t>
            </w:r>
            <w:r>
              <w:rPr>
                <w:rFonts w:ascii="Arial" w:cs="Arial" w:eastAsia="Arial" w:hAnsi="Arial"/>
                <w:sz w:val="17"/>
                <w:szCs w:val="17"/>
                <w:b w:val="1"/>
                <w:bCs w:val="1"/>
                <w:color w:val="2952A4"/>
                <w:w w:val="92"/>
                <w:vertAlign w:val="superscript"/>
              </w:rPr>
              <w:t>3</w:t>
            </w:r>
          </w:p>
        </w:tc>
        <w:tc>
          <w:tcPr>
            <w:tcW w:w="720" w:type="dxa"/>
            <w:vAlign w:val="bottom"/>
            <w:tcBorders>
              <w:bottom w:val="single" w:sz="8" w:color="2952A4"/>
            </w:tcBorders>
          </w:tcPr>
          <w:p>
            <w:pPr>
              <w:jc w:val="center"/>
              <w:spacing w:after="0" w:line="149" w:lineRule="exact"/>
              <w:rPr>
                <w:sz w:val="20"/>
                <w:szCs w:val="20"/>
                <w:color w:val="auto"/>
              </w:rPr>
            </w:pPr>
            <w:r>
              <w:rPr>
                <w:rFonts w:ascii="Arial" w:cs="Arial" w:eastAsia="Arial" w:hAnsi="Arial"/>
                <w:sz w:val="11"/>
                <w:szCs w:val="11"/>
                <w:b w:val="1"/>
                <w:bCs w:val="1"/>
                <w:color w:val="2952A4"/>
                <w:w w:val="90"/>
              </w:rPr>
              <w:t>($)</w:t>
            </w:r>
            <w:r>
              <w:rPr>
                <w:rFonts w:ascii="Arial" w:cs="Arial" w:eastAsia="Arial" w:hAnsi="Arial"/>
                <w:sz w:val="17"/>
                <w:szCs w:val="17"/>
                <w:b w:val="1"/>
                <w:bCs w:val="1"/>
                <w:color w:val="2952A4"/>
                <w:w w:val="90"/>
                <w:vertAlign w:val="superscript"/>
              </w:rPr>
              <w:t>4</w:t>
            </w:r>
          </w:p>
        </w:tc>
        <w:tc>
          <w:tcPr>
            <w:tcW w:w="0" w:type="dxa"/>
            <w:vAlign w:val="bottom"/>
          </w:tcPr>
          <w:p>
            <w:pPr>
              <w:spacing w:after="0"/>
              <w:rPr>
                <w:sz w:val="1"/>
                <w:szCs w:val="1"/>
                <w:color w:val="auto"/>
              </w:rPr>
            </w:pPr>
          </w:p>
        </w:tc>
      </w:tr>
      <w:tr>
        <w:trPr>
          <w:trHeight w:val="142"/>
        </w:trPr>
        <w:tc>
          <w:tcPr>
            <w:tcW w:w="900" w:type="dxa"/>
            <w:vAlign w:val="bottom"/>
          </w:tcPr>
          <w:p>
            <w:pPr>
              <w:ind w:left="40"/>
              <w:spacing w:after="0" w:line="129" w:lineRule="exact"/>
              <w:rPr>
                <w:sz w:val="20"/>
                <w:szCs w:val="20"/>
                <w:color w:val="auto"/>
              </w:rPr>
            </w:pPr>
            <w:r>
              <w:rPr>
                <w:rFonts w:ascii="Arial" w:cs="Arial" w:eastAsia="Arial" w:hAnsi="Arial"/>
                <w:sz w:val="13"/>
                <w:szCs w:val="13"/>
                <w:b w:val="1"/>
                <w:bCs w:val="1"/>
                <w:color w:val="C04C57"/>
              </w:rPr>
              <w:t>Leonard S.</w:t>
            </w:r>
          </w:p>
        </w:tc>
        <w:tc>
          <w:tcPr>
            <w:tcW w:w="40" w:type="dxa"/>
            <w:vAlign w:val="bottom"/>
          </w:tcPr>
          <w:p>
            <w:pPr>
              <w:spacing w:after="0"/>
              <w:rPr>
                <w:sz w:val="12"/>
                <w:szCs w:val="12"/>
                <w:color w:val="auto"/>
              </w:rPr>
            </w:pPr>
          </w:p>
        </w:tc>
        <w:tc>
          <w:tcPr>
            <w:tcW w:w="760" w:type="dxa"/>
            <w:vAlign w:val="bottom"/>
            <w:tcBorders>
              <w:bottom w:val="single" w:sz="8" w:color="auto"/>
            </w:tcBorders>
            <w:gridSpan w:val="2"/>
          </w:tcPr>
          <w:p>
            <w:pPr>
              <w:ind w:left="540"/>
              <w:spacing w:after="0" w:line="129" w:lineRule="exact"/>
              <w:rPr>
                <w:sz w:val="20"/>
                <w:szCs w:val="20"/>
                <w:color w:val="auto"/>
              </w:rPr>
            </w:pPr>
            <w:r>
              <w:rPr>
                <w:rFonts w:ascii="Arial" w:cs="Arial" w:eastAsia="Arial" w:hAnsi="Arial"/>
                <w:sz w:val="13"/>
                <w:szCs w:val="13"/>
                <w:color w:val="231F20"/>
              </w:rPr>
              <w:t>—</w:t>
            </w:r>
          </w:p>
        </w:tc>
        <w:tc>
          <w:tcPr>
            <w:tcW w:w="1900" w:type="dxa"/>
            <w:vAlign w:val="bottom"/>
            <w:tcBorders>
              <w:bottom w:val="single" w:sz="8" w:color="auto"/>
            </w:tcBorders>
            <w:gridSpan w:val="4"/>
          </w:tcPr>
          <w:p>
            <w:pPr>
              <w:jc w:val="right"/>
              <w:ind w:right="40"/>
              <w:spacing w:after="0" w:line="129" w:lineRule="exact"/>
              <w:rPr>
                <w:sz w:val="20"/>
                <w:szCs w:val="20"/>
                <w:color w:val="auto"/>
              </w:rPr>
            </w:pPr>
            <w:r>
              <w:rPr>
                <w:rFonts w:ascii="Arial" w:cs="Arial" w:eastAsia="Arial" w:hAnsi="Arial"/>
                <w:sz w:val="13"/>
                <w:szCs w:val="13"/>
                <w:color w:val="231F20"/>
              </w:rPr>
              <w:t>— 1,652,520 3,305,040</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3"/>
        </w:trPr>
        <w:tc>
          <w:tcPr>
            <w:tcW w:w="900" w:type="dxa"/>
            <w:vAlign w:val="bottom"/>
          </w:tcPr>
          <w:p>
            <w:pPr>
              <w:ind w:left="40"/>
              <w:spacing w:after="0" w:line="143" w:lineRule="exact"/>
              <w:rPr>
                <w:sz w:val="20"/>
                <w:szCs w:val="20"/>
                <w:color w:val="auto"/>
              </w:rPr>
            </w:pPr>
            <w:r>
              <w:rPr>
                <w:rFonts w:ascii="Arial" w:cs="Arial" w:eastAsia="Arial" w:hAnsi="Arial"/>
                <w:sz w:val="13"/>
                <w:szCs w:val="13"/>
                <w:b w:val="1"/>
                <w:bCs w:val="1"/>
                <w:color w:val="C04C57"/>
              </w:rPr>
              <w:t>Schleifer,</w:t>
            </w:r>
          </w:p>
        </w:tc>
        <w:tc>
          <w:tcPr>
            <w:tcW w:w="40" w:type="dxa"/>
            <w:vAlign w:val="bottom"/>
          </w:tcPr>
          <w:p>
            <w:pPr>
              <w:spacing w:after="0"/>
              <w:rPr>
                <w:sz w:val="12"/>
                <w:szCs w:val="12"/>
                <w:color w:val="auto"/>
              </w:rPr>
            </w:pPr>
          </w:p>
        </w:tc>
        <w:tc>
          <w:tcPr>
            <w:tcW w:w="760" w:type="dxa"/>
            <w:vAlign w:val="bottom"/>
            <w:gridSpan w:val="2"/>
          </w:tcPr>
          <w:p>
            <w:pPr>
              <w:spacing w:after="0" w:line="143" w:lineRule="exact"/>
              <w:rPr>
                <w:sz w:val="20"/>
                <w:szCs w:val="20"/>
                <w:color w:val="auto"/>
              </w:rPr>
            </w:pPr>
            <w:r>
              <w:rPr>
                <w:rFonts w:ascii="Arial" w:cs="Arial" w:eastAsia="Arial" w:hAnsi="Arial"/>
                <w:sz w:val="11"/>
                <w:szCs w:val="11"/>
                <w:color w:val="231F20"/>
              </w:rPr>
              <w:t>12/11/2019</w:t>
            </w:r>
            <w:r>
              <w:rPr>
                <w:rFonts w:ascii="Arial" w:cs="Arial" w:eastAsia="Arial" w:hAnsi="Arial"/>
                <w:sz w:val="16"/>
                <w:szCs w:val="16"/>
                <w:color w:val="000000"/>
                <w:vertAlign w:val="superscript"/>
              </w:rPr>
              <w:t>5</w:t>
            </w:r>
          </w:p>
        </w:tc>
        <w:tc>
          <w:tcPr>
            <w:tcW w:w="620" w:type="dxa"/>
            <w:vAlign w:val="bottom"/>
          </w:tcPr>
          <w:p>
            <w:pPr>
              <w:jc w:val="right"/>
              <w:ind w:right="17"/>
              <w:spacing w:after="0" w:line="143" w:lineRule="exact"/>
              <w:rPr>
                <w:sz w:val="20"/>
                <w:szCs w:val="20"/>
                <w:color w:val="auto"/>
              </w:rPr>
            </w:pPr>
            <w:r>
              <w:rPr>
                <w:rFonts w:ascii="Arial" w:cs="Arial" w:eastAsia="Arial" w:hAnsi="Arial"/>
                <w:sz w:val="13"/>
                <w:szCs w:val="13"/>
                <w:color w:val="231F20"/>
              </w:rPr>
              <w:t>—</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231F20"/>
              </w:rPr>
              <w:t>—</w:t>
            </w:r>
          </w:p>
        </w:tc>
        <w:tc>
          <w:tcPr>
            <w:tcW w:w="6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231F20"/>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231F20"/>
              </w:rPr>
              <w:t>—</w:t>
            </w: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231F20"/>
              </w:rPr>
              <w:t>—</w:t>
            </w:r>
          </w:p>
        </w:tc>
        <w:tc>
          <w:tcPr>
            <w:tcW w:w="5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231F20"/>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231F20"/>
              </w:rPr>
              <w:t>—</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231F20"/>
              </w:rPr>
              <w:t>81,278</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231F20"/>
              </w:rPr>
              <w:t>372.46</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231F20"/>
              </w:rPr>
              <w:t>373.53</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231F20"/>
              </w:rPr>
              <w:t>11,699,586</w:t>
            </w:r>
          </w:p>
        </w:tc>
        <w:tc>
          <w:tcPr>
            <w:tcW w:w="0" w:type="dxa"/>
            <w:vAlign w:val="bottom"/>
          </w:tcPr>
          <w:p>
            <w:pPr>
              <w:spacing w:after="0"/>
              <w:rPr>
                <w:sz w:val="1"/>
                <w:szCs w:val="1"/>
                <w:color w:val="auto"/>
              </w:rPr>
            </w:pPr>
          </w:p>
        </w:tc>
      </w:tr>
      <w:tr>
        <w:trPr>
          <w:trHeight w:val="26"/>
        </w:trPr>
        <w:tc>
          <w:tcPr>
            <w:tcW w:w="900" w:type="dxa"/>
            <w:vAlign w:val="bottom"/>
            <w:vMerge w:val="restart"/>
          </w:tcPr>
          <w:p>
            <w:pPr>
              <w:ind w:left="40"/>
              <w:spacing w:after="0"/>
              <w:rPr>
                <w:sz w:val="20"/>
                <w:szCs w:val="20"/>
                <w:color w:val="auto"/>
              </w:rPr>
            </w:pPr>
            <w:r>
              <w:rPr>
                <w:rFonts w:ascii="Arial" w:cs="Arial" w:eastAsia="Arial" w:hAnsi="Arial"/>
                <w:sz w:val="13"/>
                <w:szCs w:val="13"/>
                <w:b w:val="1"/>
                <w:bCs w:val="1"/>
                <w:color w:val="C04C57"/>
              </w:rPr>
              <w:t>M.D., Ph.D.</w:t>
            </w:r>
          </w:p>
        </w:tc>
        <w:tc>
          <w:tcPr>
            <w:tcW w:w="4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3"/>
                <w:szCs w:val="13"/>
                <w:color w:val="231F20"/>
              </w:rPr>
              <w:t>12/11/2019</w:t>
            </w:r>
          </w:p>
        </w:tc>
        <w:tc>
          <w:tcPr>
            <w:tcW w:w="6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5,590</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11,180</w:t>
            </w: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231F20"/>
              </w:rPr>
              <w:t>25,155</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4,983,226</w:t>
            </w:r>
          </w:p>
        </w:tc>
        <w:tc>
          <w:tcPr>
            <w:tcW w:w="0" w:type="dxa"/>
            <w:vAlign w:val="bottom"/>
          </w:tcPr>
          <w:p>
            <w:pPr>
              <w:spacing w:after="0"/>
              <w:rPr>
                <w:sz w:val="1"/>
                <w:szCs w:val="1"/>
                <w:color w:val="auto"/>
              </w:rPr>
            </w:pPr>
          </w:p>
        </w:tc>
      </w:tr>
      <w:tr>
        <w:trPr>
          <w:trHeight w:val="142"/>
        </w:trPr>
        <w:tc>
          <w:tcPr>
            <w:tcW w:w="900" w:type="dxa"/>
            <w:vAlign w:val="bottom"/>
            <w:tcBorders>
              <w:bottom w:val="single" w:sz="8" w:color="EAEAEC"/>
            </w:tcBorders>
            <w:shd w:val="clear" w:color="auto" w:fill="EAEAEC"/>
          </w:tcPr>
          <w:p>
            <w:pPr>
              <w:ind w:left="40"/>
              <w:spacing w:after="0" w:line="129" w:lineRule="exact"/>
              <w:rPr>
                <w:sz w:val="20"/>
                <w:szCs w:val="20"/>
                <w:color w:val="auto"/>
              </w:rPr>
            </w:pPr>
            <w:r>
              <w:rPr>
                <w:rFonts w:ascii="Arial" w:cs="Arial" w:eastAsia="Arial" w:hAnsi="Arial"/>
                <w:sz w:val="13"/>
                <w:szCs w:val="13"/>
                <w:b w:val="1"/>
                <w:bCs w:val="1"/>
                <w:color w:val="C04C57"/>
              </w:rPr>
              <w:t>George D.</w:t>
            </w:r>
          </w:p>
        </w:tc>
        <w:tc>
          <w:tcPr>
            <w:tcW w:w="40" w:type="dxa"/>
            <w:vAlign w:val="bottom"/>
            <w:tcBorders>
              <w:bottom w:val="single" w:sz="8" w:color="EAEAEC"/>
            </w:tcBorders>
            <w:shd w:val="clear" w:color="auto" w:fill="EAEAEC"/>
          </w:tcPr>
          <w:p>
            <w:pPr>
              <w:spacing w:after="0"/>
              <w:rPr>
                <w:sz w:val="12"/>
                <w:szCs w:val="12"/>
                <w:color w:val="auto"/>
              </w:rPr>
            </w:pPr>
          </w:p>
        </w:tc>
        <w:tc>
          <w:tcPr>
            <w:tcW w:w="760" w:type="dxa"/>
            <w:vAlign w:val="bottom"/>
            <w:tcBorders>
              <w:bottom w:val="single" w:sz="8" w:color="auto"/>
            </w:tcBorders>
            <w:gridSpan w:val="2"/>
            <w:shd w:val="clear" w:color="auto" w:fill="EAEAEC"/>
          </w:tcPr>
          <w:p>
            <w:pPr>
              <w:ind w:left="540"/>
              <w:spacing w:after="0" w:line="129" w:lineRule="exact"/>
              <w:rPr>
                <w:sz w:val="20"/>
                <w:szCs w:val="20"/>
                <w:color w:val="auto"/>
              </w:rPr>
            </w:pPr>
            <w:r>
              <w:rPr>
                <w:rFonts w:ascii="Arial" w:cs="Arial" w:eastAsia="Arial" w:hAnsi="Arial"/>
                <w:sz w:val="13"/>
                <w:szCs w:val="13"/>
                <w:color w:val="231F20"/>
              </w:rPr>
              <w:t>—</w:t>
            </w:r>
          </w:p>
        </w:tc>
        <w:tc>
          <w:tcPr>
            <w:tcW w:w="1900" w:type="dxa"/>
            <w:vAlign w:val="bottom"/>
            <w:tcBorders>
              <w:bottom w:val="single" w:sz="8" w:color="auto"/>
            </w:tcBorders>
            <w:gridSpan w:val="4"/>
            <w:shd w:val="clear" w:color="auto" w:fill="EAEAEC"/>
          </w:tcPr>
          <w:p>
            <w:pPr>
              <w:jc w:val="right"/>
              <w:ind w:right="40"/>
              <w:spacing w:after="0" w:line="129" w:lineRule="exact"/>
              <w:rPr>
                <w:sz w:val="20"/>
                <w:szCs w:val="20"/>
                <w:color w:val="auto"/>
              </w:rPr>
            </w:pPr>
            <w:r>
              <w:rPr>
                <w:rFonts w:ascii="Arial" w:cs="Arial" w:eastAsia="Arial" w:hAnsi="Arial"/>
                <w:sz w:val="13"/>
                <w:szCs w:val="13"/>
                <w:color w:val="231F20"/>
              </w:rPr>
              <w:t>— 1,404,600 2,809,200</w:t>
            </w:r>
          </w:p>
        </w:tc>
        <w:tc>
          <w:tcPr>
            <w:tcW w:w="54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shd w:val="clear" w:color="auto" w:fill="EAEAEC"/>
          </w:tcPr>
          <w:p>
            <w:pPr>
              <w:jc w:val="right"/>
              <w:ind w:right="20"/>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shd w:val="clear" w:color="auto" w:fill="EAEAEC"/>
          </w:tcPr>
          <w:p>
            <w:pPr>
              <w:jc w:val="right"/>
              <w:spacing w:after="0" w:line="129"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74"/>
        </w:trPr>
        <w:tc>
          <w:tcPr>
            <w:tcW w:w="940" w:type="dxa"/>
            <w:vAlign w:val="bottom"/>
            <w:tcBorders>
              <w:bottom w:val="single" w:sz="8" w:color="EAEAEC"/>
            </w:tcBorders>
            <w:gridSpan w:val="2"/>
            <w:shd w:val="clear" w:color="auto" w:fill="EAEAEC"/>
          </w:tcPr>
          <w:p>
            <w:pPr>
              <w:ind w:left="40"/>
              <w:spacing w:after="0" w:line="143" w:lineRule="exact"/>
              <w:rPr>
                <w:sz w:val="20"/>
                <w:szCs w:val="20"/>
                <w:color w:val="auto"/>
              </w:rPr>
            </w:pPr>
            <w:r>
              <w:rPr>
                <w:rFonts w:ascii="Arial" w:cs="Arial" w:eastAsia="Arial" w:hAnsi="Arial"/>
                <w:sz w:val="13"/>
                <w:szCs w:val="13"/>
                <w:b w:val="1"/>
                <w:bCs w:val="1"/>
                <w:color w:val="C04C57"/>
              </w:rPr>
              <w:t>Yancopoulos,</w:t>
            </w:r>
          </w:p>
        </w:tc>
        <w:tc>
          <w:tcPr>
            <w:tcW w:w="660" w:type="dxa"/>
            <w:vAlign w:val="bottom"/>
            <w:tcBorders>
              <w:bottom w:val="single" w:sz="8" w:color="EAEAEC"/>
            </w:tcBorders>
            <w:shd w:val="clear" w:color="auto" w:fill="EAEAEC"/>
          </w:tcPr>
          <w:p>
            <w:pPr>
              <w:spacing w:after="0" w:line="143" w:lineRule="exact"/>
              <w:rPr>
                <w:sz w:val="20"/>
                <w:szCs w:val="20"/>
                <w:color w:val="auto"/>
              </w:rPr>
            </w:pPr>
            <w:r>
              <w:rPr>
                <w:rFonts w:ascii="Arial" w:cs="Arial" w:eastAsia="Arial" w:hAnsi="Arial"/>
                <w:sz w:val="13"/>
                <w:szCs w:val="13"/>
                <w:color w:val="231F20"/>
                <w:w w:val="98"/>
              </w:rPr>
              <w:t>12/11/2019</w:t>
            </w:r>
          </w:p>
        </w:tc>
        <w:tc>
          <w:tcPr>
            <w:tcW w:w="100" w:type="dxa"/>
            <w:vAlign w:val="bottom"/>
            <w:tcBorders>
              <w:bottom w:val="single" w:sz="8" w:color="EAEAEC"/>
            </w:tcBorders>
            <w:shd w:val="clear" w:color="auto" w:fill="EAEAEC"/>
          </w:tcPr>
          <w:p>
            <w:pPr>
              <w:jc w:val="right"/>
              <w:spacing w:after="0"/>
              <w:rPr>
                <w:sz w:val="20"/>
                <w:szCs w:val="20"/>
                <w:color w:val="auto"/>
              </w:rPr>
            </w:pPr>
            <w:r>
              <w:rPr>
                <w:rFonts w:ascii="Arial" w:cs="Arial" w:eastAsia="Arial" w:hAnsi="Arial"/>
                <w:sz w:val="10"/>
                <w:szCs w:val="10"/>
                <w:color w:val="auto"/>
                <w:w w:val="71"/>
              </w:rPr>
              <w:t>5</w:t>
            </w:r>
          </w:p>
        </w:tc>
        <w:tc>
          <w:tcPr>
            <w:tcW w:w="620" w:type="dxa"/>
            <w:vAlign w:val="bottom"/>
            <w:tcBorders>
              <w:bottom w:val="single" w:sz="8" w:color="EAEAEC"/>
            </w:tcBorders>
            <w:shd w:val="clear" w:color="auto" w:fill="EAEAEC"/>
          </w:tcPr>
          <w:p>
            <w:pPr>
              <w:jc w:val="right"/>
              <w:ind w:right="17"/>
              <w:spacing w:after="0" w:line="143"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EAEAEC"/>
            </w:tcBorders>
            <w:gridSpan w:val="2"/>
            <w:shd w:val="clear" w:color="auto" w:fill="EAEAEC"/>
          </w:tcPr>
          <w:p>
            <w:pPr>
              <w:jc w:val="right"/>
              <w:ind w:right="40"/>
              <w:spacing w:after="0" w:line="143"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w:t>
            </w:r>
          </w:p>
        </w:tc>
        <w:tc>
          <w:tcPr>
            <w:tcW w:w="46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EAEAEC"/>
            </w:tcBorders>
            <w:gridSpan w:val="2"/>
            <w:shd w:val="clear" w:color="auto" w:fill="EAEAEC"/>
          </w:tcPr>
          <w:p>
            <w:pPr>
              <w:jc w:val="right"/>
              <w:ind w:right="20"/>
              <w:spacing w:after="0" w:line="143"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81,278</w:t>
            </w:r>
          </w:p>
        </w:tc>
        <w:tc>
          <w:tcPr>
            <w:tcW w:w="48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372.46</w:t>
            </w:r>
          </w:p>
        </w:tc>
        <w:tc>
          <w:tcPr>
            <w:tcW w:w="58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373.53</w:t>
            </w:r>
          </w:p>
        </w:tc>
        <w:tc>
          <w:tcPr>
            <w:tcW w:w="720" w:type="dxa"/>
            <w:vAlign w:val="bottom"/>
            <w:tcBorders>
              <w:bottom w:val="single" w:sz="8" w:color="EAEAEC"/>
            </w:tcBorders>
            <w:shd w:val="clear" w:color="auto" w:fill="EAEAEC"/>
          </w:tcPr>
          <w:p>
            <w:pPr>
              <w:jc w:val="right"/>
              <w:spacing w:after="0" w:line="143" w:lineRule="exact"/>
              <w:rPr>
                <w:sz w:val="20"/>
                <w:szCs w:val="20"/>
                <w:color w:val="auto"/>
              </w:rPr>
            </w:pPr>
            <w:r>
              <w:rPr>
                <w:rFonts w:ascii="Arial" w:cs="Arial" w:eastAsia="Arial" w:hAnsi="Arial"/>
                <w:sz w:val="13"/>
                <w:szCs w:val="13"/>
                <w:color w:val="231F20"/>
              </w:rPr>
              <w:t>11,699,586</w:t>
            </w:r>
          </w:p>
        </w:tc>
        <w:tc>
          <w:tcPr>
            <w:tcW w:w="0" w:type="dxa"/>
            <w:vAlign w:val="bottom"/>
          </w:tcPr>
          <w:p>
            <w:pPr>
              <w:spacing w:after="0"/>
              <w:rPr>
                <w:sz w:val="1"/>
                <w:szCs w:val="1"/>
                <w:color w:val="auto"/>
              </w:rPr>
            </w:pPr>
          </w:p>
        </w:tc>
      </w:tr>
      <w:tr>
        <w:trPr>
          <w:trHeight w:val="142"/>
        </w:trPr>
        <w:tc>
          <w:tcPr>
            <w:tcW w:w="900" w:type="dxa"/>
            <w:vAlign w:val="bottom"/>
            <w:tcBorders>
              <w:top w:val="single" w:sz="8" w:color="EAEAEC"/>
              <w:bottom w:val="single" w:sz="8" w:color="auto"/>
            </w:tcBorders>
            <w:shd w:val="clear" w:color="auto" w:fill="EAEAEC"/>
          </w:tcPr>
          <w:p>
            <w:pPr>
              <w:ind w:left="40"/>
              <w:spacing w:after="0" w:line="126" w:lineRule="exact"/>
              <w:rPr>
                <w:sz w:val="20"/>
                <w:szCs w:val="20"/>
                <w:color w:val="auto"/>
              </w:rPr>
            </w:pPr>
            <w:r>
              <w:rPr>
                <w:rFonts w:ascii="Arial" w:cs="Arial" w:eastAsia="Arial" w:hAnsi="Arial"/>
                <w:sz w:val="13"/>
                <w:szCs w:val="13"/>
                <w:b w:val="1"/>
                <w:bCs w:val="1"/>
                <w:color w:val="C04C57"/>
              </w:rPr>
              <w:t>M.D., Ph.D.</w:t>
            </w:r>
          </w:p>
        </w:tc>
        <w:tc>
          <w:tcPr>
            <w:tcW w:w="40" w:type="dxa"/>
            <w:vAlign w:val="bottom"/>
            <w:tcBorders>
              <w:top w:val="single" w:sz="8" w:color="EAEAEC"/>
              <w:bottom w:val="single" w:sz="8" w:color="auto"/>
            </w:tcBorders>
            <w:shd w:val="clear" w:color="auto" w:fill="EAEAEC"/>
          </w:tcPr>
          <w:p>
            <w:pPr>
              <w:spacing w:after="0"/>
              <w:rPr>
                <w:sz w:val="12"/>
                <w:szCs w:val="12"/>
                <w:color w:val="auto"/>
              </w:rPr>
            </w:pPr>
          </w:p>
        </w:tc>
        <w:tc>
          <w:tcPr>
            <w:tcW w:w="660" w:type="dxa"/>
            <w:vAlign w:val="bottom"/>
            <w:tcBorders>
              <w:top w:val="single" w:sz="8" w:color="auto"/>
              <w:bottom w:val="single" w:sz="8" w:color="auto"/>
            </w:tcBorders>
            <w:shd w:val="clear" w:color="auto" w:fill="EAEAEC"/>
          </w:tcPr>
          <w:p>
            <w:pPr>
              <w:spacing w:after="0" w:line="142" w:lineRule="exact"/>
              <w:rPr>
                <w:sz w:val="20"/>
                <w:szCs w:val="20"/>
                <w:color w:val="auto"/>
              </w:rPr>
            </w:pPr>
            <w:r>
              <w:rPr>
                <w:rFonts w:ascii="Arial" w:cs="Arial" w:eastAsia="Arial" w:hAnsi="Arial"/>
                <w:sz w:val="13"/>
                <w:szCs w:val="13"/>
                <w:color w:val="231F20"/>
                <w:w w:val="98"/>
              </w:rPr>
              <w:t>12/11/2019</w:t>
            </w:r>
          </w:p>
        </w:tc>
        <w:tc>
          <w:tcPr>
            <w:tcW w:w="100" w:type="dxa"/>
            <w:vAlign w:val="bottom"/>
            <w:tcBorders>
              <w:top w:val="single" w:sz="8" w:color="auto"/>
              <w:bottom w:val="single" w:sz="8" w:color="auto"/>
            </w:tcBorders>
            <w:shd w:val="clear" w:color="auto" w:fill="EAEAEC"/>
          </w:tcPr>
          <w:p>
            <w:pPr>
              <w:spacing w:after="0"/>
              <w:rPr>
                <w:sz w:val="12"/>
                <w:szCs w:val="12"/>
                <w:color w:val="auto"/>
              </w:rPr>
            </w:pPr>
          </w:p>
        </w:tc>
        <w:tc>
          <w:tcPr>
            <w:tcW w:w="620" w:type="dxa"/>
            <w:vAlign w:val="bottom"/>
            <w:tcBorders>
              <w:top w:val="single" w:sz="8" w:color="auto"/>
              <w:bottom w:val="single" w:sz="8" w:color="auto"/>
            </w:tcBorders>
            <w:shd w:val="clear" w:color="auto" w:fill="EAEAEC"/>
          </w:tcPr>
          <w:p>
            <w:pPr>
              <w:jc w:val="right"/>
              <w:ind w:right="17"/>
              <w:spacing w:after="0" w:line="142" w:lineRule="exact"/>
              <w:rPr>
                <w:sz w:val="20"/>
                <w:szCs w:val="20"/>
                <w:color w:val="auto"/>
              </w:rPr>
            </w:pPr>
            <w:r>
              <w:rPr>
                <w:rFonts w:ascii="Arial" w:cs="Arial" w:eastAsia="Arial" w:hAnsi="Arial"/>
                <w:sz w:val="13"/>
                <w:szCs w:val="13"/>
                <w:color w:val="231F20"/>
              </w:rPr>
              <w:t>—</w:t>
            </w:r>
          </w:p>
        </w:tc>
        <w:tc>
          <w:tcPr>
            <w:tcW w:w="64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640" w:type="dxa"/>
            <w:vAlign w:val="bottom"/>
            <w:tcBorders>
              <w:top w:val="single" w:sz="8" w:color="auto"/>
              <w:bottom w:val="single" w:sz="8" w:color="auto"/>
            </w:tcBorders>
            <w:gridSpan w:val="2"/>
            <w:shd w:val="clear" w:color="auto" w:fill="EAEAEC"/>
          </w:tcPr>
          <w:p>
            <w:pPr>
              <w:jc w:val="right"/>
              <w:ind w:right="40"/>
              <w:spacing w:after="0" w:line="142" w:lineRule="exact"/>
              <w:rPr>
                <w:sz w:val="20"/>
                <w:szCs w:val="20"/>
                <w:color w:val="auto"/>
              </w:rPr>
            </w:pPr>
            <w:r>
              <w:rPr>
                <w:rFonts w:ascii="Arial" w:cs="Arial" w:eastAsia="Arial" w:hAnsi="Arial"/>
                <w:sz w:val="13"/>
                <w:szCs w:val="13"/>
                <w:color w:val="231F20"/>
              </w:rPr>
              <w:t>—</w:t>
            </w:r>
          </w:p>
        </w:tc>
        <w:tc>
          <w:tcPr>
            <w:tcW w:w="54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5,590</w:t>
            </w:r>
          </w:p>
        </w:tc>
        <w:tc>
          <w:tcPr>
            <w:tcW w:w="46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11,180</w:t>
            </w:r>
          </w:p>
        </w:tc>
        <w:tc>
          <w:tcPr>
            <w:tcW w:w="540" w:type="dxa"/>
            <w:vAlign w:val="bottom"/>
            <w:tcBorders>
              <w:top w:val="single" w:sz="8" w:color="auto"/>
              <w:bottom w:val="single" w:sz="8" w:color="auto"/>
            </w:tcBorders>
            <w:gridSpan w:val="2"/>
            <w:shd w:val="clear" w:color="auto" w:fill="EAEAEC"/>
          </w:tcPr>
          <w:p>
            <w:pPr>
              <w:jc w:val="right"/>
              <w:ind w:right="20"/>
              <w:spacing w:after="0" w:line="142" w:lineRule="exact"/>
              <w:rPr>
                <w:sz w:val="20"/>
                <w:szCs w:val="20"/>
                <w:color w:val="auto"/>
              </w:rPr>
            </w:pPr>
            <w:r>
              <w:rPr>
                <w:rFonts w:ascii="Arial" w:cs="Arial" w:eastAsia="Arial" w:hAnsi="Arial"/>
                <w:sz w:val="13"/>
                <w:szCs w:val="13"/>
                <w:color w:val="231F20"/>
              </w:rPr>
              <w:t>25,155</w:t>
            </w:r>
          </w:p>
        </w:tc>
        <w:tc>
          <w:tcPr>
            <w:tcW w:w="58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60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48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58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720" w:type="dxa"/>
            <w:vAlign w:val="bottom"/>
            <w:tcBorders>
              <w:top w:val="single" w:sz="8" w:color="auto"/>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4,983,226</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3"/>
                <w:szCs w:val="13"/>
                <w:color w:val="231F20"/>
              </w:rPr>
              <w:t>—</w:t>
            </w:r>
          </w:p>
        </w:tc>
        <w:tc>
          <w:tcPr>
            <w:tcW w:w="6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474,500</w:t>
            </w:r>
          </w:p>
        </w:tc>
        <w:tc>
          <w:tcPr>
            <w:tcW w:w="6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color w:val="231F20"/>
              </w:rPr>
              <w:t>854,100</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900" w:type="dxa"/>
            <w:vAlign w:val="bottom"/>
          </w:tcPr>
          <w:p>
            <w:pPr>
              <w:ind w:left="40"/>
              <w:spacing w:after="0"/>
              <w:rPr>
                <w:sz w:val="20"/>
                <w:szCs w:val="20"/>
                <w:color w:val="auto"/>
              </w:rPr>
            </w:pPr>
            <w:r>
              <w:rPr>
                <w:rFonts w:ascii="Arial" w:cs="Arial" w:eastAsia="Arial" w:hAnsi="Arial"/>
                <w:sz w:val="13"/>
                <w:szCs w:val="13"/>
                <w:b w:val="1"/>
                <w:bCs w:val="1"/>
                <w:color w:val="C04C57"/>
              </w:rPr>
              <w:t>Robert E.</w:t>
            </w: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2"/>
                <w:szCs w:val="12"/>
                <w:color w:val="231F20"/>
              </w:rPr>
              <w:t>12/11/2019</w:t>
            </w:r>
            <w:r>
              <w:rPr>
                <w:rFonts w:ascii="Arial" w:cs="Arial" w:eastAsia="Arial" w:hAnsi="Arial"/>
                <w:sz w:val="19"/>
                <w:szCs w:val="19"/>
                <w:color w:val="000000"/>
                <w:vertAlign w:val="superscript"/>
              </w:rPr>
              <w:t>5</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24,500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372.46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373.53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3,526,669</w:t>
            </w:r>
          </w:p>
        </w:tc>
        <w:tc>
          <w:tcPr>
            <w:tcW w:w="0" w:type="dxa"/>
            <w:vAlign w:val="bottom"/>
          </w:tcPr>
          <w:p>
            <w:pPr>
              <w:spacing w:after="0"/>
              <w:rPr>
                <w:sz w:val="1"/>
                <w:szCs w:val="1"/>
                <w:color w:val="auto"/>
              </w:rPr>
            </w:pPr>
          </w:p>
        </w:tc>
      </w:tr>
      <w:tr>
        <w:trPr>
          <w:trHeight w:val="169"/>
        </w:trPr>
        <w:tc>
          <w:tcPr>
            <w:tcW w:w="900" w:type="dxa"/>
            <w:vAlign w:val="bottom"/>
          </w:tcPr>
          <w:p>
            <w:pPr>
              <w:ind w:left="40"/>
              <w:spacing w:after="0"/>
              <w:rPr>
                <w:sz w:val="20"/>
                <w:szCs w:val="20"/>
                <w:color w:val="auto"/>
              </w:rPr>
            </w:pPr>
            <w:r>
              <w:rPr>
                <w:rFonts w:ascii="Arial" w:cs="Arial" w:eastAsia="Arial" w:hAnsi="Arial"/>
                <w:sz w:val="13"/>
                <w:szCs w:val="13"/>
                <w:b w:val="1"/>
                <w:bCs w:val="1"/>
                <w:color w:val="C04C57"/>
              </w:rPr>
              <w:t>Landry</w:t>
            </w: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2"/>
                <w:szCs w:val="12"/>
                <w:color w:val="231F20"/>
              </w:rPr>
              <w:t>12/11/2019</w:t>
            </w:r>
            <w:r>
              <w:rPr>
                <w:rFonts w:ascii="Arial" w:cs="Arial" w:eastAsia="Arial" w:hAnsi="Arial"/>
                <w:sz w:val="19"/>
                <w:szCs w:val="19"/>
                <w:color w:val="000000"/>
                <w:vertAlign w:val="superscript"/>
              </w:rPr>
              <w:t>6</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2,625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977,708</w:t>
            </w:r>
          </w:p>
        </w:tc>
        <w:tc>
          <w:tcPr>
            <w:tcW w:w="0" w:type="dxa"/>
            <w:vAlign w:val="bottom"/>
          </w:tcPr>
          <w:p>
            <w:pPr>
              <w:spacing w:after="0"/>
              <w:rPr>
                <w:sz w:val="1"/>
                <w:szCs w:val="1"/>
                <w:color w:val="auto"/>
              </w:rPr>
            </w:pPr>
          </w:p>
        </w:tc>
      </w:tr>
      <w:tr>
        <w:trPr>
          <w:trHeight w:val="169"/>
        </w:trPr>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2"/>
                <w:szCs w:val="12"/>
                <w:color w:val="231F20"/>
              </w:rPr>
              <w:t>12/11/2019</w:t>
            </w:r>
            <w:r>
              <w:rPr>
                <w:rFonts w:ascii="Arial" w:cs="Arial" w:eastAsia="Arial" w:hAnsi="Arial"/>
                <w:sz w:val="19"/>
                <w:szCs w:val="19"/>
                <w:color w:val="000000"/>
                <w:vertAlign w:val="superscript"/>
              </w:rPr>
              <w:t>7</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5,000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1,862,300</w:t>
            </w:r>
          </w:p>
        </w:tc>
        <w:tc>
          <w:tcPr>
            <w:tcW w:w="0" w:type="dxa"/>
            <w:vAlign w:val="bottom"/>
          </w:tcPr>
          <w:p>
            <w:pPr>
              <w:spacing w:after="0"/>
              <w:rPr>
                <w:sz w:val="1"/>
                <w:szCs w:val="1"/>
                <w:color w:val="auto"/>
              </w:rPr>
            </w:pPr>
          </w:p>
        </w:tc>
      </w:tr>
      <w:tr>
        <w:trPr>
          <w:trHeight w:val="142"/>
        </w:trPr>
        <w:tc>
          <w:tcPr>
            <w:tcW w:w="900" w:type="dxa"/>
            <w:vAlign w:val="bottom"/>
            <w:tcBorders>
              <w:bottom w:val="single" w:sz="8" w:color="EAEAEC"/>
            </w:tcBorders>
            <w:shd w:val="clear" w:color="auto" w:fill="EAEAEC"/>
          </w:tcPr>
          <w:p>
            <w:pPr>
              <w:spacing w:after="0"/>
              <w:rPr>
                <w:sz w:val="12"/>
                <w:szCs w:val="12"/>
                <w:color w:val="auto"/>
              </w:rPr>
            </w:pPr>
          </w:p>
        </w:tc>
        <w:tc>
          <w:tcPr>
            <w:tcW w:w="40" w:type="dxa"/>
            <w:vAlign w:val="bottom"/>
            <w:tcBorders>
              <w:bottom w:val="single" w:sz="8" w:color="EAEAEC"/>
            </w:tcBorders>
            <w:shd w:val="clear" w:color="auto" w:fill="EAEAEC"/>
          </w:tcPr>
          <w:p>
            <w:pPr>
              <w:spacing w:after="0"/>
              <w:rPr>
                <w:sz w:val="12"/>
                <w:szCs w:val="12"/>
                <w:color w:val="auto"/>
              </w:rPr>
            </w:pPr>
          </w:p>
        </w:tc>
        <w:tc>
          <w:tcPr>
            <w:tcW w:w="760" w:type="dxa"/>
            <w:vAlign w:val="bottom"/>
            <w:tcBorders>
              <w:bottom w:val="single" w:sz="8" w:color="auto"/>
            </w:tcBorders>
            <w:gridSpan w:val="2"/>
            <w:shd w:val="clear" w:color="auto" w:fill="EAEAEC"/>
          </w:tcPr>
          <w:p>
            <w:pPr>
              <w:ind w:left="540"/>
              <w:spacing w:after="0" w:line="142" w:lineRule="exact"/>
              <w:rPr>
                <w:sz w:val="20"/>
                <w:szCs w:val="20"/>
                <w:color w:val="auto"/>
              </w:rPr>
            </w:pPr>
            <w:r>
              <w:rPr>
                <w:rFonts w:ascii="Arial" w:cs="Arial" w:eastAsia="Arial" w:hAnsi="Arial"/>
                <w:sz w:val="13"/>
                <w:szCs w:val="13"/>
                <w:color w:val="231F20"/>
              </w:rPr>
              <w:t>—</w:t>
            </w:r>
          </w:p>
        </w:tc>
        <w:tc>
          <w:tcPr>
            <w:tcW w:w="620" w:type="dxa"/>
            <w:vAlign w:val="bottom"/>
            <w:tcBorders>
              <w:bottom w:val="single" w:sz="8" w:color="auto"/>
            </w:tcBorders>
            <w:shd w:val="clear" w:color="auto" w:fill="EAEAEC"/>
          </w:tcPr>
          <w:p>
            <w:pPr>
              <w:jc w:val="right"/>
              <w:ind w:right="17"/>
              <w:spacing w:after="0" w:line="142"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444,015</w:t>
            </w:r>
          </w:p>
        </w:tc>
        <w:tc>
          <w:tcPr>
            <w:tcW w:w="640" w:type="dxa"/>
            <w:vAlign w:val="bottom"/>
            <w:tcBorders>
              <w:bottom w:val="single" w:sz="8" w:color="auto"/>
            </w:tcBorders>
            <w:gridSpan w:val="2"/>
            <w:shd w:val="clear" w:color="auto" w:fill="EAEAEC"/>
          </w:tcPr>
          <w:p>
            <w:pPr>
              <w:jc w:val="right"/>
              <w:ind w:right="40"/>
              <w:spacing w:after="0" w:line="142" w:lineRule="exact"/>
              <w:rPr>
                <w:sz w:val="20"/>
                <w:szCs w:val="20"/>
                <w:color w:val="auto"/>
              </w:rPr>
            </w:pPr>
            <w:r>
              <w:rPr>
                <w:rFonts w:ascii="Arial" w:cs="Arial" w:eastAsia="Arial" w:hAnsi="Arial"/>
                <w:sz w:val="13"/>
                <w:szCs w:val="13"/>
                <w:color w:val="231F20"/>
              </w:rPr>
              <w:t>799,227</w:t>
            </w:r>
          </w:p>
        </w:tc>
        <w:tc>
          <w:tcPr>
            <w:tcW w:w="5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shd w:val="clear" w:color="auto" w:fill="EAEAEC"/>
          </w:tcPr>
          <w:p>
            <w:pPr>
              <w:jc w:val="right"/>
              <w:ind w:right="20"/>
              <w:spacing w:after="0" w:line="142"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900" w:type="dxa"/>
            <w:vAlign w:val="bottom"/>
            <w:tcBorders>
              <w:bottom w:val="single" w:sz="8" w:color="EAEAEC"/>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Daniel P. Van</w:t>
            </w:r>
          </w:p>
        </w:tc>
        <w:tc>
          <w:tcPr>
            <w:tcW w:w="40" w:type="dxa"/>
            <w:vAlign w:val="bottom"/>
            <w:tcBorders>
              <w:bottom w:val="single" w:sz="8" w:color="EAEAEC"/>
            </w:tcBorders>
            <w:shd w:val="clear" w:color="auto" w:fill="EAEAEC"/>
          </w:tcPr>
          <w:p>
            <w:pPr>
              <w:spacing w:after="0"/>
              <w:rPr>
                <w:sz w:val="14"/>
                <w:szCs w:val="14"/>
                <w:color w:val="auto"/>
              </w:rPr>
            </w:pPr>
          </w:p>
        </w:tc>
        <w:tc>
          <w:tcPr>
            <w:tcW w:w="660" w:type="dxa"/>
            <w:vAlign w:val="bottom"/>
            <w:tcBorders>
              <w:bottom w:val="single" w:sz="8" w:color="auto"/>
            </w:tcBorders>
            <w:shd w:val="clear" w:color="auto" w:fill="EAEAEC"/>
          </w:tcPr>
          <w:p>
            <w:pPr>
              <w:spacing w:after="0"/>
              <w:rPr>
                <w:sz w:val="20"/>
                <w:szCs w:val="20"/>
                <w:color w:val="auto"/>
              </w:rPr>
            </w:pPr>
            <w:r>
              <w:rPr>
                <w:rFonts w:ascii="Arial" w:cs="Arial" w:eastAsia="Arial" w:hAnsi="Arial"/>
                <w:sz w:val="13"/>
                <w:szCs w:val="13"/>
                <w:color w:val="231F20"/>
                <w:w w:val="98"/>
              </w:rPr>
              <w:t>12/11/2019</w:t>
            </w:r>
          </w:p>
        </w:tc>
        <w:tc>
          <w:tcPr>
            <w:tcW w:w="1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0"/>
                <w:szCs w:val="10"/>
                <w:color w:val="auto"/>
                <w:w w:val="71"/>
              </w:rPr>
              <w:t>5</w:t>
            </w:r>
          </w:p>
        </w:tc>
        <w:tc>
          <w:tcPr>
            <w:tcW w:w="620" w:type="dxa"/>
            <w:vAlign w:val="bottom"/>
            <w:tcBorders>
              <w:bottom w:val="single" w:sz="8" w:color="auto"/>
            </w:tcBorders>
            <w:shd w:val="clear" w:color="auto" w:fill="EAEAEC"/>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shd w:val="clear" w:color="auto" w:fill="EAEAEC"/>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shd w:val="clear" w:color="auto" w:fill="EAEAEC"/>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24,500</w:t>
            </w:r>
          </w:p>
        </w:tc>
        <w:tc>
          <w:tcPr>
            <w:tcW w:w="4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372.46</w:t>
            </w:r>
          </w:p>
        </w:tc>
        <w:tc>
          <w:tcPr>
            <w:tcW w:w="5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373.53</w:t>
            </w:r>
          </w:p>
        </w:tc>
        <w:tc>
          <w:tcPr>
            <w:tcW w:w="72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3,526,669</w:t>
            </w:r>
          </w:p>
        </w:tc>
        <w:tc>
          <w:tcPr>
            <w:tcW w:w="0" w:type="dxa"/>
            <w:vAlign w:val="bottom"/>
          </w:tcPr>
          <w:p>
            <w:pPr>
              <w:spacing w:after="0"/>
              <w:rPr>
                <w:sz w:val="1"/>
                <w:szCs w:val="1"/>
                <w:color w:val="auto"/>
              </w:rPr>
            </w:pPr>
          </w:p>
        </w:tc>
      </w:tr>
      <w:tr>
        <w:trPr>
          <w:trHeight w:val="168"/>
        </w:trPr>
        <w:tc>
          <w:tcPr>
            <w:tcW w:w="900" w:type="dxa"/>
            <w:vAlign w:val="bottom"/>
            <w:tcBorders>
              <w:bottom w:val="single" w:sz="8" w:color="EAEAEC"/>
            </w:tcBorders>
            <w:shd w:val="clear" w:color="auto" w:fill="EAEAEC"/>
          </w:tcPr>
          <w:p>
            <w:pPr>
              <w:ind w:left="40"/>
              <w:spacing w:after="0"/>
              <w:rPr>
                <w:sz w:val="20"/>
                <w:szCs w:val="20"/>
                <w:color w:val="auto"/>
              </w:rPr>
            </w:pPr>
            <w:r>
              <w:rPr>
                <w:rFonts w:ascii="Arial" w:cs="Arial" w:eastAsia="Arial" w:hAnsi="Arial"/>
                <w:sz w:val="13"/>
                <w:szCs w:val="13"/>
                <w:b w:val="1"/>
                <w:bCs w:val="1"/>
                <w:color w:val="C04C57"/>
              </w:rPr>
              <w:t>Plew</w:t>
            </w:r>
          </w:p>
        </w:tc>
        <w:tc>
          <w:tcPr>
            <w:tcW w:w="40" w:type="dxa"/>
            <w:vAlign w:val="bottom"/>
            <w:tcBorders>
              <w:bottom w:val="single" w:sz="8" w:color="EAEAEC"/>
            </w:tcBorders>
            <w:shd w:val="clear" w:color="auto" w:fill="EAEAEC"/>
          </w:tcPr>
          <w:p>
            <w:pPr>
              <w:spacing w:after="0"/>
              <w:rPr>
                <w:sz w:val="14"/>
                <w:szCs w:val="14"/>
                <w:color w:val="auto"/>
              </w:rPr>
            </w:pPr>
          </w:p>
        </w:tc>
        <w:tc>
          <w:tcPr>
            <w:tcW w:w="660" w:type="dxa"/>
            <w:vAlign w:val="bottom"/>
            <w:tcBorders>
              <w:bottom w:val="single" w:sz="8" w:color="auto"/>
            </w:tcBorders>
            <w:shd w:val="clear" w:color="auto" w:fill="EAEAEC"/>
          </w:tcPr>
          <w:p>
            <w:pPr>
              <w:spacing w:after="0"/>
              <w:rPr>
                <w:sz w:val="20"/>
                <w:szCs w:val="20"/>
                <w:color w:val="auto"/>
              </w:rPr>
            </w:pPr>
            <w:r>
              <w:rPr>
                <w:rFonts w:ascii="Arial" w:cs="Arial" w:eastAsia="Arial" w:hAnsi="Arial"/>
                <w:sz w:val="13"/>
                <w:szCs w:val="13"/>
                <w:color w:val="231F20"/>
                <w:w w:val="98"/>
              </w:rPr>
              <w:t>12/11/2019</w:t>
            </w:r>
          </w:p>
        </w:tc>
        <w:tc>
          <w:tcPr>
            <w:tcW w:w="1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0"/>
                <w:szCs w:val="10"/>
                <w:color w:val="auto"/>
                <w:w w:val="71"/>
              </w:rPr>
              <w:t>6</w:t>
            </w:r>
          </w:p>
        </w:tc>
        <w:tc>
          <w:tcPr>
            <w:tcW w:w="620" w:type="dxa"/>
            <w:vAlign w:val="bottom"/>
            <w:tcBorders>
              <w:bottom w:val="single" w:sz="8" w:color="auto"/>
            </w:tcBorders>
            <w:shd w:val="clear" w:color="auto" w:fill="EAEAEC"/>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shd w:val="clear" w:color="auto" w:fill="EAEAEC"/>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shd w:val="clear" w:color="auto" w:fill="EAEAEC"/>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2,625</w:t>
            </w:r>
          </w:p>
        </w:tc>
        <w:tc>
          <w:tcPr>
            <w:tcW w:w="6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977,708</w:t>
            </w:r>
          </w:p>
        </w:tc>
        <w:tc>
          <w:tcPr>
            <w:tcW w:w="0" w:type="dxa"/>
            <w:vAlign w:val="bottom"/>
          </w:tcPr>
          <w:p>
            <w:pPr>
              <w:spacing w:after="0"/>
              <w:rPr>
                <w:sz w:val="1"/>
                <w:szCs w:val="1"/>
                <w:color w:val="auto"/>
              </w:rPr>
            </w:pPr>
          </w:p>
        </w:tc>
      </w:tr>
      <w:tr>
        <w:trPr>
          <w:trHeight w:val="169"/>
        </w:trPr>
        <w:tc>
          <w:tcPr>
            <w:tcW w:w="900" w:type="dxa"/>
            <w:vAlign w:val="bottom"/>
            <w:tcBorders>
              <w:bottom w:val="single" w:sz="8" w:color="auto"/>
            </w:tcBorders>
            <w:shd w:val="clear" w:color="auto" w:fill="EAEAEC"/>
          </w:tcPr>
          <w:p>
            <w:pPr>
              <w:spacing w:after="0"/>
              <w:rPr>
                <w:sz w:val="14"/>
                <w:szCs w:val="14"/>
                <w:color w:val="auto"/>
              </w:rPr>
            </w:pPr>
          </w:p>
        </w:tc>
        <w:tc>
          <w:tcPr>
            <w:tcW w:w="40" w:type="dxa"/>
            <w:vAlign w:val="bottom"/>
            <w:tcBorders>
              <w:bottom w:val="single" w:sz="8" w:color="auto"/>
            </w:tcBorders>
            <w:shd w:val="clear" w:color="auto" w:fill="EAEAEC"/>
          </w:tcPr>
          <w:p>
            <w:pPr>
              <w:spacing w:after="0"/>
              <w:rPr>
                <w:sz w:val="14"/>
                <w:szCs w:val="14"/>
                <w:color w:val="auto"/>
              </w:rPr>
            </w:pPr>
          </w:p>
        </w:tc>
        <w:tc>
          <w:tcPr>
            <w:tcW w:w="660" w:type="dxa"/>
            <w:vAlign w:val="bottom"/>
            <w:tcBorders>
              <w:bottom w:val="single" w:sz="8" w:color="auto"/>
            </w:tcBorders>
            <w:shd w:val="clear" w:color="auto" w:fill="EAEAEC"/>
          </w:tcPr>
          <w:p>
            <w:pPr>
              <w:spacing w:after="0"/>
              <w:rPr>
                <w:sz w:val="20"/>
                <w:szCs w:val="20"/>
                <w:color w:val="auto"/>
              </w:rPr>
            </w:pPr>
            <w:r>
              <w:rPr>
                <w:rFonts w:ascii="Arial" w:cs="Arial" w:eastAsia="Arial" w:hAnsi="Arial"/>
                <w:sz w:val="13"/>
                <w:szCs w:val="13"/>
                <w:color w:val="231F20"/>
                <w:w w:val="98"/>
              </w:rPr>
              <w:t>12/11/2019</w:t>
            </w:r>
          </w:p>
        </w:tc>
        <w:tc>
          <w:tcPr>
            <w:tcW w:w="1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0"/>
                <w:szCs w:val="10"/>
                <w:color w:val="auto"/>
                <w:w w:val="71"/>
              </w:rPr>
              <w:t>7</w:t>
            </w:r>
          </w:p>
        </w:tc>
        <w:tc>
          <w:tcPr>
            <w:tcW w:w="620" w:type="dxa"/>
            <w:vAlign w:val="bottom"/>
            <w:tcBorders>
              <w:bottom w:val="single" w:sz="8" w:color="auto"/>
            </w:tcBorders>
            <w:shd w:val="clear" w:color="auto" w:fill="EAEAEC"/>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gridSpan w:val="2"/>
            <w:shd w:val="clear" w:color="auto" w:fill="EAEAEC"/>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shd w:val="clear" w:color="auto" w:fill="EAEAEC"/>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5,000</w:t>
            </w:r>
          </w:p>
        </w:tc>
        <w:tc>
          <w:tcPr>
            <w:tcW w:w="6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1,862,300</w:t>
            </w:r>
          </w:p>
        </w:tc>
        <w:tc>
          <w:tcPr>
            <w:tcW w:w="0" w:type="dxa"/>
            <w:vAlign w:val="bottom"/>
          </w:tcPr>
          <w:p>
            <w:pPr>
              <w:spacing w:after="0"/>
              <w:rPr>
                <w:sz w:val="1"/>
                <w:szCs w:val="1"/>
                <w:color w:val="auto"/>
              </w:rPr>
            </w:pPr>
          </w:p>
        </w:tc>
      </w:tr>
      <w:tr>
        <w:trPr>
          <w:trHeight w:val="143"/>
        </w:trPr>
        <w:tc>
          <w:tcPr>
            <w:tcW w:w="900" w:type="dxa"/>
            <w:vAlign w:val="bottom"/>
            <w:vMerge w:val="restart"/>
          </w:tcPr>
          <w:p>
            <w:pPr>
              <w:ind w:left="40"/>
              <w:spacing w:after="0"/>
              <w:rPr>
                <w:sz w:val="20"/>
                <w:szCs w:val="20"/>
                <w:color w:val="auto"/>
              </w:rPr>
            </w:pPr>
            <w:r>
              <w:rPr>
                <w:rFonts w:ascii="Arial" w:cs="Arial" w:eastAsia="Arial" w:hAnsi="Arial"/>
                <w:sz w:val="13"/>
                <w:szCs w:val="13"/>
                <w:b w:val="1"/>
                <w:bCs w:val="1"/>
                <w:color w:val="C04C57"/>
              </w:rPr>
              <w:t>Andrew J.</w:t>
            </w:r>
          </w:p>
        </w:tc>
        <w:tc>
          <w:tcPr>
            <w:tcW w:w="40" w:type="dxa"/>
            <w:vAlign w:val="bottom"/>
          </w:tcPr>
          <w:p>
            <w:pPr>
              <w:spacing w:after="0"/>
              <w:rPr>
                <w:sz w:val="12"/>
                <w:szCs w:val="12"/>
                <w:color w:val="auto"/>
              </w:rPr>
            </w:pPr>
          </w:p>
        </w:tc>
        <w:tc>
          <w:tcPr>
            <w:tcW w:w="760" w:type="dxa"/>
            <w:vAlign w:val="bottom"/>
            <w:tcBorders>
              <w:bottom w:val="single" w:sz="8" w:color="auto"/>
            </w:tcBorders>
            <w:gridSpan w:val="2"/>
          </w:tcPr>
          <w:p>
            <w:pPr>
              <w:ind w:left="540"/>
              <w:spacing w:after="0" w:line="143" w:lineRule="exact"/>
              <w:rPr>
                <w:sz w:val="20"/>
                <w:szCs w:val="20"/>
                <w:color w:val="auto"/>
              </w:rPr>
            </w:pPr>
            <w:r>
              <w:rPr>
                <w:rFonts w:ascii="Arial" w:cs="Arial" w:eastAsia="Arial" w:hAnsi="Arial"/>
                <w:sz w:val="13"/>
                <w:szCs w:val="13"/>
                <w:color w:val="231F20"/>
              </w:rPr>
              <w:t>—</w:t>
            </w:r>
          </w:p>
        </w:tc>
        <w:tc>
          <w:tcPr>
            <w:tcW w:w="62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231F20"/>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390,000</w:t>
            </w:r>
          </w:p>
        </w:tc>
        <w:tc>
          <w:tcPr>
            <w:tcW w:w="640" w:type="dxa"/>
            <w:vAlign w:val="bottom"/>
            <w:tcBorders>
              <w:bottom w:val="single" w:sz="8" w:color="auto"/>
            </w:tcBorders>
            <w:gridSpan w:val="2"/>
          </w:tcPr>
          <w:p>
            <w:pPr>
              <w:jc w:val="right"/>
              <w:ind w:right="40"/>
              <w:spacing w:after="0" w:line="143" w:lineRule="exact"/>
              <w:rPr>
                <w:sz w:val="20"/>
                <w:szCs w:val="20"/>
                <w:color w:val="auto"/>
              </w:rPr>
            </w:pPr>
            <w:r>
              <w:rPr>
                <w:rFonts w:ascii="Arial" w:cs="Arial" w:eastAsia="Arial" w:hAnsi="Arial"/>
                <w:sz w:val="13"/>
                <w:szCs w:val="13"/>
                <w:color w:val="231F20"/>
              </w:rPr>
              <w:t>702,000</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54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0"/>
                <w:szCs w:val="10"/>
                <w:color w:val="231F20"/>
              </w:rPr>
              <w:t>12/11/2019</w:t>
            </w:r>
            <w:r>
              <w:rPr>
                <w:rFonts w:ascii="Arial" w:cs="Arial" w:eastAsia="Arial" w:hAnsi="Arial"/>
                <w:sz w:val="14"/>
                <w:szCs w:val="14"/>
                <w:color w:val="000000"/>
                <w:vertAlign w:val="superscript"/>
              </w:rPr>
              <w:t>5</w:t>
            </w:r>
          </w:p>
        </w:tc>
        <w:tc>
          <w:tcPr>
            <w:tcW w:w="620" w:type="dxa"/>
            <w:vAlign w:val="bottom"/>
          </w:tcPr>
          <w:p>
            <w:pPr>
              <w:jc w:val="right"/>
              <w:ind w:right="17"/>
              <w:spacing w:after="0" w:line="129" w:lineRule="exact"/>
              <w:rPr>
                <w:sz w:val="20"/>
                <w:szCs w:val="20"/>
                <w:color w:val="auto"/>
              </w:rPr>
            </w:pPr>
            <w:r>
              <w:rPr>
                <w:rFonts w:ascii="Arial" w:cs="Arial" w:eastAsia="Arial" w:hAnsi="Arial"/>
                <w:sz w:val="13"/>
                <w:szCs w:val="13"/>
                <w:color w:val="231F20"/>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231F20"/>
              </w:rPr>
              <w:t>—</w:t>
            </w:r>
          </w:p>
        </w:tc>
        <w:tc>
          <w:tcPr>
            <w:tcW w:w="64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231F20"/>
              </w:rPr>
              <w:t>—</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231F20"/>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231F20"/>
              </w:rPr>
              <w:t>—</w:t>
            </w:r>
          </w:p>
        </w:tc>
        <w:tc>
          <w:tcPr>
            <w:tcW w:w="5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231F20"/>
              </w:rPr>
              <w:t>—</w:t>
            </w: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231F20"/>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231F20"/>
              </w:rPr>
              <w:t>24,500</w:t>
            </w: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231F20"/>
              </w:rPr>
              <w:t>372.46</w:t>
            </w: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231F20"/>
              </w:rPr>
              <w:t>373.53</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231F20"/>
              </w:rPr>
              <w:t>3,526,669</w:t>
            </w:r>
          </w:p>
        </w:tc>
        <w:tc>
          <w:tcPr>
            <w:tcW w:w="0" w:type="dxa"/>
            <w:vAlign w:val="bottom"/>
          </w:tcPr>
          <w:p>
            <w:pPr>
              <w:spacing w:after="0"/>
              <w:rPr>
                <w:sz w:val="1"/>
                <w:szCs w:val="1"/>
                <w:color w:val="auto"/>
              </w:rPr>
            </w:pPr>
          </w:p>
        </w:tc>
      </w:tr>
      <w:tr>
        <w:trPr>
          <w:trHeight w:val="40"/>
        </w:trPr>
        <w:tc>
          <w:tcPr>
            <w:tcW w:w="900" w:type="dxa"/>
            <w:vAlign w:val="bottom"/>
            <w:vMerge w:val="restart"/>
          </w:tcPr>
          <w:p>
            <w:pPr>
              <w:ind w:left="40"/>
              <w:spacing w:after="0" w:line="123" w:lineRule="exact"/>
              <w:rPr>
                <w:sz w:val="20"/>
                <w:szCs w:val="20"/>
                <w:color w:val="auto"/>
              </w:rPr>
            </w:pPr>
            <w:r>
              <w:rPr>
                <w:rFonts w:ascii="Arial" w:cs="Arial" w:eastAsia="Arial" w:hAnsi="Arial"/>
                <w:sz w:val="13"/>
                <w:szCs w:val="13"/>
                <w:b w:val="1"/>
                <w:bCs w:val="1"/>
                <w:color w:val="C04C57"/>
              </w:rPr>
              <w:t>Murphy,</w:t>
            </w:r>
          </w:p>
        </w:tc>
        <w:tc>
          <w:tcPr>
            <w:tcW w:w="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900" w:type="dxa"/>
            <w:vAlign w:val="bottom"/>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760" w:type="dxa"/>
            <w:vAlign w:val="bottom"/>
            <w:gridSpan w:val="2"/>
            <w:vMerge w:val="restart"/>
          </w:tcPr>
          <w:p>
            <w:pPr>
              <w:spacing w:after="0" w:line="169" w:lineRule="exact"/>
              <w:rPr>
                <w:sz w:val="20"/>
                <w:szCs w:val="20"/>
                <w:color w:val="auto"/>
              </w:rPr>
            </w:pPr>
            <w:r>
              <w:rPr>
                <w:rFonts w:ascii="Arial" w:cs="Arial" w:eastAsia="Arial" w:hAnsi="Arial"/>
                <w:sz w:val="12"/>
                <w:szCs w:val="12"/>
                <w:color w:val="231F20"/>
              </w:rPr>
              <w:t>12/11/2019</w:t>
            </w:r>
            <w:r>
              <w:rPr>
                <w:rFonts w:ascii="Arial" w:cs="Arial" w:eastAsia="Arial" w:hAnsi="Arial"/>
                <w:sz w:val="19"/>
                <w:szCs w:val="19"/>
                <w:color w:val="000000"/>
                <w:vertAlign w:val="superscript"/>
              </w:rPr>
              <w:t>6</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231F20"/>
              </w:rPr>
              <w:t>2,625</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231F20"/>
              </w:rPr>
              <w:t>977,708</w:t>
            </w:r>
          </w:p>
        </w:tc>
        <w:tc>
          <w:tcPr>
            <w:tcW w:w="0" w:type="dxa"/>
            <w:vAlign w:val="bottom"/>
          </w:tcPr>
          <w:p>
            <w:pPr>
              <w:spacing w:after="0"/>
              <w:rPr>
                <w:sz w:val="1"/>
                <w:szCs w:val="1"/>
                <w:color w:val="auto"/>
              </w:rPr>
            </w:pPr>
          </w:p>
        </w:tc>
      </w:tr>
      <w:tr>
        <w:trPr>
          <w:trHeight w:val="112"/>
        </w:trPr>
        <w:tc>
          <w:tcPr>
            <w:tcW w:w="900" w:type="dxa"/>
            <w:vAlign w:val="bottom"/>
            <w:vMerge w:val="restart"/>
          </w:tcPr>
          <w:p>
            <w:pPr>
              <w:ind w:left="40"/>
              <w:spacing w:after="0"/>
              <w:rPr>
                <w:sz w:val="20"/>
                <w:szCs w:val="20"/>
                <w:color w:val="auto"/>
              </w:rPr>
            </w:pPr>
            <w:r>
              <w:rPr>
                <w:rFonts w:ascii="Arial" w:cs="Arial" w:eastAsia="Arial" w:hAnsi="Arial"/>
                <w:sz w:val="13"/>
                <w:szCs w:val="13"/>
                <w:b w:val="1"/>
                <w:bCs w:val="1"/>
                <w:color w:val="C04C57"/>
              </w:rPr>
              <w:t>Ph.D.</w:t>
            </w:r>
          </w:p>
        </w:tc>
        <w:tc>
          <w:tcPr>
            <w:tcW w:w="40" w:type="dxa"/>
            <w:vAlign w:val="bottom"/>
            <w:vMerge w:val="continue"/>
          </w:tcPr>
          <w:p>
            <w:pPr>
              <w:spacing w:after="0"/>
              <w:rPr>
                <w:sz w:val="9"/>
                <w:szCs w:val="9"/>
                <w:color w:val="auto"/>
              </w:rPr>
            </w:pPr>
          </w:p>
        </w:tc>
        <w:tc>
          <w:tcPr>
            <w:tcW w:w="760" w:type="dxa"/>
            <w:vAlign w:val="bottom"/>
            <w:tcBorders>
              <w:bottom w:val="single" w:sz="8" w:color="auto"/>
            </w:tcBorders>
            <w:gridSpan w:val="2"/>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gridSpan w:val="2"/>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gridSpan w:val="2"/>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900" w:type="dxa"/>
            <w:vAlign w:val="bottom"/>
            <w:vMerge w:val="continue"/>
          </w:tcPr>
          <w:p>
            <w:pPr>
              <w:spacing w:after="0"/>
              <w:rPr>
                <w:sz w:val="3"/>
                <w:szCs w:val="3"/>
                <w:color w:val="auto"/>
              </w:rPr>
            </w:pPr>
          </w:p>
        </w:tc>
        <w:tc>
          <w:tcPr>
            <w:tcW w:w="800" w:type="dxa"/>
            <w:vAlign w:val="bottom"/>
            <w:gridSpan w:val="3"/>
            <w:vMerge w:val="restart"/>
          </w:tcPr>
          <w:p>
            <w:pPr>
              <w:ind w:left="40"/>
              <w:spacing w:after="0" w:line="169" w:lineRule="exact"/>
              <w:rPr>
                <w:sz w:val="20"/>
                <w:szCs w:val="20"/>
                <w:color w:val="auto"/>
              </w:rPr>
            </w:pPr>
            <w:r>
              <w:rPr>
                <w:rFonts w:ascii="Arial" w:cs="Arial" w:eastAsia="Arial" w:hAnsi="Arial"/>
                <w:sz w:val="12"/>
                <w:szCs w:val="12"/>
                <w:color w:val="231F20"/>
              </w:rPr>
              <w:t>12/11/2019</w:t>
            </w:r>
            <w:r>
              <w:rPr>
                <w:rFonts w:ascii="Arial" w:cs="Arial" w:eastAsia="Arial" w:hAnsi="Arial"/>
                <w:sz w:val="19"/>
                <w:szCs w:val="19"/>
                <w:color w:val="000000"/>
                <w:vertAlign w:val="superscript"/>
              </w:rPr>
              <w:t>7</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231F20"/>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231F20"/>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231F20"/>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231F20"/>
              </w:rPr>
              <w:t>10,000</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231F20"/>
              </w:rPr>
              <w:t>3,724,600</w:t>
            </w:r>
          </w:p>
        </w:tc>
        <w:tc>
          <w:tcPr>
            <w:tcW w:w="0" w:type="dxa"/>
            <w:vAlign w:val="bottom"/>
          </w:tcPr>
          <w:p>
            <w:pPr>
              <w:spacing w:after="0"/>
              <w:rPr>
                <w:sz w:val="1"/>
                <w:szCs w:val="1"/>
                <w:color w:val="auto"/>
              </w:rPr>
            </w:pPr>
          </w:p>
        </w:tc>
      </w:tr>
      <w:tr>
        <w:trPr>
          <w:trHeight w:val="124"/>
        </w:trPr>
        <w:tc>
          <w:tcPr>
            <w:tcW w:w="9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gridSpan w:val="2"/>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740" w:right="1680" w:hanging="166"/>
        <w:spacing w:after="0" w:line="249" w:lineRule="auto"/>
        <w:tabs>
          <w:tab w:leader="none" w:pos="1740" w:val="left"/>
        </w:tabs>
        <w:numPr>
          <w:ilvl w:val="0"/>
          <w:numId w:val="173"/>
        </w:numPr>
        <w:rPr>
          <w:rFonts w:ascii="Arial" w:cs="Arial" w:eastAsia="Arial" w:hAnsi="Arial"/>
          <w:sz w:val="14"/>
          <w:szCs w:val="14"/>
          <w:b w:val="1"/>
          <w:bCs w:val="1"/>
          <w:color w:val="2952A4"/>
        </w:rPr>
      </w:pPr>
      <w:r>
        <w:rPr>
          <w:rFonts w:ascii="Arial" w:cs="Arial" w:eastAsia="Arial" w:hAnsi="Arial"/>
          <w:sz w:val="14"/>
          <w:szCs w:val="14"/>
          <w:color w:val="231F20"/>
        </w:rPr>
        <w:t>Cash incentive awards under the Regeneron Pharmaceuticals, Inc. Cash Incentive Bonus Plan. The actual cash incentive awards earned in respect of 2019 and paid out in January 2020 are reported as “Non-Equity Incentive Plan Compensation” in the Summary Compensation Table above.</w:t>
      </w:r>
    </w:p>
    <w:p>
      <w:pPr>
        <w:spacing w:after="0" w:line="147" w:lineRule="exact"/>
        <w:rPr>
          <w:sz w:val="20"/>
          <w:szCs w:val="20"/>
          <w:color w:val="auto"/>
        </w:rPr>
      </w:pPr>
    </w:p>
    <w:p>
      <w:pPr>
        <w:ind w:left="1740" w:right="1640" w:hanging="166"/>
        <w:spacing w:after="0" w:line="258" w:lineRule="auto"/>
        <w:tabs>
          <w:tab w:leader="none" w:pos="1740" w:val="left"/>
        </w:tabs>
        <w:numPr>
          <w:ilvl w:val="0"/>
          <w:numId w:val="174"/>
        </w:numPr>
        <w:rPr>
          <w:rFonts w:ascii="Arial" w:cs="Arial" w:eastAsia="Arial" w:hAnsi="Arial"/>
          <w:sz w:val="14"/>
          <w:szCs w:val="14"/>
          <w:b w:val="1"/>
          <w:bCs w:val="1"/>
          <w:color w:val="2952A4"/>
        </w:rPr>
      </w:pPr>
      <w:r>
        <w:rPr>
          <w:rFonts w:ascii="Arial" w:cs="Arial" w:eastAsia="Arial" w:hAnsi="Arial"/>
          <w:sz w:val="14"/>
          <w:szCs w:val="14"/>
          <w:color w:val="231F20"/>
        </w:rPr>
        <w:t>The amounts in this column represents the threshold, target, and maximum number of shares of common stock that may be earned by the NEO in respect of the PSUs granted to the NEO in 2019.</w:t>
      </w:r>
    </w:p>
    <w:p>
      <w:pPr>
        <w:spacing w:after="0" w:line="140" w:lineRule="exact"/>
        <w:rPr>
          <w:sz w:val="20"/>
          <w:szCs w:val="20"/>
          <w:color w:val="auto"/>
        </w:rPr>
      </w:pPr>
    </w:p>
    <w:p>
      <w:pPr>
        <w:ind w:left="1740" w:right="1820" w:hanging="166"/>
        <w:spacing w:after="0" w:line="249" w:lineRule="auto"/>
        <w:tabs>
          <w:tab w:leader="none" w:pos="1740" w:val="left"/>
        </w:tabs>
        <w:numPr>
          <w:ilvl w:val="0"/>
          <w:numId w:val="175"/>
        </w:numPr>
        <w:rPr>
          <w:rFonts w:ascii="Arial" w:cs="Arial" w:eastAsia="Arial" w:hAnsi="Arial"/>
          <w:sz w:val="14"/>
          <w:szCs w:val="14"/>
          <w:b w:val="1"/>
          <w:bCs w:val="1"/>
          <w:color w:val="2952A4"/>
        </w:rPr>
      </w:pPr>
      <w:r>
        <w:rPr>
          <w:rFonts w:ascii="Arial" w:cs="Arial" w:eastAsia="Arial" w:hAnsi="Arial"/>
          <w:sz w:val="14"/>
          <w:szCs w:val="14"/>
          <w:color w:val="231F20"/>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147" w:lineRule="exact"/>
        <w:rPr>
          <w:sz w:val="20"/>
          <w:szCs w:val="20"/>
          <w:color w:val="auto"/>
        </w:rPr>
      </w:pPr>
    </w:p>
    <w:p>
      <w:pPr>
        <w:ind w:left="1740" w:right="1640" w:hanging="166"/>
        <w:spacing w:after="0" w:line="247" w:lineRule="auto"/>
        <w:tabs>
          <w:tab w:leader="none" w:pos="1740" w:val="left"/>
        </w:tabs>
        <w:numPr>
          <w:ilvl w:val="0"/>
          <w:numId w:val="176"/>
        </w:numPr>
        <w:rPr>
          <w:rFonts w:ascii="Arial" w:cs="Arial" w:eastAsia="Arial" w:hAnsi="Arial"/>
          <w:sz w:val="14"/>
          <w:szCs w:val="14"/>
          <w:b w:val="1"/>
          <w:bCs w:val="1"/>
          <w:color w:val="2952A4"/>
        </w:rPr>
      </w:pPr>
      <w:r>
        <w:rPr>
          <w:rFonts w:ascii="Arial" w:cs="Arial" w:eastAsia="Arial" w:hAnsi="Arial"/>
          <w:sz w:val="14"/>
          <w:szCs w:val="14"/>
          <w:color w:val="231F20"/>
        </w:rPr>
        <w:t>The amounts in this column represent the grant date fair value (disregarding estimated forfeitures) of the awards made pursuant to the Amended and Restated Regeneron Pharmaceuticals, Inc. 2014 Long-Term Incentive Plan. The valuation assumptions and methodologies used in the calculation of these amounts are included in Note 13 to the Company’s audited financial statements for the fiscal year ended December 31, 2019 included in the 2019 Annual Report.</w:t>
      </w:r>
    </w:p>
    <w:p>
      <w:pPr>
        <w:spacing w:after="0" w:line="147" w:lineRule="exact"/>
        <w:rPr>
          <w:sz w:val="20"/>
          <w:szCs w:val="20"/>
          <w:color w:val="auto"/>
        </w:rPr>
      </w:pPr>
    </w:p>
    <w:p>
      <w:pPr>
        <w:ind w:left="1740" w:right="1660" w:hanging="166"/>
        <w:spacing w:after="0" w:line="258" w:lineRule="auto"/>
        <w:tabs>
          <w:tab w:leader="none" w:pos="1740" w:val="left"/>
        </w:tabs>
        <w:numPr>
          <w:ilvl w:val="0"/>
          <w:numId w:val="177"/>
        </w:numPr>
        <w:rPr>
          <w:rFonts w:ascii="Arial" w:cs="Arial" w:eastAsia="Arial" w:hAnsi="Arial"/>
          <w:sz w:val="14"/>
          <w:szCs w:val="14"/>
          <w:b w:val="1"/>
          <w:bCs w:val="1"/>
          <w:color w:val="2952A4"/>
        </w:rPr>
      </w:pPr>
      <w:r>
        <w:rPr>
          <w:rFonts w:ascii="Arial" w:cs="Arial" w:eastAsia="Arial" w:hAnsi="Arial"/>
          <w:sz w:val="14"/>
          <w:szCs w:val="14"/>
          <w:color w:val="231F20"/>
        </w:rPr>
        <w:t>The NEO received a non-qualified stock option award that vests subject to continued employment at a rate of 25% per year over the first four years of the maximum ten-year option term.</w:t>
      </w:r>
    </w:p>
    <w:p>
      <w:pPr>
        <w:spacing w:after="0" w:line="140" w:lineRule="exact"/>
        <w:rPr>
          <w:sz w:val="20"/>
          <w:szCs w:val="20"/>
          <w:color w:val="auto"/>
        </w:rPr>
      </w:pPr>
    </w:p>
    <w:p>
      <w:pPr>
        <w:ind w:left="1740" w:right="1880" w:hanging="166"/>
        <w:spacing w:after="0" w:line="258" w:lineRule="auto"/>
        <w:tabs>
          <w:tab w:leader="none" w:pos="1740" w:val="left"/>
        </w:tabs>
        <w:numPr>
          <w:ilvl w:val="0"/>
          <w:numId w:val="178"/>
        </w:numPr>
        <w:rPr>
          <w:rFonts w:ascii="Arial" w:cs="Arial" w:eastAsia="Arial" w:hAnsi="Arial"/>
          <w:sz w:val="14"/>
          <w:szCs w:val="14"/>
          <w:b w:val="1"/>
          <w:bCs w:val="1"/>
          <w:color w:val="2952A4"/>
        </w:rPr>
      </w:pPr>
      <w:r>
        <w:rPr>
          <w:rFonts w:ascii="Arial" w:cs="Arial" w:eastAsia="Arial" w:hAnsi="Arial"/>
          <w:sz w:val="14"/>
          <w:szCs w:val="14"/>
          <w:color w:val="231F20"/>
        </w:rPr>
        <w:t>The NEO received an annual RSA that vests 50% on the second anniversary of the date of grant and 50% on the fourth anniversary of the date of grant, subject to the NEO’s continued employment.</w:t>
      </w:r>
    </w:p>
    <w:p>
      <w:pPr>
        <w:spacing w:after="0" w:line="140" w:lineRule="exact"/>
        <w:rPr>
          <w:sz w:val="20"/>
          <w:szCs w:val="20"/>
          <w:color w:val="auto"/>
        </w:rPr>
      </w:pPr>
    </w:p>
    <w:p>
      <w:pPr>
        <w:ind w:left="1740" w:right="2040" w:hanging="166"/>
        <w:spacing w:after="0" w:line="258" w:lineRule="auto"/>
        <w:tabs>
          <w:tab w:leader="none" w:pos="1740" w:val="left"/>
        </w:tabs>
        <w:numPr>
          <w:ilvl w:val="0"/>
          <w:numId w:val="179"/>
        </w:numPr>
        <w:rPr>
          <w:rFonts w:ascii="Arial" w:cs="Arial" w:eastAsia="Arial" w:hAnsi="Arial"/>
          <w:sz w:val="14"/>
          <w:szCs w:val="14"/>
          <w:b w:val="1"/>
          <w:bCs w:val="1"/>
          <w:color w:val="2952A4"/>
        </w:rPr>
      </w:pPr>
      <w:r>
        <w:rPr>
          <w:rFonts w:ascii="Arial" w:cs="Arial" w:eastAsia="Arial" w:hAnsi="Arial"/>
          <w:sz w:val="14"/>
          <w:szCs w:val="14"/>
          <w:color w:val="231F20"/>
        </w:rPr>
        <w:t>The NEO received a special RSA that vests 100% on the fourth anniversary of the date of grant, subject to the NEO’s continued employment.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ind w:left="16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00" w:type="dxa"/>
            <w:vAlign w:val="bottom"/>
          </w:tcPr>
          <w:p>
            <w:pPr>
              <w:jc w:val="right"/>
              <w:ind w:right="112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87</w:t>
            </w:r>
          </w:p>
        </w:tc>
      </w:tr>
      <w:tr>
        <w:trPr>
          <w:trHeight w:val="262"/>
        </w:trPr>
        <w:tc>
          <w:tcPr>
            <w:tcW w:w="8040" w:type="dxa"/>
            <w:vAlign w:val="bottom"/>
            <w:tcBorders>
              <w:bottom w:val="single" w:sz="8" w:color="C0C0C0"/>
            </w:tcBorders>
          </w:tcPr>
          <w:p>
            <w:pPr>
              <w:spacing w:after="0"/>
              <w:rPr>
                <w:sz w:val="22"/>
                <w:szCs w:val="22"/>
                <w:color w:val="auto"/>
              </w:rPr>
            </w:pPr>
          </w:p>
        </w:tc>
        <w:tc>
          <w:tcPr>
            <w:tcW w:w="32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-290830</wp:posOffset>
            </wp:positionV>
            <wp:extent cx="746125" cy="857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99" w:name="page100"/>
    <w:bookmarkEnd w:id="99"/>
    <w:p>
      <w:pPr>
        <w:ind w:left="130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C04C57"/>
        </w:rPr>
        <w:t>Outstanding Equity Awards at 2019 Fiscal Year-End</w:t>
      </w:r>
    </w:p>
    <w:p>
      <w:pPr>
        <w:spacing w:after="0" w:line="177" w:lineRule="exact"/>
        <w:rPr>
          <w:sz w:val="20"/>
          <w:szCs w:val="20"/>
          <w:color w:val="auto"/>
        </w:rPr>
      </w:pPr>
    </w:p>
    <w:p>
      <w:pPr>
        <w:ind w:left="1300" w:right="1420"/>
        <w:spacing w:after="0" w:line="242" w:lineRule="auto"/>
        <w:rPr>
          <w:sz w:val="20"/>
          <w:szCs w:val="20"/>
          <w:color w:val="auto"/>
        </w:rPr>
      </w:pPr>
      <w:r>
        <w:rPr>
          <w:rFonts w:ascii="Arial" w:cs="Arial" w:eastAsia="Arial" w:hAnsi="Arial"/>
          <w:sz w:val="15"/>
          <w:szCs w:val="15"/>
          <w:color w:val="231F20"/>
        </w:rPr>
        <w:t>The following table and explanatory footnotes provide information regarding unexercised stock options and PSUs or RSAs (as applicable) held by our NEOs as of 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020" w:type="dxa"/>
            <w:vAlign w:val="bottom"/>
            <w:tcBorders>
              <w:top w:val="single" w:sz="8" w:color="2952A4"/>
              <w:bottom w:val="single" w:sz="8" w:color="2952A4"/>
            </w:tcBorders>
            <w:gridSpan w:val="2"/>
          </w:tcPr>
          <w:p>
            <w:pPr>
              <w:ind w:left="60"/>
              <w:spacing w:after="0"/>
              <w:rPr>
                <w:sz w:val="20"/>
                <w:szCs w:val="20"/>
                <w:color w:val="auto"/>
              </w:rPr>
            </w:pPr>
            <w:r>
              <w:rPr>
                <w:rFonts w:ascii="Arial" w:cs="Arial" w:eastAsia="Arial" w:hAnsi="Arial"/>
                <w:sz w:val="12"/>
                <w:szCs w:val="12"/>
                <w:b w:val="1"/>
                <w:bCs w:val="1"/>
                <w:color w:val="2952A4"/>
              </w:rPr>
              <w:t>A</w:t>
            </w:r>
          </w:p>
        </w:tc>
        <w:tc>
          <w:tcPr>
            <w:tcW w:w="140" w:type="dxa"/>
            <w:vAlign w:val="bottom"/>
            <w:tcBorders>
              <w:top w:val="single" w:sz="8" w:color="2952A4"/>
              <w:bottom w:val="single" w:sz="8" w:color="2952A4"/>
            </w:tcBorders>
          </w:tcPr>
          <w:p>
            <w:pPr>
              <w:spacing w:after="0"/>
              <w:rPr>
                <w:sz w:val="14"/>
                <w:szCs w:val="14"/>
                <w:color w:val="auto"/>
              </w:rPr>
            </w:pPr>
          </w:p>
        </w:tc>
        <w:tc>
          <w:tcPr>
            <w:tcW w:w="840" w:type="dxa"/>
            <w:vAlign w:val="bottom"/>
            <w:tcBorders>
              <w:top w:val="single" w:sz="8" w:color="2952A4"/>
              <w:bottom w:val="single" w:sz="8" w:color="2952A4"/>
            </w:tcBorders>
          </w:tcPr>
          <w:p>
            <w:pPr>
              <w:jc w:val="center"/>
              <w:ind w:right="77"/>
              <w:spacing w:after="0"/>
              <w:rPr>
                <w:sz w:val="20"/>
                <w:szCs w:val="20"/>
                <w:color w:val="auto"/>
              </w:rPr>
            </w:pPr>
            <w:r>
              <w:rPr>
                <w:rFonts w:ascii="Arial" w:cs="Arial" w:eastAsia="Arial" w:hAnsi="Arial"/>
                <w:sz w:val="12"/>
                <w:szCs w:val="12"/>
                <w:b w:val="1"/>
                <w:bCs w:val="1"/>
                <w:color w:val="2952A4"/>
              </w:rPr>
              <w:t>B</w:t>
            </w:r>
          </w:p>
        </w:tc>
        <w:tc>
          <w:tcPr>
            <w:tcW w:w="1040" w:type="dxa"/>
            <w:vAlign w:val="bottom"/>
            <w:tcBorders>
              <w:top w:val="single" w:sz="8" w:color="2952A4"/>
              <w:bottom w:val="single" w:sz="8" w:color="2952A4"/>
            </w:tcBorders>
            <w:gridSpan w:val="2"/>
          </w:tcPr>
          <w:p>
            <w:pPr>
              <w:jc w:val="center"/>
              <w:ind w:left="59"/>
              <w:spacing w:after="0"/>
              <w:rPr>
                <w:sz w:val="20"/>
                <w:szCs w:val="20"/>
                <w:color w:val="auto"/>
              </w:rPr>
            </w:pPr>
            <w:r>
              <w:rPr>
                <w:rFonts w:ascii="Arial" w:cs="Arial" w:eastAsia="Arial" w:hAnsi="Arial"/>
                <w:sz w:val="12"/>
                <w:szCs w:val="12"/>
                <w:b w:val="1"/>
                <w:bCs w:val="1"/>
                <w:color w:val="2952A4"/>
                <w:w w:val="91"/>
              </w:rPr>
              <w:t>C</w:t>
            </w:r>
          </w:p>
        </w:tc>
        <w:tc>
          <w:tcPr>
            <w:tcW w:w="90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D</w:t>
            </w:r>
          </w:p>
        </w:tc>
        <w:tc>
          <w:tcPr>
            <w:tcW w:w="94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9"/>
              </w:rPr>
              <w:t>E</w:t>
            </w:r>
          </w:p>
        </w:tc>
        <w:tc>
          <w:tcPr>
            <w:tcW w:w="900" w:type="dxa"/>
            <w:vAlign w:val="bottom"/>
            <w:tcBorders>
              <w:top w:val="single" w:sz="8" w:color="2952A4"/>
              <w:bottom w:val="single" w:sz="8" w:color="2952A4"/>
            </w:tcBorders>
            <w:gridSpan w:val="2"/>
          </w:tcPr>
          <w:p>
            <w:pPr>
              <w:jc w:val="center"/>
              <w:ind w:right="60"/>
              <w:spacing w:after="0"/>
              <w:rPr>
                <w:sz w:val="20"/>
                <w:szCs w:val="20"/>
                <w:color w:val="auto"/>
              </w:rPr>
            </w:pPr>
            <w:r>
              <w:rPr>
                <w:rFonts w:ascii="Arial" w:cs="Arial" w:eastAsia="Arial" w:hAnsi="Arial"/>
                <w:sz w:val="12"/>
                <w:szCs w:val="12"/>
                <w:b w:val="1"/>
                <w:bCs w:val="1"/>
                <w:color w:val="2952A4"/>
              </w:rPr>
              <w:t>F</w:t>
            </w:r>
          </w:p>
        </w:tc>
        <w:tc>
          <w:tcPr>
            <w:tcW w:w="80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G</w:t>
            </w:r>
          </w:p>
        </w:tc>
        <w:tc>
          <w:tcPr>
            <w:tcW w:w="86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H</w:t>
            </w:r>
          </w:p>
        </w:tc>
        <w:tc>
          <w:tcPr>
            <w:tcW w:w="90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9"/>
                <w:szCs w:val="9"/>
                <w:b w:val="1"/>
                <w:bCs w:val="1"/>
                <w:color w:val="2952A4"/>
                <w:w w:val="77"/>
              </w:rPr>
              <w:t>I</w:t>
            </w:r>
          </w:p>
        </w:tc>
        <w:tc>
          <w:tcPr>
            <w:tcW w:w="88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89"/>
              </w:rPr>
              <w:t>J</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bottom w:val="single" w:sz="8" w:color="2952A4"/>
            </w:tcBorders>
          </w:tcPr>
          <w:p>
            <w:pPr>
              <w:spacing w:after="0"/>
              <w:rPr>
                <w:sz w:val="12"/>
                <w:szCs w:val="12"/>
                <w:color w:val="auto"/>
              </w:rPr>
            </w:pPr>
          </w:p>
        </w:tc>
        <w:tc>
          <w:tcPr>
            <w:tcW w:w="140" w:type="dxa"/>
            <w:vAlign w:val="bottom"/>
            <w:tcBorders>
              <w:bottom w:val="single" w:sz="8" w:color="2952A4"/>
            </w:tcBorders>
          </w:tcPr>
          <w:p>
            <w:pPr>
              <w:spacing w:after="0"/>
              <w:rPr>
                <w:sz w:val="12"/>
                <w:szCs w:val="12"/>
                <w:color w:val="auto"/>
              </w:rPr>
            </w:pPr>
          </w:p>
        </w:tc>
        <w:tc>
          <w:tcPr>
            <w:tcW w:w="840" w:type="dxa"/>
            <w:vAlign w:val="bottom"/>
            <w:tcBorders>
              <w:bottom w:val="single" w:sz="8" w:color="2952A4"/>
            </w:tcBorders>
          </w:tcPr>
          <w:p>
            <w:pPr>
              <w:spacing w:after="0"/>
              <w:rPr>
                <w:sz w:val="12"/>
                <w:szCs w:val="12"/>
                <w:color w:val="auto"/>
              </w:rPr>
            </w:pPr>
          </w:p>
        </w:tc>
        <w:tc>
          <w:tcPr>
            <w:tcW w:w="740" w:type="dxa"/>
            <w:vAlign w:val="bottom"/>
            <w:tcBorders>
              <w:bottom w:val="single" w:sz="8" w:color="2952A4"/>
            </w:tcBorders>
          </w:tcPr>
          <w:p>
            <w:pPr>
              <w:spacing w:after="0"/>
              <w:rPr>
                <w:sz w:val="12"/>
                <w:szCs w:val="12"/>
                <w:color w:val="auto"/>
              </w:rPr>
            </w:pPr>
          </w:p>
        </w:tc>
        <w:tc>
          <w:tcPr>
            <w:tcW w:w="1200" w:type="dxa"/>
            <w:vAlign w:val="bottom"/>
            <w:tcBorders>
              <w:bottom w:val="single" w:sz="8" w:color="2952A4"/>
            </w:tcBorders>
            <w:gridSpan w:val="2"/>
          </w:tcPr>
          <w:p>
            <w:pPr>
              <w:jc w:val="right"/>
              <w:ind w:right="176"/>
              <w:spacing w:after="0"/>
              <w:rPr>
                <w:sz w:val="20"/>
                <w:szCs w:val="20"/>
                <w:color w:val="auto"/>
              </w:rPr>
            </w:pPr>
            <w:r>
              <w:rPr>
                <w:rFonts w:ascii="Arial" w:cs="Arial" w:eastAsia="Arial" w:hAnsi="Arial"/>
                <w:sz w:val="12"/>
                <w:szCs w:val="12"/>
                <w:b w:val="1"/>
                <w:bCs w:val="1"/>
                <w:color w:val="2952A4"/>
              </w:rPr>
              <w:t>Option Awards</w:t>
            </w:r>
          </w:p>
        </w:tc>
        <w:tc>
          <w:tcPr>
            <w:tcW w:w="940" w:type="dxa"/>
            <w:vAlign w:val="bottom"/>
            <w:tcBorders>
              <w:bottom w:val="single" w:sz="8" w:color="2952A4"/>
            </w:tcBorders>
          </w:tcPr>
          <w:p>
            <w:pPr>
              <w:spacing w:after="0"/>
              <w:rPr>
                <w:sz w:val="12"/>
                <w:szCs w:val="12"/>
                <w:color w:val="auto"/>
              </w:rPr>
            </w:pPr>
          </w:p>
        </w:tc>
        <w:tc>
          <w:tcPr>
            <w:tcW w:w="800" w:type="dxa"/>
            <w:vAlign w:val="bottom"/>
            <w:tcBorders>
              <w:bottom w:val="single" w:sz="8" w:color="2952A4"/>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2952A4"/>
            </w:tcBorders>
          </w:tcPr>
          <w:p>
            <w:pPr>
              <w:spacing w:after="0"/>
              <w:rPr>
                <w:sz w:val="12"/>
                <w:szCs w:val="12"/>
                <w:color w:val="auto"/>
              </w:rPr>
            </w:pPr>
          </w:p>
        </w:tc>
        <w:tc>
          <w:tcPr>
            <w:tcW w:w="1760" w:type="dxa"/>
            <w:vAlign w:val="bottom"/>
            <w:tcBorders>
              <w:bottom w:val="single" w:sz="8" w:color="2952A4"/>
            </w:tcBorders>
            <w:gridSpan w:val="2"/>
          </w:tcPr>
          <w:p>
            <w:pPr>
              <w:jc w:val="right"/>
              <w:ind w:right="397"/>
              <w:spacing w:after="0"/>
              <w:rPr>
                <w:sz w:val="20"/>
                <w:szCs w:val="20"/>
                <w:color w:val="auto"/>
              </w:rPr>
            </w:pPr>
            <w:r>
              <w:rPr>
                <w:rFonts w:ascii="Arial" w:cs="Arial" w:eastAsia="Arial" w:hAnsi="Arial"/>
                <w:sz w:val="12"/>
                <w:szCs w:val="12"/>
                <w:b w:val="1"/>
                <w:bCs w:val="1"/>
                <w:color w:val="2952A4"/>
              </w:rPr>
              <w:t>Stock Awards</w:t>
            </w:r>
          </w:p>
        </w:tc>
        <w:tc>
          <w:tcPr>
            <w:tcW w:w="880" w:type="dxa"/>
            <w:vAlign w:val="bottom"/>
            <w:tcBorders>
              <w:bottom w:val="single" w:sz="8" w:color="2952A4"/>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Arial" w:cs="Arial" w:eastAsia="Arial" w:hAnsi="Arial"/>
                <w:sz w:val="12"/>
                <w:szCs w:val="12"/>
                <w:b w:val="1"/>
                <w:bCs w:val="1"/>
                <w:color w:val="2952A4"/>
                <w:w w:val="98"/>
              </w:rPr>
              <w:t>Equity</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incentive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incentive</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incentive</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plan awards:</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market or</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6"/>
              </w:rPr>
              <w:t>Number of</w:t>
            </w:r>
          </w:p>
        </w:tc>
        <w:tc>
          <w:tcPr>
            <w:tcW w:w="1040" w:type="dxa"/>
            <w:vAlign w:val="bottom"/>
            <w:gridSpan w:val="2"/>
          </w:tcPr>
          <w:p>
            <w:pPr>
              <w:jc w:val="center"/>
              <w:ind w:left="39"/>
              <w:spacing w:after="0" w:line="135" w:lineRule="exact"/>
              <w:rPr>
                <w:sz w:val="20"/>
                <w:szCs w:val="20"/>
                <w:color w:val="auto"/>
              </w:rPr>
            </w:pPr>
            <w:r>
              <w:rPr>
                <w:rFonts w:ascii="Arial" w:cs="Arial" w:eastAsia="Arial" w:hAnsi="Arial"/>
                <w:sz w:val="12"/>
                <w:szCs w:val="12"/>
                <w:b w:val="1"/>
                <w:bCs w:val="1"/>
                <w:color w:val="2952A4"/>
                <w:w w:val="96"/>
              </w:rPr>
              <w:t>Number of</w:t>
            </w:r>
          </w:p>
        </w:tc>
        <w:tc>
          <w:tcPr>
            <w:tcW w:w="900" w:type="dxa"/>
            <w:vAlign w:val="bottom"/>
          </w:tcPr>
          <w:p>
            <w:pPr>
              <w:jc w:val="right"/>
              <w:ind w:right="96"/>
              <w:spacing w:after="0" w:line="135" w:lineRule="exact"/>
              <w:rPr>
                <w:sz w:val="20"/>
                <w:szCs w:val="20"/>
                <w:color w:val="auto"/>
              </w:rPr>
            </w:pPr>
            <w:r>
              <w:rPr>
                <w:rFonts w:ascii="Arial" w:cs="Arial" w:eastAsia="Arial" w:hAnsi="Arial"/>
                <w:sz w:val="12"/>
                <w:szCs w:val="12"/>
                <w:b w:val="1"/>
                <w:bCs w:val="1"/>
                <w:color w:val="2952A4"/>
              </w:rPr>
              <w:t>number of</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number of</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payout value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1040" w:type="dxa"/>
            <w:vAlign w:val="bottom"/>
            <w:gridSpan w:val="2"/>
          </w:tcPr>
          <w:p>
            <w:pPr>
              <w:jc w:val="center"/>
              <w:ind w:left="39"/>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900" w:type="dxa"/>
            <w:vAlign w:val="bottom"/>
          </w:tcPr>
          <w:p>
            <w:pPr>
              <w:jc w:val="right"/>
              <w:ind w:right="96"/>
              <w:spacing w:after="0" w:line="135" w:lineRule="exact"/>
              <w:rPr>
                <w:sz w:val="20"/>
                <w:szCs w:val="20"/>
                <w:color w:val="auto"/>
              </w:rPr>
            </w:pPr>
            <w:r>
              <w:rPr>
                <w:rFonts w:ascii="Arial" w:cs="Arial" w:eastAsia="Arial" w:hAnsi="Arial"/>
                <w:sz w:val="12"/>
                <w:szCs w:val="12"/>
                <w:b w:val="1"/>
                <w:bCs w:val="1"/>
                <w:color w:val="2952A4"/>
              </w:rPr>
              <w:t>securities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Number of</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Market value</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unearned</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of unearned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4"/>
              </w:rPr>
              <w:t>underlying</w:t>
            </w:r>
          </w:p>
        </w:tc>
        <w:tc>
          <w:tcPr>
            <w:tcW w:w="1040" w:type="dxa"/>
            <w:vAlign w:val="bottom"/>
            <w:gridSpan w:val="2"/>
          </w:tcPr>
          <w:p>
            <w:pPr>
              <w:jc w:val="center"/>
              <w:ind w:left="59"/>
              <w:spacing w:after="0" w:line="135" w:lineRule="exact"/>
              <w:rPr>
                <w:sz w:val="20"/>
                <w:szCs w:val="20"/>
                <w:color w:val="auto"/>
              </w:rPr>
            </w:pPr>
            <w:r>
              <w:rPr>
                <w:rFonts w:ascii="Arial" w:cs="Arial" w:eastAsia="Arial" w:hAnsi="Arial"/>
                <w:sz w:val="12"/>
                <w:szCs w:val="12"/>
                <w:b w:val="1"/>
                <w:bCs w:val="1"/>
                <w:color w:val="2952A4"/>
                <w:w w:val="97"/>
              </w:rPr>
              <w:t>underlying</w:t>
            </w:r>
          </w:p>
        </w:tc>
        <w:tc>
          <w:tcPr>
            <w:tcW w:w="900" w:type="dxa"/>
            <w:vAlign w:val="bottom"/>
          </w:tcPr>
          <w:p>
            <w:pPr>
              <w:jc w:val="right"/>
              <w:ind w:right="76"/>
              <w:spacing w:after="0" w:line="135" w:lineRule="exact"/>
              <w:rPr>
                <w:sz w:val="20"/>
                <w:szCs w:val="20"/>
                <w:color w:val="auto"/>
              </w:rPr>
            </w:pPr>
            <w:r>
              <w:rPr>
                <w:rFonts w:ascii="Arial" w:cs="Arial" w:eastAsia="Arial" w:hAnsi="Arial"/>
                <w:sz w:val="12"/>
                <w:szCs w:val="12"/>
                <w:b w:val="1"/>
                <w:bCs w:val="1"/>
                <w:color w:val="2952A4"/>
              </w:rPr>
              <w:t>underlying</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shares or</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of shares or</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shares, units</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shares, units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9"/>
              </w:rPr>
              <w:t>unexercised</w:t>
            </w:r>
          </w:p>
        </w:tc>
        <w:tc>
          <w:tcPr>
            <w:tcW w:w="1040" w:type="dxa"/>
            <w:vAlign w:val="bottom"/>
            <w:gridSpan w:val="2"/>
          </w:tcPr>
          <w:p>
            <w:pPr>
              <w:jc w:val="center"/>
              <w:ind w:left="59"/>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2952A4"/>
                <w:w w:val="99"/>
              </w:rPr>
              <w:t>units of stock  units of stock  or other rights</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or other rights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6"/>
              </w:rPr>
              <w:t>options</w:t>
            </w:r>
          </w:p>
        </w:tc>
        <w:tc>
          <w:tcPr>
            <w:tcW w:w="1040" w:type="dxa"/>
            <w:vAlign w:val="bottom"/>
            <w:gridSpan w:val="2"/>
          </w:tcPr>
          <w:p>
            <w:pPr>
              <w:jc w:val="center"/>
              <w:ind w:left="39"/>
              <w:spacing w:after="0" w:line="135" w:lineRule="exact"/>
              <w:rPr>
                <w:sz w:val="20"/>
                <w:szCs w:val="20"/>
                <w:color w:val="auto"/>
              </w:rPr>
            </w:pPr>
            <w:r>
              <w:rPr>
                <w:rFonts w:ascii="Arial" w:cs="Arial" w:eastAsia="Arial" w:hAnsi="Arial"/>
                <w:sz w:val="12"/>
                <w:szCs w:val="12"/>
                <w:b w:val="1"/>
                <w:bCs w:val="1"/>
                <w:color w:val="2952A4"/>
                <w:w w:val="96"/>
              </w:rPr>
              <w:t>options</w:t>
            </w:r>
          </w:p>
        </w:tc>
        <w:tc>
          <w:tcPr>
            <w:tcW w:w="900" w:type="dxa"/>
            <w:vAlign w:val="bottom"/>
          </w:tcPr>
          <w:p>
            <w:pPr>
              <w:jc w:val="right"/>
              <w:ind w:right="116"/>
              <w:spacing w:after="0" w:line="135" w:lineRule="exact"/>
              <w:rPr>
                <w:sz w:val="20"/>
                <w:szCs w:val="20"/>
                <w:color w:val="auto"/>
              </w:rPr>
            </w:pPr>
            <w:r>
              <w:rPr>
                <w:rFonts w:ascii="Arial" w:cs="Arial" w:eastAsia="Arial" w:hAnsi="Arial"/>
                <w:sz w:val="12"/>
                <w:szCs w:val="12"/>
                <w:b w:val="1"/>
                <w:bCs w:val="1"/>
                <w:color w:val="2952A4"/>
              </w:rPr>
              <w:t>unearned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Option</w:t>
            </w:r>
          </w:p>
        </w:tc>
        <w:tc>
          <w:tcPr>
            <w:tcW w:w="90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2952A4"/>
                <w:w w:val="98"/>
              </w:rPr>
              <w:t>Option</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that have not</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that have not</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2952A4"/>
              </w:rPr>
              <w:t>Name</w:t>
            </w:r>
          </w:p>
        </w:tc>
        <w:tc>
          <w:tcPr>
            <w:tcW w:w="140" w:type="dxa"/>
            <w:vAlign w:val="bottom"/>
          </w:tcPr>
          <w:p>
            <w:pPr>
              <w:spacing w:after="0"/>
              <w:rPr>
                <w:sz w:val="12"/>
                <w:szCs w:val="12"/>
                <w:color w:val="auto"/>
              </w:rPr>
            </w:pPr>
          </w:p>
        </w:tc>
        <w:tc>
          <w:tcPr>
            <w:tcW w:w="840" w:type="dxa"/>
            <w:vAlign w:val="bottom"/>
          </w:tcPr>
          <w:p>
            <w:pPr>
              <w:jc w:val="center"/>
              <w:ind w:right="77"/>
              <w:spacing w:after="0"/>
              <w:rPr>
                <w:sz w:val="20"/>
                <w:szCs w:val="20"/>
                <w:color w:val="auto"/>
              </w:rPr>
            </w:pPr>
            <w:r>
              <w:rPr>
                <w:rFonts w:ascii="Arial" w:cs="Arial" w:eastAsia="Arial" w:hAnsi="Arial"/>
                <w:sz w:val="12"/>
                <w:szCs w:val="12"/>
                <w:b w:val="1"/>
                <w:bCs w:val="1"/>
                <w:color w:val="2952A4"/>
                <w:w w:val="94"/>
              </w:rPr>
              <w:t>exercisable</w:t>
            </w:r>
          </w:p>
        </w:tc>
        <w:tc>
          <w:tcPr>
            <w:tcW w:w="1040" w:type="dxa"/>
            <w:vAlign w:val="bottom"/>
            <w:gridSpan w:val="2"/>
          </w:tcPr>
          <w:p>
            <w:pPr>
              <w:jc w:val="center"/>
              <w:ind w:left="39"/>
              <w:spacing w:after="0"/>
              <w:rPr>
                <w:sz w:val="20"/>
                <w:szCs w:val="20"/>
                <w:color w:val="auto"/>
              </w:rPr>
            </w:pPr>
            <w:r>
              <w:rPr>
                <w:rFonts w:ascii="Arial" w:cs="Arial" w:eastAsia="Arial" w:hAnsi="Arial"/>
                <w:sz w:val="12"/>
                <w:szCs w:val="12"/>
                <w:b w:val="1"/>
                <w:bCs w:val="1"/>
                <w:color w:val="2952A4"/>
                <w:w w:val="97"/>
              </w:rPr>
              <w:t>unexercisable</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952A4"/>
              </w:rPr>
              <w:t>options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2952A4"/>
                <w:w w:val="97"/>
              </w:rPr>
              <w:t>exercise price</w:t>
            </w: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2952A4"/>
                <w:w w:val="97"/>
              </w:rPr>
              <w:t>expiration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952A4"/>
                <w:w w:val="94"/>
              </w:rPr>
              <w:t>vested</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13"/>
                <w:szCs w:val="13"/>
                <w:color w:val="auto"/>
              </w:rPr>
            </w:pPr>
          </w:p>
        </w:tc>
        <w:tc>
          <w:tcPr>
            <w:tcW w:w="1020" w:type="dxa"/>
            <w:vAlign w:val="bottom"/>
            <w:tcBorders>
              <w:bottom w:val="single" w:sz="8" w:color="2952A4"/>
            </w:tcBorders>
            <w:gridSpan w:val="2"/>
            <w:vMerge w:val="continue"/>
          </w:tcPr>
          <w:p>
            <w:pPr>
              <w:spacing w:after="0"/>
              <w:rPr>
                <w:sz w:val="13"/>
                <w:szCs w:val="13"/>
                <w:color w:val="auto"/>
              </w:rPr>
            </w:pPr>
          </w:p>
        </w:tc>
        <w:tc>
          <w:tcPr>
            <w:tcW w:w="980" w:type="dxa"/>
            <w:vAlign w:val="bottom"/>
            <w:tcBorders>
              <w:bottom w:val="single" w:sz="8" w:color="2952A4"/>
            </w:tcBorders>
            <w:gridSpan w:val="2"/>
          </w:tcPr>
          <w:p>
            <w:pPr>
              <w:jc w:val="center"/>
              <w:spacing w:after="0"/>
              <w:rPr>
                <w:sz w:val="20"/>
                <w:szCs w:val="20"/>
                <w:color w:val="auto"/>
              </w:rPr>
            </w:pPr>
            <w:r>
              <w:rPr>
                <w:rFonts w:ascii="Arial" w:cs="Arial" w:eastAsia="Arial" w:hAnsi="Arial"/>
                <w:sz w:val="12"/>
                <w:szCs w:val="12"/>
                <w:b w:val="1"/>
                <w:bCs w:val="1"/>
                <w:color w:val="2952A4"/>
                <w:w w:val="95"/>
              </w:rPr>
              <w:t>(#)</w:t>
            </w:r>
          </w:p>
        </w:tc>
        <w:tc>
          <w:tcPr>
            <w:tcW w:w="740" w:type="dxa"/>
            <w:vAlign w:val="bottom"/>
            <w:tcBorders>
              <w:bottom w:val="single" w:sz="8" w:color="2952A4"/>
            </w:tcBorders>
          </w:tcPr>
          <w:p>
            <w:pPr>
              <w:jc w:val="center"/>
              <w:ind w:left="339"/>
              <w:spacing w:after="0"/>
              <w:rPr>
                <w:sz w:val="20"/>
                <w:szCs w:val="20"/>
                <w:color w:val="auto"/>
              </w:rPr>
            </w:pPr>
            <w:r>
              <w:rPr>
                <w:rFonts w:ascii="Arial" w:cs="Arial" w:eastAsia="Arial" w:hAnsi="Arial"/>
                <w:sz w:val="12"/>
                <w:szCs w:val="12"/>
                <w:b w:val="1"/>
                <w:bCs w:val="1"/>
                <w:color w:val="2952A4"/>
                <w:w w:val="95"/>
              </w:rPr>
              <w:t>(#)</w:t>
            </w:r>
          </w:p>
        </w:tc>
        <w:tc>
          <w:tcPr>
            <w:tcW w:w="300" w:type="dxa"/>
            <w:vAlign w:val="bottom"/>
            <w:tcBorders>
              <w:bottom w:val="single" w:sz="8" w:color="2952A4"/>
            </w:tcBorders>
          </w:tcPr>
          <w:p>
            <w:pPr>
              <w:spacing w:after="0"/>
              <w:rPr>
                <w:sz w:val="13"/>
                <w:szCs w:val="13"/>
                <w:color w:val="auto"/>
              </w:rPr>
            </w:pPr>
          </w:p>
        </w:tc>
        <w:tc>
          <w:tcPr>
            <w:tcW w:w="9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w:t>
            </w:r>
          </w:p>
        </w:tc>
        <w:tc>
          <w:tcPr>
            <w:tcW w:w="94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900" w:type="dxa"/>
            <w:vAlign w:val="bottom"/>
            <w:tcBorders>
              <w:bottom w:val="single" w:sz="8" w:color="2952A4"/>
            </w:tcBorders>
            <w:gridSpan w:val="2"/>
          </w:tcPr>
          <w:p>
            <w:pPr>
              <w:jc w:val="center"/>
              <w:ind w:right="60"/>
              <w:spacing w:after="0"/>
              <w:rPr>
                <w:sz w:val="20"/>
                <w:szCs w:val="20"/>
                <w:color w:val="auto"/>
              </w:rPr>
            </w:pPr>
            <w:r>
              <w:rPr>
                <w:rFonts w:ascii="Arial" w:cs="Arial" w:eastAsia="Arial" w:hAnsi="Arial"/>
                <w:sz w:val="12"/>
                <w:szCs w:val="12"/>
                <w:b w:val="1"/>
                <w:bCs w:val="1"/>
                <w:color w:val="2952A4"/>
                <w:w w:val="97"/>
              </w:rPr>
              <w:t>date</w:t>
            </w:r>
          </w:p>
        </w:tc>
        <w:tc>
          <w:tcPr>
            <w:tcW w:w="8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9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8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tcPr>
          <w:p>
            <w:pPr>
              <w:jc w:val="right"/>
              <w:ind w:right="182"/>
              <w:spacing w:after="0" w:line="162" w:lineRule="exact"/>
              <w:rPr>
                <w:sz w:val="20"/>
                <w:szCs w:val="20"/>
                <w:color w:val="auto"/>
              </w:rPr>
            </w:pPr>
            <w:r>
              <w:rPr>
                <w:rFonts w:ascii="Arial" w:cs="Arial" w:eastAsia="Arial" w:hAnsi="Arial"/>
                <w:sz w:val="12"/>
                <w:szCs w:val="12"/>
                <w:color w:val="231F20"/>
              </w:rPr>
              <w:t>81,278</w:t>
            </w:r>
            <w:r>
              <w:rPr>
                <w:rFonts w:ascii="Arial" w:cs="Arial" w:eastAsia="Arial" w:hAnsi="Arial"/>
                <w:sz w:val="18"/>
                <w:szCs w:val="18"/>
                <w:color w:val="231F20"/>
                <w:vertAlign w:val="superscript"/>
              </w:rPr>
              <w:t>1</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231F20"/>
              </w:rPr>
              <w:t>372.46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12/11/2029</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231F20"/>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32,254</w:t>
            </w:r>
          </w:p>
        </w:tc>
        <w:tc>
          <w:tcPr>
            <w:tcW w:w="104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1"/>
                <w:szCs w:val="11"/>
                <w:color w:val="231F20"/>
              </w:rPr>
              <w:t>96,759</w:t>
            </w:r>
            <w:r>
              <w:rPr>
                <w:rFonts w:ascii="Arial" w:cs="Arial" w:eastAsia="Arial" w:hAnsi="Arial"/>
                <w:sz w:val="16"/>
                <w:szCs w:val="16"/>
                <w:color w:val="231F20"/>
                <w:vertAlign w:val="superscript"/>
              </w:rPr>
              <w:t>2</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381.40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12/12/2028</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69,738</w:t>
            </w:r>
          </w:p>
        </w:tc>
        <w:tc>
          <w:tcPr>
            <w:tcW w:w="104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1"/>
                <w:szCs w:val="11"/>
                <w:color w:val="231F20"/>
              </w:rPr>
              <w:t>69,736</w:t>
            </w:r>
            <w:r>
              <w:rPr>
                <w:rFonts w:ascii="Arial" w:cs="Arial" w:eastAsia="Arial" w:hAnsi="Arial"/>
                <w:sz w:val="16"/>
                <w:szCs w:val="16"/>
                <w:color w:val="231F20"/>
                <w:vertAlign w:val="superscript"/>
              </w:rPr>
              <w:t>3</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378.98</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12/12/2027</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110,112</w:t>
            </w:r>
          </w:p>
        </w:tc>
        <w:tc>
          <w:tcPr>
            <w:tcW w:w="104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1"/>
                <w:szCs w:val="11"/>
                <w:color w:val="231F20"/>
              </w:rPr>
              <w:t>36,703</w:t>
            </w:r>
            <w:r>
              <w:rPr>
                <w:rFonts w:ascii="Arial" w:cs="Arial" w:eastAsia="Arial" w:hAnsi="Arial"/>
                <w:sz w:val="16"/>
                <w:szCs w:val="16"/>
                <w:color w:val="231F20"/>
                <w:vertAlign w:val="superscript"/>
              </w:rPr>
              <w:t>4</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381.92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12/16/2026</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172,723</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555.67</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12/16/2025</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203,204</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399.66</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12/16/2024</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C04C57"/>
              </w:rPr>
              <w:t>Leonard S.</w:t>
            </w:r>
          </w:p>
        </w:tc>
        <w:tc>
          <w:tcPr>
            <w:tcW w:w="980" w:type="dxa"/>
            <w:vAlign w:val="bottom"/>
            <w:tcBorders>
              <w:bottom w:val="single" w:sz="8" w:color="auto"/>
            </w:tcBorders>
            <w:gridSpan w:val="2"/>
          </w:tcPr>
          <w:p>
            <w:pPr>
              <w:jc w:val="right"/>
              <w:ind w:right="197"/>
              <w:spacing w:after="0" w:line="129" w:lineRule="exact"/>
              <w:rPr>
                <w:sz w:val="20"/>
                <w:szCs w:val="20"/>
                <w:color w:val="auto"/>
              </w:rPr>
            </w:pPr>
            <w:r>
              <w:rPr>
                <w:rFonts w:ascii="Arial" w:cs="Arial" w:eastAsia="Arial" w:hAnsi="Arial"/>
                <w:sz w:val="13"/>
                <w:szCs w:val="13"/>
                <w:color w:val="231F20"/>
              </w:rPr>
              <w:t>239,063</w:t>
            </w:r>
          </w:p>
        </w:tc>
        <w:tc>
          <w:tcPr>
            <w:tcW w:w="1040" w:type="dxa"/>
            <w:vAlign w:val="bottom"/>
            <w:tcBorders>
              <w:bottom w:val="single" w:sz="8" w:color="auto"/>
            </w:tcBorders>
            <w:gridSpan w:val="2"/>
          </w:tcPr>
          <w:p>
            <w:pPr>
              <w:jc w:val="right"/>
              <w:ind w:right="242"/>
              <w:spacing w:after="0" w:line="129"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29"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29" w:lineRule="exact"/>
              <w:rPr>
                <w:sz w:val="20"/>
                <w:szCs w:val="20"/>
                <w:color w:val="auto"/>
              </w:rPr>
            </w:pPr>
            <w:r>
              <w:rPr>
                <w:rFonts w:ascii="Arial" w:cs="Arial" w:eastAsia="Arial" w:hAnsi="Arial"/>
                <w:sz w:val="13"/>
                <w:szCs w:val="13"/>
                <w:color w:val="231F20"/>
              </w:rPr>
              <w:t>270.43</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12/13/2023</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29"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Schleifer,</w:t>
            </w: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281,250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179.13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12/14/2022</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M.D., Ph.D.</w:t>
            </w: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160,000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240,000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125,000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187,500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231F20"/>
              </w:rPr>
              <w:t>TOTAL</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color w:val="231F20"/>
              </w:rPr>
              <w:t>5,590</w:t>
            </w:r>
            <w:r>
              <w:rPr>
                <w:rFonts w:ascii="Arial" w:cs="Arial" w:eastAsia="Arial" w:hAnsi="Arial"/>
                <w:sz w:val="16"/>
                <w:szCs w:val="16"/>
                <w:color w:val="231F20"/>
                <w:vertAlign w:val="superscript"/>
              </w:rPr>
              <w:t>5</w:t>
            </w: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1"/>
                <w:szCs w:val="11"/>
                <w:color w:val="231F20"/>
              </w:rPr>
              <w:t>2,098,933</w:t>
            </w:r>
            <w:r>
              <w:rPr>
                <w:rFonts w:ascii="Arial" w:cs="Arial" w:eastAsia="Arial" w:hAnsi="Arial"/>
                <w:sz w:val="16"/>
                <w:szCs w:val="16"/>
                <w:color w:val="231F20"/>
                <w:vertAlign w:val="superscript"/>
              </w:rPr>
              <w:t>6</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b w:val="1"/>
                <w:bCs w:val="1"/>
                <w:color w:val="231F20"/>
              </w:rPr>
              <w:t>1,820,844</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b w:val="1"/>
                <w:bCs w:val="1"/>
                <w:color w:val="231F20"/>
              </w:rPr>
              <w:t>284,476</w:t>
            </w: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231F20"/>
              </w:rPr>
              <w:t>5,590</w:t>
            </w:r>
          </w:p>
        </w:tc>
        <w:tc>
          <w:tcPr>
            <w:tcW w:w="8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900" w:type="dxa"/>
            <w:vAlign w:val="bottom"/>
            <w:tcBorders>
              <w:bottom w:val="single" w:sz="8" w:color="EAEAEC"/>
            </w:tcBorders>
            <w:shd w:val="clear" w:color="auto" w:fill="EAEAEC"/>
          </w:tcPr>
          <w:p>
            <w:pPr>
              <w:spacing w:after="0"/>
              <w:rPr>
                <w:sz w:val="13"/>
                <w:szCs w:val="13"/>
                <w:color w:val="auto"/>
              </w:rPr>
            </w:pPr>
          </w:p>
        </w:tc>
        <w:tc>
          <w:tcPr>
            <w:tcW w:w="120" w:type="dxa"/>
            <w:vAlign w:val="bottom"/>
            <w:tcBorders>
              <w:bottom w:val="single" w:sz="8" w:color="EAEAEC"/>
            </w:tcBorders>
            <w:shd w:val="clear" w:color="auto" w:fill="EAEAEC"/>
          </w:tcPr>
          <w:p>
            <w:pPr>
              <w:spacing w:after="0"/>
              <w:rPr>
                <w:sz w:val="13"/>
                <w:szCs w:val="13"/>
                <w:color w:val="auto"/>
              </w:rPr>
            </w:pPr>
          </w:p>
        </w:tc>
        <w:tc>
          <w:tcPr>
            <w:tcW w:w="140" w:type="dxa"/>
            <w:vAlign w:val="bottom"/>
            <w:tcBorders>
              <w:bottom w:val="single" w:sz="8" w:color="auto"/>
            </w:tcBorders>
            <w:shd w:val="clear" w:color="auto" w:fill="EAEAEC"/>
          </w:tcPr>
          <w:p>
            <w:pPr>
              <w:spacing w:after="0"/>
              <w:rPr>
                <w:sz w:val="13"/>
                <w:szCs w:val="13"/>
                <w:color w:val="auto"/>
              </w:rPr>
            </w:pPr>
          </w:p>
        </w:tc>
        <w:tc>
          <w:tcPr>
            <w:tcW w:w="840" w:type="dxa"/>
            <w:vAlign w:val="bottom"/>
            <w:tcBorders>
              <w:bottom w:val="single" w:sz="8" w:color="auto"/>
            </w:tcBorders>
            <w:shd w:val="clear" w:color="auto" w:fill="EAEAEC"/>
          </w:tcPr>
          <w:p>
            <w:pPr>
              <w:jc w:val="right"/>
              <w:ind w:right="197"/>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shd w:val="clear" w:color="auto" w:fill="EAEAEC"/>
          </w:tcPr>
          <w:p>
            <w:pPr>
              <w:jc w:val="right"/>
              <w:ind w:right="182"/>
              <w:spacing w:after="0" w:line="156" w:lineRule="exact"/>
              <w:rPr>
                <w:sz w:val="20"/>
                <w:szCs w:val="20"/>
                <w:color w:val="auto"/>
              </w:rPr>
            </w:pPr>
            <w:r>
              <w:rPr>
                <w:rFonts w:ascii="Arial" w:cs="Arial" w:eastAsia="Arial" w:hAnsi="Arial"/>
                <w:sz w:val="12"/>
                <w:szCs w:val="12"/>
                <w:color w:val="231F20"/>
              </w:rPr>
              <w:t>81,278</w:t>
            </w:r>
            <w:r>
              <w:rPr>
                <w:rFonts w:ascii="Arial" w:cs="Arial" w:eastAsia="Arial" w:hAnsi="Arial"/>
                <w:sz w:val="18"/>
                <w:szCs w:val="18"/>
                <w:color w:val="231F20"/>
                <w:vertAlign w:val="superscript"/>
              </w:rPr>
              <w:t>1</w:t>
            </w:r>
          </w:p>
        </w:tc>
        <w:tc>
          <w:tcPr>
            <w:tcW w:w="900" w:type="dxa"/>
            <w:vAlign w:val="bottom"/>
            <w:tcBorders>
              <w:bottom w:val="single" w:sz="8" w:color="auto"/>
            </w:tcBorders>
            <w:shd w:val="clear" w:color="auto" w:fill="EAEAEC"/>
          </w:tcPr>
          <w:p>
            <w:pPr>
              <w:jc w:val="right"/>
              <w:ind w:right="96"/>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rPr>
                <w:sz w:val="20"/>
                <w:szCs w:val="20"/>
                <w:color w:val="auto"/>
              </w:rPr>
            </w:pPr>
            <w:r>
              <w:rPr>
                <w:rFonts w:ascii="Arial" w:cs="Arial" w:eastAsia="Arial" w:hAnsi="Arial"/>
                <w:sz w:val="13"/>
                <w:szCs w:val="13"/>
                <w:color w:val="231F20"/>
              </w:rPr>
              <w:t>372.46</w:t>
            </w:r>
          </w:p>
        </w:tc>
        <w:tc>
          <w:tcPr>
            <w:tcW w:w="8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12/11/2029</w:t>
            </w:r>
          </w:p>
        </w:tc>
        <w:tc>
          <w:tcPr>
            <w:tcW w:w="100" w:type="dxa"/>
            <w:vAlign w:val="bottom"/>
            <w:tcBorders>
              <w:bottom w:val="single" w:sz="8" w:color="auto"/>
            </w:tcBorders>
            <w:shd w:val="clear" w:color="auto" w:fill="EAEAEC"/>
          </w:tcPr>
          <w:p>
            <w:pPr>
              <w:spacing w:after="0"/>
              <w:rPr>
                <w:sz w:val="13"/>
                <w:szCs w:val="13"/>
                <w:color w:val="auto"/>
              </w:rPr>
            </w:pPr>
          </w:p>
        </w:tc>
        <w:tc>
          <w:tcPr>
            <w:tcW w:w="800" w:type="dxa"/>
            <w:vAlign w:val="bottom"/>
            <w:tcBorders>
              <w:bottom w:val="single" w:sz="8" w:color="auto"/>
            </w:tcBorders>
            <w:shd w:val="clear" w:color="auto" w:fill="EAEAEC"/>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rPr>
                <w:sz w:val="20"/>
                <w:szCs w:val="20"/>
                <w:color w:val="auto"/>
              </w:rPr>
            </w:pPr>
            <w:r>
              <w:rPr>
                <w:rFonts w:ascii="Arial" w:cs="Arial" w:eastAsia="Arial" w:hAnsi="Arial"/>
                <w:sz w:val="13"/>
                <w:szCs w:val="13"/>
                <w:color w:val="231F20"/>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980" w:type="dxa"/>
            <w:vAlign w:val="bottom"/>
            <w:tcBorders>
              <w:bottom w:val="single" w:sz="8" w:color="auto"/>
            </w:tcBorders>
            <w:gridSpan w:val="2"/>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32,254</w:t>
            </w:r>
          </w:p>
        </w:tc>
        <w:tc>
          <w:tcPr>
            <w:tcW w:w="1040" w:type="dxa"/>
            <w:vAlign w:val="bottom"/>
            <w:tcBorders>
              <w:bottom w:val="single" w:sz="8" w:color="auto"/>
            </w:tcBorders>
            <w:gridSpan w:val="2"/>
            <w:shd w:val="clear" w:color="auto" w:fill="EAEAEC"/>
          </w:tcPr>
          <w:p>
            <w:pPr>
              <w:jc w:val="right"/>
              <w:ind w:right="182"/>
              <w:spacing w:after="0" w:line="142" w:lineRule="exact"/>
              <w:rPr>
                <w:sz w:val="20"/>
                <w:szCs w:val="20"/>
                <w:color w:val="auto"/>
              </w:rPr>
            </w:pPr>
            <w:r>
              <w:rPr>
                <w:rFonts w:ascii="Arial" w:cs="Arial" w:eastAsia="Arial" w:hAnsi="Arial"/>
                <w:sz w:val="11"/>
                <w:szCs w:val="11"/>
                <w:color w:val="231F20"/>
              </w:rPr>
              <w:t>96,759</w:t>
            </w:r>
            <w:r>
              <w:rPr>
                <w:rFonts w:ascii="Arial" w:cs="Arial" w:eastAsia="Arial" w:hAnsi="Arial"/>
                <w:sz w:val="16"/>
                <w:szCs w:val="16"/>
                <w:color w:val="231F20"/>
                <w:vertAlign w:val="superscript"/>
              </w:rPr>
              <w:t>2</w:t>
            </w: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381.40</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12/12/2028</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69,738</w:t>
            </w:r>
          </w:p>
        </w:tc>
        <w:tc>
          <w:tcPr>
            <w:tcW w:w="1040" w:type="dxa"/>
            <w:vAlign w:val="bottom"/>
            <w:tcBorders>
              <w:bottom w:val="single" w:sz="8" w:color="auto"/>
            </w:tcBorders>
            <w:gridSpan w:val="2"/>
            <w:shd w:val="clear" w:color="auto" w:fill="EAEAEC"/>
          </w:tcPr>
          <w:p>
            <w:pPr>
              <w:jc w:val="right"/>
              <w:ind w:right="182"/>
              <w:spacing w:after="0" w:line="142" w:lineRule="exact"/>
              <w:rPr>
                <w:sz w:val="20"/>
                <w:szCs w:val="20"/>
                <w:color w:val="auto"/>
              </w:rPr>
            </w:pPr>
            <w:r>
              <w:rPr>
                <w:rFonts w:ascii="Arial" w:cs="Arial" w:eastAsia="Arial" w:hAnsi="Arial"/>
                <w:sz w:val="11"/>
                <w:szCs w:val="11"/>
                <w:color w:val="231F20"/>
              </w:rPr>
              <w:t>69,736</w:t>
            </w:r>
            <w:r>
              <w:rPr>
                <w:rFonts w:ascii="Arial" w:cs="Arial" w:eastAsia="Arial" w:hAnsi="Arial"/>
                <w:sz w:val="16"/>
                <w:szCs w:val="16"/>
                <w:color w:val="231F20"/>
                <w:vertAlign w:val="superscript"/>
              </w:rPr>
              <w:t>3</w:t>
            </w: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378.98</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12/12/2027</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110,112</w:t>
            </w:r>
          </w:p>
        </w:tc>
        <w:tc>
          <w:tcPr>
            <w:tcW w:w="1040" w:type="dxa"/>
            <w:vAlign w:val="bottom"/>
            <w:tcBorders>
              <w:bottom w:val="single" w:sz="8" w:color="auto"/>
            </w:tcBorders>
            <w:gridSpan w:val="2"/>
            <w:shd w:val="clear" w:color="auto" w:fill="EAEAEC"/>
          </w:tcPr>
          <w:p>
            <w:pPr>
              <w:jc w:val="right"/>
              <w:ind w:right="182"/>
              <w:spacing w:after="0" w:line="142" w:lineRule="exact"/>
              <w:rPr>
                <w:sz w:val="20"/>
                <w:szCs w:val="20"/>
                <w:color w:val="auto"/>
              </w:rPr>
            </w:pPr>
            <w:r>
              <w:rPr>
                <w:rFonts w:ascii="Arial" w:cs="Arial" w:eastAsia="Arial" w:hAnsi="Arial"/>
                <w:sz w:val="11"/>
                <w:szCs w:val="11"/>
                <w:color w:val="231F20"/>
              </w:rPr>
              <w:t>36,703</w:t>
            </w:r>
            <w:r>
              <w:rPr>
                <w:rFonts w:ascii="Arial" w:cs="Arial" w:eastAsia="Arial" w:hAnsi="Arial"/>
                <w:sz w:val="16"/>
                <w:szCs w:val="16"/>
                <w:color w:val="231F20"/>
                <w:vertAlign w:val="superscript"/>
              </w:rPr>
              <w:t>4</w:t>
            </w: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381.92</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12/16/2026</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146,815</w:t>
            </w:r>
          </w:p>
        </w:tc>
        <w:tc>
          <w:tcPr>
            <w:tcW w:w="1040" w:type="dxa"/>
            <w:vAlign w:val="bottom"/>
            <w:tcBorders>
              <w:bottom w:val="single" w:sz="8" w:color="auto"/>
            </w:tcBorders>
            <w:gridSpan w:val="2"/>
            <w:shd w:val="clear" w:color="auto" w:fill="EAEAEC"/>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555.67</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12/16/2025</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172,723</w:t>
            </w:r>
          </w:p>
        </w:tc>
        <w:tc>
          <w:tcPr>
            <w:tcW w:w="1040" w:type="dxa"/>
            <w:vAlign w:val="bottom"/>
            <w:tcBorders>
              <w:bottom w:val="single" w:sz="8" w:color="auto"/>
            </w:tcBorders>
            <w:gridSpan w:val="2"/>
            <w:shd w:val="clear" w:color="auto" w:fill="EAEAEC"/>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399.66</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12/16/2024</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George D.</w:t>
            </w: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203,204</w:t>
            </w:r>
          </w:p>
        </w:tc>
        <w:tc>
          <w:tcPr>
            <w:tcW w:w="1040" w:type="dxa"/>
            <w:vAlign w:val="bottom"/>
            <w:tcBorders>
              <w:bottom w:val="single" w:sz="8" w:color="auto"/>
            </w:tcBorders>
            <w:gridSpan w:val="2"/>
            <w:shd w:val="clear" w:color="auto" w:fill="EAEAEC"/>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270.43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12/13/2023</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w w:val="96"/>
              </w:rPr>
              <w:t>Yancopoulos,</w:t>
            </w: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239,063</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179.13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12/14/2022</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M.D., Ph.D.</w:t>
            </w: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158,079</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240,000</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96,736</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shd w:val="clear" w:color="auto" w:fill="EAEAEC"/>
          </w:tcPr>
          <w:p>
            <w:pPr>
              <w:spacing w:after="0"/>
              <w:rPr>
                <w:sz w:val="12"/>
                <w:szCs w:val="12"/>
                <w:color w:val="auto"/>
              </w:rPr>
            </w:pP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150,000</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EAEAEC"/>
            </w:tcBorders>
            <w:vMerge w:val="restart"/>
            <w:shd w:val="clear" w:color="auto" w:fill="EAEAEC"/>
          </w:tcPr>
          <w:p>
            <w:pPr>
              <w:ind w:left="480"/>
              <w:spacing w:after="0"/>
              <w:rPr>
                <w:sz w:val="20"/>
                <w:szCs w:val="20"/>
                <w:color w:val="auto"/>
              </w:rPr>
            </w:pPr>
            <w:r>
              <w:rPr>
                <w:rFonts w:ascii="Arial" w:cs="Arial" w:eastAsia="Arial" w:hAnsi="Arial"/>
                <w:sz w:val="13"/>
                <w:szCs w:val="13"/>
                <w:b w:val="1"/>
                <w:bCs w:val="1"/>
                <w:color w:val="231F20"/>
                <w:w w:val="92"/>
              </w:rPr>
              <w:t>TOTAL</w:t>
            </w:r>
          </w:p>
        </w:tc>
        <w:tc>
          <w:tcPr>
            <w:tcW w:w="12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shd w:val="clear" w:color="auto" w:fill="EAEAEC"/>
          </w:tcPr>
          <w:p>
            <w:pPr>
              <w:jc w:val="right"/>
              <w:ind w:right="140"/>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1"/>
                <w:szCs w:val="11"/>
                <w:color w:val="231F20"/>
              </w:rPr>
              <w:t>5,590</w:t>
            </w:r>
            <w:r>
              <w:rPr>
                <w:rFonts w:ascii="Arial" w:cs="Arial" w:eastAsia="Arial" w:hAnsi="Arial"/>
                <w:sz w:val="16"/>
                <w:szCs w:val="16"/>
                <w:color w:val="231F20"/>
                <w:vertAlign w:val="superscript"/>
              </w:rPr>
              <w:t>5</w:t>
            </w:r>
          </w:p>
        </w:tc>
        <w:tc>
          <w:tcPr>
            <w:tcW w:w="880" w:type="dxa"/>
            <w:vAlign w:val="bottom"/>
            <w:tcBorders>
              <w:bottom w:val="single" w:sz="8" w:color="auto"/>
            </w:tcBorders>
            <w:shd w:val="clear" w:color="auto" w:fill="EAEAEC"/>
          </w:tcPr>
          <w:p>
            <w:pPr>
              <w:ind w:left="220"/>
              <w:spacing w:after="0" w:line="142" w:lineRule="exact"/>
              <w:rPr>
                <w:sz w:val="20"/>
                <w:szCs w:val="20"/>
                <w:color w:val="auto"/>
              </w:rPr>
            </w:pPr>
            <w:r>
              <w:rPr>
                <w:rFonts w:ascii="Arial" w:cs="Arial" w:eastAsia="Arial" w:hAnsi="Arial"/>
                <w:sz w:val="11"/>
                <w:szCs w:val="11"/>
                <w:color w:val="231F20"/>
              </w:rPr>
              <w:t>2,098,933</w:t>
            </w:r>
            <w:r>
              <w:rPr>
                <w:rFonts w:ascii="Arial" w:cs="Arial" w:eastAsia="Arial" w:hAnsi="Arial"/>
                <w:sz w:val="16"/>
                <w:szCs w:val="16"/>
                <w:color w:val="231F20"/>
                <w:vertAlign w:val="superscript"/>
              </w:rPr>
              <w:t>6</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Borders>
              <w:bottom w:val="single" w:sz="8" w:color="auto"/>
            </w:tcBorders>
            <w:vMerge w:val="continue"/>
            <w:shd w:val="clear" w:color="auto" w:fill="EAEAEC"/>
          </w:tcPr>
          <w:p>
            <w:pPr>
              <w:spacing w:after="0"/>
              <w:rPr>
                <w:sz w:val="12"/>
                <w:szCs w:val="12"/>
                <w:color w:val="auto"/>
              </w:rPr>
            </w:pPr>
          </w:p>
        </w:tc>
        <w:tc>
          <w:tcPr>
            <w:tcW w:w="120" w:type="dxa"/>
            <w:vAlign w:val="bottom"/>
            <w:tcBorders>
              <w:bottom w:val="single" w:sz="8" w:color="auto"/>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b w:val="1"/>
                <w:bCs w:val="1"/>
                <w:color w:val="231F20"/>
                <w:w w:val="96"/>
              </w:rPr>
              <w:t>1,618,724</w:t>
            </w:r>
          </w:p>
        </w:tc>
        <w:tc>
          <w:tcPr>
            <w:tcW w:w="74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b w:val="1"/>
                <w:bCs w:val="1"/>
                <w:color w:val="231F20"/>
              </w:rPr>
              <w:t>284,476</w:t>
            </w:r>
          </w:p>
        </w:tc>
        <w:tc>
          <w:tcPr>
            <w:tcW w:w="3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spacing w:after="0"/>
              <w:rPr>
                <w:sz w:val="12"/>
                <w:szCs w:val="12"/>
                <w:color w:val="auto"/>
              </w:rPr>
            </w:pPr>
          </w:p>
        </w:tc>
        <w:tc>
          <w:tcPr>
            <w:tcW w:w="94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spacing w:after="0"/>
              <w:rPr>
                <w:sz w:val="12"/>
                <w:szCs w:val="12"/>
                <w:color w:val="auto"/>
              </w:rPr>
            </w:pP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b w:val="1"/>
                <w:bCs w:val="1"/>
                <w:color w:val="231F20"/>
              </w:rPr>
              <w:t>5,590</w:t>
            </w:r>
          </w:p>
        </w:tc>
        <w:tc>
          <w:tcPr>
            <w:tcW w:w="880" w:type="dxa"/>
            <w:vAlign w:val="bottom"/>
            <w:tcBorders>
              <w:bottom w:val="single" w:sz="8" w:color="auto"/>
            </w:tcBorders>
            <w:shd w:val="clear" w:color="auto" w:fill="EAEAEC"/>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tcPr>
          <w:p>
            <w:pPr>
              <w:jc w:val="right"/>
              <w:ind w:right="182"/>
              <w:spacing w:after="0" w:line="156" w:lineRule="exact"/>
              <w:rPr>
                <w:sz w:val="20"/>
                <w:szCs w:val="20"/>
                <w:color w:val="auto"/>
              </w:rPr>
            </w:pPr>
            <w:r>
              <w:rPr>
                <w:rFonts w:ascii="Arial" w:cs="Arial" w:eastAsia="Arial" w:hAnsi="Arial"/>
                <w:sz w:val="12"/>
                <w:szCs w:val="12"/>
                <w:color w:val="231F20"/>
              </w:rPr>
              <w:t>24,500</w:t>
            </w:r>
            <w:r>
              <w:rPr>
                <w:rFonts w:ascii="Arial" w:cs="Arial" w:eastAsia="Arial" w:hAnsi="Arial"/>
                <w:sz w:val="18"/>
                <w:szCs w:val="18"/>
                <w:color w:val="231F20"/>
                <w:vertAlign w:val="superscript"/>
              </w:rPr>
              <w:t>1</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231F20"/>
              </w:rPr>
              <w:t>372.46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12/11/2029</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231F20"/>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5,000</w:t>
            </w:r>
          </w:p>
        </w:tc>
        <w:tc>
          <w:tcPr>
            <w:tcW w:w="104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1"/>
                <w:szCs w:val="11"/>
                <w:color w:val="231F20"/>
              </w:rPr>
              <w:t>15,000</w:t>
            </w:r>
            <w:r>
              <w:rPr>
                <w:rFonts w:ascii="Arial" w:cs="Arial" w:eastAsia="Arial" w:hAnsi="Arial"/>
                <w:sz w:val="16"/>
                <w:szCs w:val="16"/>
                <w:color w:val="231F20"/>
                <w:vertAlign w:val="superscript"/>
              </w:rPr>
              <w:t>2</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381.40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12/12/2028</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11,669</w:t>
            </w:r>
          </w:p>
        </w:tc>
        <w:tc>
          <w:tcPr>
            <w:tcW w:w="104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1"/>
                <w:szCs w:val="11"/>
                <w:color w:val="231F20"/>
              </w:rPr>
              <w:t>11,668</w:t>
            </w:r>
            <w:r>
              <w:rPr>
                <w:rFonts w:ascii="Arial" w:cs="Arial" w:eastAsia="Arial" w:hAnsi="Arial"/>
                <w:sz w:val="16"/>
                <w:szCs w:val="16"/>
                <w:color w:val="231F20"/>
                <w:vertAlign w:val="superscript"/>
              </w:rPr>
              <w:t>3</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378.98</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12/12/2027</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18,424</w:t>
            </w:r>
          </w:p>
        </w:tc>
        <w:tc>
          <w:tcPr>
            <w:tcW w:w="104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1"/>
                <w:szCs w:val="11"/>
                <w:color w:val="231F20"/>
              </w:rPr>
              <w:t>6,141</w:t>
            </w:r>
            <w:r>
              <w:rPr>
                <w:rFonts w:ascii="Arial" w:cs="Arial" w:eastAsia="Arial" w:hAnsi="Arial"/>
                <w:sz w:val="16"/>
                <w:szCs w:val="16"/>
                <w:color w:val="231F20"/>
                <w:vertAlign w:val="superscript"/>
              </w:rPr>
              <w:t>4</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381.92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12/16/2026</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28,900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555.67</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12/16/2025</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Robert E.</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34,000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399.66</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12/16/2024</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Landry</w:t>
            </w: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color w:val="231F20"/>
              </w:rPr>
              <w:t>57,000</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272.70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9/9/2023</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color w:val="231F20"/>
              </w:rPr>
              <w:t>2,625</w:t>
            </w:r>
            <w:r>
              <w:rPr>
                <w:rFonts w:ascii="Arial" w:cs="Arial" w:eastAsia="Arial" w:hAnsi="Arial"/>
                <w:sz w:val="16"/>
                <w:szCs w:val="16"/>
                <w:color w:val="231F20"/>
                <w:vertAlign w:val="superscript"/>
              </w:rPr>
              <w:t>7</w:t>
            </w:r>
          </w:p>
        </w:tc>
        <w:tc>
          <w:tcPr>
            <w:tcW w:w="8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1"/>
                <w:szCs w:val="11"/>
                <w:color w:val="231F20"/>
              </w:rPr>
              <w:t>985,635</w:t>
            </w:r>
            <w:r>
              <w:rPr>
                <w:rFonts w:ascii="Arial" w:cs="Arial" w:eastAsia="Arial" w:hAnsi="Arial"/>
                <w:sz w:val="16"/>
                <w:szCs w:val="16"/>
                <w:color w:val="231F20"/>
                <w:vertAlign w:val="superscript"/>
              </w:rPr>
              <w:t>6</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color w:val="231F20"/>
              </w:rPr>
              <w:t>5,000</w:t>
            </w:r>
            <w:r>
              <w:rPr>
                <w:rFonts w:ascii="Arial" w:cs="Arial" w:eastAsia="Arial" w:hAnsi="Arial"/>
                <w:sz w:val="16"/>
                <w:szCs w:val="16"/>
                <w:color w:val="231F20"/>
                <w:vertAlign w:val="superscript"/>
              </w:rPr>
              <w:t>8</w:t>
            </w:r>
          </w:p>
        </w:tc>
        <w:tc>
          <w:tcPr>
            <w:tcW w:w="8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1"/>
                <w:szCs w:val="11"/>
                <w:color w:val="231F20"/>
              </w:rPr>
              <w:t>1,877,400</w:t>
            </w:r>
            <w:r>
              <w:rPr>
                <w:rFonts w:ascii="Arial" w:cs="Arial" w:eastAsia="Arial" w:hAnsi="Arial"/>
                <w:sz w:val="16"/>
                <w:szCs w:val="16"/>
                <w:color w:val="231F20"/>
                <w:vertAlign w:val="superscript"/>
              </w:rPr>
              <w:t>6</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231F20"/>
              </w:rPr>
              <w:t>TOTAL</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color w:val="231F20"/>
              </w:rPr>
              <w:t>12,500</w:t>
            </w:r>
            <w:r>
              <w:rPr>
                <w:rFonts w:ascii="Arial" w:cs="Arial" w:eastAsia="Arial" w:hAnsi="Arial"/>
                <w:sz w:val="16"/>
                <w:szCs w:val="16"/>
                <w:color w:val="231F20"/>
                <w:vertAlign w:val="superscript"/>
              </w:rPr>
              <w:t>9</w:t>
            </w:r>
          </w:p>
        </w:tc>
        <w:tc>
          <w:tcPr>
            <w:tcW w:w="8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1"/>
                <w:szCs w:val="11"/>
                <w:color w:val="231F20"/>
              </w:rPr>
              <w:t>4,693,500</w:t>
            </w:r>
            <w:r>
              <w:rPr>
                <w:rFonts w:ascii="Arial" w:cs="Arial" w:eastAsia="Arial" w:hAnsi="Arial"/>
                <w:sz w:val="16"/>
                <w:szCs w:val="16"/>
                <w:color w:val="231F20"/>
                <w:vertAlign w:val="superscript"/>
              </w:rPr>
              <w:t>6</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color w:val="231F20"/>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98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b w:val="1"/>
                <w:bCs w:val="1"/>
                <w:color w:val="231F20"/>
              </w:rPr>
              <w:t>154,993</w:t>
            </w:r>
          </w:p>
        </w:tc>
        <w:tc>
          <w:tcPr>
            <w:tcW w:w="1040" w:type="dxa"/>
            <w:vAlign w:val="bottom"/>
            <w:tcBorders>
              <w:bottom w:val="single" w:sz="8" w:color="auto"/>
            </w:tcBorders>
            <w:gridSpan w:val="2"/>
          </w:tcPr>
          <w:p>
            <w:pPr>
              <w:jc w:val="right"/>
              <w:ind w:right="242"/>
              <w:spacing w:after="0" w:line="142" w:lineRule="exact"/>
              <w:rPr>
                <w:sz w:val="20"/>
                <w:szCs w:val="20"/>
                <w:color w:val="auto"/>
              </w:rPr>
            </w:pPr>
            <w:r>
              <w:rPr>
                <w:rFonts w:ascii="Arial" w:cs="Arial" w:eastAsia="Arial" w:hAnsi="Arial"/>
                <w:sz w:val="13"/>
                <w:szCs w:val="13"/>
                <w:b w:val="1"/>
                <w:bCs w:val="1"/>
                <w:color w:val="231F20"/>
              </w:rPr>
              <w:t>57,309</w:t>
            </w: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231F20"/>
              </w:rPr>
              <w:t>20,125</w:t>
            </w:r>
          </w:p>
        </w:tc>
        <w:tc>
          <w:tcPr>
            <w:tcW w:w="8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1300" w:type="dxa"/>
            <w:vAlign w:val="bottom"/>
          </w:tcPr>
          <w:p>
            <w:pPr>
              <w:jc w:val="right"/>
              <w:spacing w:after="0"/>
              <w:rPr>
                <w:sz w:val="20"/>
                <w:szCs w:val="20"/>
                <w:color w:val="auto"/>
              </w:rPr>
            </w:pPr>
            <w:r>
              <w:rPr>
                <w:rFonts w:ascii="Arial" w:cs="Arial" w:eastAsia="Arial" w:hAnsi="Arial"/>
                <w:sz w:val="14"/>
                <w:szCs w:val="14"/>
                <w:b w:val="1"/>
                <w:bCs w:val="1"/>
                <w:color w:val="00A5EC"/>
              </w:rPr>
              <w:t xml:space="preserve">88  </w:t>
            </w:r>
            <w:r>
              <w:rPr>
                <w:rFonts w:ascii="Arial" w:cs="Arial" w:eastAsia="Arial" w:hAnsi="Arial"/>
                <w:sz w:val="14"/>
                <w:szCs w:val="14"/>
                <w:color w:val="00A5EC"/>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80" w:type="dxa"/>
            <w:vAlign w:val="bottom"/>
            <w:gridSpan w:val="7"/>
          </w:tcPr>
          <w:p>
            <w:pPr>
              <w:ind w:left="2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300" w:type="dxa"/>
            <w:vAlign w:val="bottom"/>
            <w:tcBorders>
              <w:bottom w:val="single" w:sz="8" w:color="C0C0C0"/>
            </w:tcBorders>
          </w:tcPr>
          <w:p>
            <w:pPr>
              <w:spacing w:after="0"/>
              <w:rPr>
                <w:sz w:val="22"/>
                <w:szCs w:val="22"/>
                <w:color w:val="auto"/>
              </w:rPr>
            </w:pPr>
          </w:p>
        </w:tc>
        <w:tc>
          <w:tcPr>
            <w:tcW w:w="900" w:type="dxa"/>
            <w:vAlign w:val="bottom"/>
            <w:tcBorders>
              <w:bottom w:val="single" w:sz="8" w:color="C0C0C0"/>
            </w:tcBorders>
          </w:tcPr>
          <w:p>
            <w:pPr>
              <w:spacing w:after="0"/>
              <w:rPr>
                <w:sz w:val="22"/>
                <w:szCs w:val="22"/>
                <w:color w:val="auto"/>
              </w:rPr>
            </w:pPr>
          </w:p>
        </w:tc>
        <w:tc>
          <w:tcPr>
            <w:tcW w:w="120" w:type="dxa"/>
            <w:vAlign w:val="bottom"/>
            <w:tcBorders>
              <w:bottom w:val="single" w:sz="8" w:color="C0C0C0"/>
            </w:tcBorders>
          </w:tcPr>
          <w:p>
            <w:pPr>
              <w:spacing w:after="0"/>
              <w:rPr>
                <w:sz w:val="22"/>
                <w:szCs w:val="22"/>
                <w:color w:val="auto"/>
              </w:rPr>
            </w:pPr>
          </w:p>
        </w:tc>
        <w:tc>
          <w:tcPr>
            <w:tcW w:w="140" w:type="dxa"/>
            <w:vAlign w:val="bottom"/>
            <w:tcBorders>
              <w:bottom w:val="single" w:sz="8" w:color="C0C0C0"/>
            </w:tcBorders>
          </w:tcPr>
          <w:p>
            <w:pPr>
              <w:spacing w:after="0"/>
              <w:rPr>
                <w:sz w:val="22"/>
                <w:szCs w:val="22"/>
                <w:color w:val="auto"/>
              </w:rPr>
            </w:pPr>
          </w:p>
        </w:tc>
        <w:tc>
          <w:tcPr>
            <w:tcW w:w="840" w:type="dxa"/>
            <w:vAlign w:val="bottom"/>
            <w:tcBorders>
              <w:bottom w:val="single" w:sz="8" w:color="C0C0C0"/>
            </w:tcBorders>
          </w:tcPr>
          <w:p>
            <w:pPr>
              <w:spacing w:after="0"/>
              <w:rPr>
                <w:sz w:val="22"/>
                <w:szCs w:val="22"/>
                <w:color w:val="auto"/>
              </w:rPr>
            </w:pPr>
          </w:p>
        </w:tc>
        <w:tc>
          <w:tcPr>
            <w:tcW w:w="7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900" w:type="dxa"/>
            <w:vAlign w:val="bottom"/>
            <w:tcBorders>
              <w:bottom w:val="single" w:sz="8" w:color="C0C0C0"/>
            </w:tcBorders>
          </w:tcPr>
          <w:p>
            <w:pPr>
              <w:spacing w:after="0"/>
              <w:rPr>
                <w:sz w:val="22"/>
                <w:szCs w:val="22"/>
                <w:color w:val="auto"/>
              </w:rPr>
            </w:pPr>
          </w:p>
        </w:tc>
        <w:tc>
          <w:tcPr>
            <w:tcW w:w="940" w:type="dxa"/>
            <w:vAlign w:val="bottom"/>
            <w:tcBorders>
              <w:bottom w:val="single" w:sz="8" w:color="C0C0C0"/>
            </w:tcBorders>
          </w:tcPr>
          <w:p>
            <w:pPr>
              <w:spacing w:after="0"/>
              <w:rPr>
                <w:sz w:val="22"/>
                <w:szCs w:val="22"/>
                <w:color w:val="auto"/>
              </w:rPr>
            </w:pPr>
          </w:p>
        </w:tc>
        <w:tc>
          <w:tcPr>
            <w:tcW w:w="800" w:type="dxa"/>
            <w:vAlign w:val="bottom"/>
            <w:tcBorders>
              <w:bottom w:val="single" w:sz="8" w:color="C0C0C0"/>
            </w:tcBorders>
          </w:tcPr>
          <w:p>
            <w:pPr>
              <w:spacing w:after="0"/>
              <w:rPr>
                <w:sz w:val="22"/>
                <w:szCs w:val="22"/>
                <w:color w:val="auto"/>
              </w:rPr>
            </w:pPr>
          </w:p>
        </w:tc>
        <w:tc>
          <w:tcPr>
            <w:tcW w:w="100" w:type="dxa"/>
            <w:vAlign w:val="bottom"/>
            <w:tcBorders>
              <w:bottom w:val="single" w:sz="8" w:color="C0C0C0"/>
            </w:tcBorders>
          </w:tcPr>
          <w:p>
            <w:pPr>
              <w:spacing w:after="0"/>
              <w:rPr>
                <w:sz w:val="22"/>
                <w:szCs w:val="22"/>
                <w:color w:val="auto"/>
              </w:rPr>
            </w:pPr>
          </w:p>
        </w:tc>
        <w:tc>
          <w:tcPr>
            <w:tcW w:w="800" w:type="dxa"/>
            <w:vAlign w:val="bottom"/>
            <w:tcBorders>
              <w:bottom w:val="single" w:sz="8" w:color="C0C0C0"/>
            </w:tcBorders>
          </w:tcPr>
          <w:p>
            <w:pPr>
              <w:spacing w:after="0"/>
              <w:rPr>
                <w:sz w:val="22"/>
                <w:szCs w:val="22"/>
                <w:color w:val="auto"/>
              </w:rPr>
            </w:pPr>
          </w:p>
        </w:tc>
        <w:tc>
          <w:tcPr>
            <w:tcW w:w="860" w:type="dxa"/>
            <w:vAlign w:val="bottom"/>
            <w:tcBorders>
              <w:bottom w:val="single" w:sz="8" w:color="C0C0C0"/>
            </w:tcBorders>
          </w:tcPr>
          <w:p>
            <w:pPr>
              <w:spacing w:after="0"/>
              <w:rPr>
                <w:sz w:val="22"/>
                <w:szCs w:val="22"/>
                <w:color w:val="auto"/>
              </w:rPr>
            </w:pPr>
          </w:p>
        </w:tc>
        <w:tc>
          <w:tcPr>
            <w:tcW w:w="900" w:type="dxa"/>
            <w:vAlign w:val="bottom"/>
            <w:tcBorders>
              <w:bottom w:val="single" w:sz="8" w:color="C0C0C0"/>
            </w:tcBorders>
          </w:tcPr>
          <w:p>
            <w:pPr>
              <w:spacing w:after="0"/>
              <w:rPr>
                <w:sz w:val="22"/>
                <w:szCs w:val="22"/>
                <w:color w:val="auto"/>
              </w:rPr>
            </w:pPr>
          </w:p>
        </w:tc>
        <w:tc>
          <w:tcPr>
            <w:tcW w:w="880" w:type="dxa"/>
            <w:vAlign w:val="bottom"/>
            <w:tcBorders>
              <w:bottom w:val="single" w:sz="8" w:color="C0C0C0"/>
            </w:tcBorders>
          </w:tcPr>
          <w:p>
            <w:pPr>
              <w:spacing w:after="0"/>
              <w:rPr>
                <w:sz w:val="22"/>
                <w:szCs w:val="22"/>
                <w:color w:val="auto"/>
              </w:rPr>
            </w:pPr>
          </w:p>
        </w:tc>
        <w:tc>
          <w:tcPr>
            <w:tcW w:w="72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-307975</wp:posOffset>
            </wp:positionV>
            <wp:extent cx="771525" cy="1028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00" w:name="page101"/>
    <w:bookmarkEnd w:id="100"/>
    <w:p>
      <w:pPr>
        <w:ind w:left="4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tbl>
      <w:tblPr>
        <w:tblLayout w:type="fixed"/>
        <w:tblInd w:w="1300" w:type="dxa"/>
        <w:tblCellMar>
          <w:top w:w="0" w:type="dxa"/>
          <w:left w:w="0" w:type="dxa"/>
          <w:bottom w:w="0" w:type="dxa"/>
          <w:right w:w="0" w:type="dxa"/>
        </w:tblCellMar>
      </w:tblPr>
      <w:tr>
        <w:trPr>
          <w:trHeight w:val="160"/>
        </w:trPr>
        <w:tc>
          <w:tcPr>
            <w:tcW w:w="660" w:type="dxa"/>
            <w:vAlign w:val="bottom"/>
            <w:tcBorders>
              <w:bottom w:val="single" w:sz="8" w:color="2952A4"/>
            </w:tcBorders>
            <w:gridSpan w:val="2"/>
          </w:tcPr>
          <w:p>
            <w:pPr>
              <w:ind w:left="60"/>
              <w:spacing w:after="0"/>
              <w:rPr>
                <w:sz w:val="20"/>
                <w:szCs w:val="20"/>
                <w:color w:val="auto"/>
              </w:rPr>
            </w:pPr>
            <w:r>
              <w:rPr>
                <w:rFonts w:ascii="Arial" w:cs="Arial" w:eastAsia="Arial" w:hAnsi="Arial"/>
                <w:sz w:val="12"/>
                <w:szCs w:val="12"/>
                <w:b w:val="1"/>
                <w:bCs w:val="1"/>
                <w:color w:val="2952A4"/>
              </w:rPr>
              <w:t>A</w:t>
            </w: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B</w:t>
            </w:r>
          </w:p>
        </w:tc>
        <w:tc>
          <w:tcPr>
            <w:tcW w:w="960" w:type="dxa"/>
            <w:vAlign w:val="bottom"/>
            <w:tcBorders>
              <w:bottom w:val="single" w:sz="8" w:color="2952A4"/>
            </w:tcBorders>
          </w:tcPr>
          <w:p>
            <w:pPr>
              <w:jc w:val="center"/>
              <w:ind w:left="59"/>
              <w:spacing w:after="0"/>
              <w:rPr>
                <w:sz w:val="20"/>
                <w:szCs w:val="20"/>
                <w:color w:val="auto"/>
              </w:rPr>
            </w:pPr>
            <w:r>
              <w:rPr>
                <w:rFonts w:ascii="Arial" w:cs="Arial" w:eastAsia="Arial" w:hAnsi="Arial"/>
                <w:sz w:val="12"/>
                <w:szCs w:val="12"/>
                <w:b w:val="1"/>
                <w:bCs w:val="1"/>
                <w:color w:val="2952A4"/>
                <w:w w:val="91"/>
              </w:rPr>
              <w:t>C</w:t>
            </w:r>
          </w:p>
        </w:tc>
        <w:tc>
          <w:tcPr>
            <w:tcW w:w="9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D</w:t>
            </w:r>
          </w:p>
        </w:tc>
        <w:tc>
          <w:tcPr>
            <w:tcW w:w="94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9"/>
              </w:rPr>
              <w:t>E</w:t>
            </w:r>
          </w:p>
        </w:tc>
        <w:tc>
          <w:tcPr>
            <w:tcW w:w="8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81"/>
              </w:rPr>
              <w:t>F</w:t>
            </w:r>
          </w:p>
        </w:tc>
        <w:tc>
          <w:tcPr>
            <w:tcW w:w="100" w:type="dxa"/>
            <w:vAlign w:val="bottom"/>
            <w:tcBorders>
              <w:bottom w:val="single" w:sz="8" w:color="2952A4"/>
            </w:tcBorders>
          </w:tcPr>
          <w:p>
            <w:pPr>
              <w:spacing w:after="0"/>
              <w:rPr>
                <w:sz w:val="13"/>
                <w:szCs w:val="13"/>
                <w:color w:val="auto"/>
              </w:rPr>
            </w:pPr>
          </w:p>
        </w:tc>
        <w:tc>
          <w:tcPr>
            <w:tcW w:w="8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85"/>
              </w:rPr>
              <w:t>G</w:t>
            </w:r>
          </w:p>
        </w:tc>
        <w:tc>
          <w:tcPr>
            <w:tcW w:w="8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H</w:t>
            </w:r>
          </w:p>
        </w:tc>
        <w:tc>
          <w:tcPr>
            <w:tcW w:w="9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I</w:t>
            </w: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89"/>
              </w:rPr>
              <w:t>J</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2952A4"/>
            </w:tcBorders>
          </w:tcPr>
          <w:p>
            <w:pPr>
              <w:spacing w:after="0"/>
              <w:rPr>
                <w:sz w:val="12"/>
                <w:szCs w:val="12"/>
                <w:color w:val="auto"/>
              </w:rPr>
            </w:pPr>
          </w:p>
        </w:tc>
        <w:tc>
          <w:tcPr>
            <w:tcW w:w="960" w:type="dxa"/>
            <w:vAlign w:val="bottom"/>
            <w:tcBorders>
              <w:bottom w:val="single" w:sz="8" w:color="2952A4"/>
            </w:tcBorders>
          </w:tcPr>
          <w:p>
            <w:pPr>
              <w:spacing w:after="0"/>
              <w:rPr>
                <w:sz w:val="12"/>
                <w:szCs w:val="12"/>
                <w:color w:val="auto"/>
              </w:rPr>
            </w:pPr>
          </w:p>
        </w:tc>
        <w:tc>
          <w:tcPr>
            <w:tcW w:w="1840" w:type="dxa"/>
            <w:vAlign w:val="bottom"/>
            <w:tcBorders>
              <w:bottom w:val="single" w:sz="8" w:color="2952A4"/>
            </w:tcBorders>
            <w:gridSpan w:val="2"/>
          </w:tcPr>
          <w:p>
            <w:pPr>
              <w:jc w:val="right"/>
              <w:ind w:right="516"/>
              <w:spacing w:after="0"/>
              <w:rPr>
                <w:sz w:val="20"/>
                <w:szCs w:val="20"/>
                <w:color w:val="auto"/>
              </w:rPr>
            </w:pPr>
            <w:r>
              <w:rPr>
                <w:rFonts w:ascii="Arial" w:cs="Arial" w:eastAsia="Arial" w:hAnsi="Arial"/>
                <w:sz w:val="12"/>
                <w:szCs w:val="12"/>
                <w:b w:val="1"/>
                <w:bCs w:val="1"/>
                <w:color w:val="2952A4"/>
              </w:rPr>
              <w:t>Option Awards</w:t>
            </w:r>
          </w:p>
        </w:tc>
        <w:tc>
          <w:tcPr>
            <w:tcW w:w="800" w:type="dxa"/>
            <w:vAlign w:val="bottom"/>
            <w:tcBorders>
              <w:bottom w:val="single" w:sz="8" w:color="2952A4"/>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2952A4"/>
            </w:tcBorders>
          </w:tcPr>
          <w:p>
            <w:pPr>
              <w:spacing w:after="0"/>
              <w:rPr>
                <w:sz w:val="12"/>
                <w:szCs w:val="12"/>
                <w:color w:val="auto"/>
              </w:rPr>
            </w:pPr>
          </w:p>
        </w:tc>
        <w:tc>
          <w:tcPr>
            <w:tcW w:w="1780" w:type="dxa"/>
            <w:vAlign w:val="bottom"/>
            <w:tcBorders>
              <w:bottom w:val="single" w:sz="8" w:color="2952A4"/>
            </w:tcBorders>
            <w:gridSpan w:val="2"/>
          </w:tcPr>
          <w:p>
            <w:pPr>
              <w:ind w:left="540"/>
              <w:spacing w:after="0"/>
              <w:rPr>
                <w:sz w:val="20"/>
                <w:szCs w:val="20"/>
                <w:color w:val="auto"/>
              </w:rPr>
            </w:pPr>
            <w:r>
              <w:rPr>
                <w:rFonts w:ascii="Arial" w:cs="Arial" w:eastAsia="Arial" w:hAnsi="Arial"/>
                <w:sz w:val="12"/>
                <w:szCs w:val="12"/>
                <w:b w:val="1"/>
                <w:bCs w:val="1"/>
                <w:color w:val="2952A4"/>
              </w:rPr>
              <w:t>Stock Awards</w:t>
            </w:r>
          </w:p>
        </w:tc>
        <w:tc>
          <w:tcPr>
            <w:tcW w:w="860" w:type="dxa"/>
            <w:vAlign w:val="bottom"/>
            <w:tcBorders>
              <w:bottom w:val="single" w:sz="8" w:color="2952A4"/>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2"/>
                <w:szCs w:val="12"/>
                <w:b w:val="1"/>
                <w:bCs w:val="1"/>
                <w:color w:val="2952A4"/>
                <w:w w:val="98"/>
              </w:rPr>
              <w:t>Equity</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incentive</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incentive</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incentive</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plan awards:</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market or</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Number of</w:t>
            </w:r>
          </w:p>
        </w:tc>
        <w:tc>
          <w:tcPr>
            <w:tcW w:w="960" w:type="dxa"/>
            <w:vAlign w:val="bottom"/>
          </w:tcPr>
          <w:p>
            <w:pPr>
              <w:jc w:val="center"/>
              <w:ind w:left="39"/>
              <w:spacing w:after="0" w:line="135" w:lineRule="exact"/>
              <w:rPr>
                <w:sz w:val="20"/>
                <w:szCs w:val="20"/>
                <w:color w:val="auto"/>
              </w:rPr>
            </w:pPr>
            <w:r>
              <w:rPr>
                <w:rFonts w:ascii="Arial" w:cs="Arial" w:eastAsia="Arial" w:hAnsi="Arial"/>
                <w:sz w:val="12"/>
                <w:szCs w:val="12"/>
                <w:b w:val="1"/>
                <w:bCs w:val="1"/>
                <w:color w:val="2952A4"/>
                <w:w w:val="96"/>
              </w:rPr>
              <w:t>Number of</w:t>
            </w:r>
          </w:p>
        </w:tc>
        <w:tc>
          <w:tcPr>
            <w:tcW w:w="900" w:type="dxa"/>
            <w:vAlign w:val="bottom"/>
          </w:tcPr>
          <w:p>
            <w:pPr>
              <w:jc w:val="right"/>
              <w:ind w:right="77"/>
              <w:spacing w:after="0" w:line="135" w:lineRule="exact"/>
              <w:rPr>
                <w:sz w:val="20"/>
                <w:szCs w:val="20"/>
                <w:color w:val="auto"/>
              </w:rPr>
            </w:pPr>
            <w:r>
              <w:rPr>
                <w:rFonts w:ascii="Arial" w:cs="Arial" w:eastAsia="Arial" w:hAnsi="Arial"/>
                <w:sz w:val="12"/>
                <w:szCs w:val="12"/>
                <w:b w:val="1"/>
                <w:bCs w:val="1"/>
                <w:color w:val="2952A4"/>
              </w:rPr>
              <w:t>number of</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number of</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payout value</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960" w:type="dxa"/>
            <w:vAlign w:val="bottom"/>
          </w:tcPr>
          <w:p>
            <w:pPr>
              <w:jc w:val="center"/>
              <w:ind w:left="39"/>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900" w:type="dxa"/>
            <w:vAlign w:val="bottom"/>
          </w:tcPr>
          <w:p>
            <w:pPr>
              <w:jc w:val="right"/>
              <w:ind w:right="97"/>
              <w:spacing w:after="0" w:line="135" w:lineRule="exact"/>
              <w:rPr>
                <w:sz w:val="20"/>
                <w:szCs w:val="20"/>
                <w:color w:val="auto"/>
              </w:rPr>
            </w:pPr>
            <w:r>
              <w:rPr>
                <w:rFonts w:ascii="Arial" w:cs="Arial" w:eastAsia="Arial" w:hAnsi="Arial"/>
                <w:sz w:val="12"/>
                <w:szCs w:val="12"/>
                <w:b w:val="1"/>
                <w:bCs w:val="1"/>
                <w:color w:val="2952A4"/>
              </w:rPr>
              <w:t>securities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Number of</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Market value</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unearned</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of unearned</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4"/>
              </w:rPr>
              <w:t>underlying</w:t>
            </w:r>
          </w:p>
        </w:tc>
        <w:tc>
          <w:tcPr>
            <w:tcW w:w="960" w:type="dxa"/>
            <w:vAlign w:val="bottom"/>
          </w:tcPr>
          <w:p>
            <w:pPr>
              <w:jc w:val="center"/>
              <w:ind w:left="59"/>
              <w:spacing w:after="0" w:line="135" w:lineRule="exact"/>
              <w:rPr>
                <w:sz w:val="20"/>
                <w:szCs w:val="20"/>
                <w:color w:val="auto"/>
              </w:rPr>
            </w:pPr>
            <w:r>
              <w:rPr>
                <w:rFonts w:ascii="Arial" w:cs="Arial" w:eastAsia="Arial" w:hAnsi="Arial"/>
                <w:sz w:val="12"/>
                <w:szCs w:val="12"/>
                <w:b w:val="1"/>
                <w:bCs w:val="1"/>
                <w:color w:val="2952A4"/>
                <w:w w:val="97"/>
              </w:rPr>
              <w:t>underlying</w:t>
            </w:r>
          </w:p>
        </w:tc>
        <w:tc>
          <w:tcPr>
            <w:tcW w:w="900" w:type="dxa"/>
            <w:vAlign w:val="bottom"/>
          </w:tcPr>
          <w:p>
            <w:pPr>
              <w:jc w:val="right"/>
              <w:ind w:right="77"/>
              <w:spacing w:after="0" w:line="135" w:lineRule="exact"/>
              <w:rPr>
                <w:sz w:val="20"/>
                <w:szCs w:val="20"/>
                <w:color w:val="auto"/>
              </w:rPr>
            </w:pPr>
            <w:r>
              <w:rPr>
                <w:rFonts w:ascii="Arial" w:cs="Arial" w:eastAsia="Arial" w:hAnsi="Arial"/>
                <w:sz w:val="12"/>
                <w:szCs w:val="12"/>
                <w:b w:val="1"/>
                <w:bCs w:val="1"/>
                <w:color w:val="2952A4"/>
              </w:rPr>
              <w:t>underlying</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shares or</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of shares or</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shares, units</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shares, units</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unexercised</w:t>
            </w:r>
          </w:p>
        </w:tc>
        <w:tc>
          <w:tcPr>
            <w:tcW w:w="960" w:type="dxa"/>
            <w:vAlign w:val="bottom"/>
          </w:tcPr>
          <w:p>
            <w:pPr>
              <w:jc w:val="center"/>
              <w:ind w:left="59"/>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8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2952A4"/>
              </w:rPr>
              <w:t>units of stock  units of stock  or other rights</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or other rights</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options</w:t>
            </w:r>
          </w:p>
        </w:tc>
        <w:tc>
          <w:tcPr>
            <w:tcW w:w="960" w:type="dxa"/>
            <w:vAlign w:val="bottom"/>
          </w:tcPr>
          <w:p>
            <w:pPr>
              <w:jc w:val="center"/>
              <w:ind w:left="39"/>
              <w:spacing w:after="0" w:line="135" w:lineRule="exact"/>
              <w:rPr>
                <w:sz w:val="20"/>
                <w:szCs w:val="20"/>
                <w:color w:val="auto"/>
              </w:rPr>
            </w:pPr>
            <w:r>
              <w:rPr>
                <w:rFonts w:ascii="Arial" w:cs="Arial" w:eastAsia="Arial" w:hAnsi="Arial"/>
                <w:sz w:val="12"/>
                <w:szCs w:val="12"/>
                <w:b w:val="1"/>
                <w:bCs w:val="1"/>
                <w:color w:val="2952A4"/>
                <w:w w:val="96"/>
              </w:rPr>
              <w:t>options</w:t>
            </w:r>
          </w:p>
        </w:tc>
        <w:tc>
          <w:tcPr>
            <w:tcW w:w="900" w:type="dxa"/>
            <w:vAlign w:val="bottom"/>
          </w:tcPr>
          <w:p>
            <w:pPr>
              <w:jc w:val="right"/>
              <w:ind w:right="97"/>
              <w:spacing w:after="0" w:line="135" w:lineRule="exact"/>
              <w:rPr>
                <w:sz w:val="20"/>
                <w:szCs w:val="20"/>
                <w:color w:val="auto"/>
              </w:rPr>
            </w:pPr>
            <w:r>
              <w:rPr>
                <w:rFonts w:ascii="Arial" w:cs="Arial" w:eastAsia="Arial" w:hAnsi="Arial"/>
                <w:sz w:val="12"/>
                <w:szCs w:val="12"/>
                <w:b w:val="1"/>
                <w:bCs w:val="1"/>
                <w:color w:val="2952A4"/>
              </w:rPr>
              <w:t>unearned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Option</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Option</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that have not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that have not</w:t>
            </w:r>
          </w:p>
        </w:tc>
        <w:tc>
          <w:tcPr>
            <w:tcW w:w="0" w:type="dxa"/>
            <w:vAlign w:val="bottom"/>
          </w:tcPr>
          <w:p>
            <w:pPr>
              <w:spacing w:after="0"/>
              <w:rPr>
                <w:sz w:val="1"/>
                <w:szCs w:val="1"/>
                <w:color w:val="auto"/>
              </w:rPr>
            </w:pPr>
          </w:p>
        </w:tc>
      </w:tr>
      <w:tr>
        <w:trPr>
          <w:trHeight w:val="148"/>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2952A4"/>
              </w:rPr>
              <w:t>Name</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952A4"/>
                <w:w w:val="94"/>
              </w:rPr>
              <w:t>exercisable</w:t>
            </w:r>
          </w:p>
        </w:tc>
        <w:tc>
          <w:tcPr>
            <w:tcW w:w="960" w:type="dxa"/>
            <w:vAlign w:val="bottom"/>
          </w:tcPr>
          <w:p>
            <w:pPr>
              <w:jc w:val="center"/>
              <w:ind w:left="39"/>
              <w:spacing w:after="0"/>
              <w:rPr>
                <w:sz w:val="20"/>
                <w:szCs w:val="20"/>
                <w:color w:val="auto"/>
              </w:rPr>
            </w:pPr>
            <w:r>
              <w:rPr>
                <w:rFonts w:ascii="Arial" w:cs="Arial" w:eastAsia="Arial" w:hAnsi="Arial"/>
                <w:sz w:val="12"/>
                <w:szCs w:val="12"/>
                <w:b w:val="1"/>
                <w:bCs w:val="1"/>
                <w:color w:val="2952A4"/>
                <w:w w:val="97"/>
              </w:rPr>
              <w:t>unexercisable</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952A4"/>
                <w:w w:val="96"/>
              </w:rPr>
              <w:t>options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2952A4"/>
                <w:w w:val="97"/>
              </w:rPr>
              <w:t>exercise price</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2952A4"/>
                <w:w w:val="94"/>
              </w:rPr>
              <w:t>expiration</w:t>
            </w: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2952A4"/>
                <w:w w:val="94"/>
              </w:rPr>
              <w:t>vested</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0" w:type="dxa"/>
            <w:vAlign w:val="bottom"/>
          </w:tcPr>
          <w:p>
            <w:pPr>
              <w:spacing w:after="0"/>
              <w:rPr>
                <w:sz w:val="1"/>
                <w:szCs w:val="1"/>
                <w:color w:val="auto"/>
              </w:rPr>
            </w:pPr>
          </w:p>
        </w:tc>
      </w:tr>
      <w:tr>
        <w:trPr>
          <w:trHeight w:val="154"/>
        </w:trPr>
        <w:tc>
          <w:tcPr>
            <w:tcW w:w="660" w:type="dxa"/>
            <w:vAlign w:val="bottom"/>
            <w:tcBorders>
              <w:bottom w:val="single" w:sz="8" w:color="2952A4"/>
            </w:tcBorders>
            <w:gridSpan w:val="2"/>
            <w:vMerge w:val="continue"/>
          </w:tcPr>
          <w:p>
            <w:pPr>
              <w:spacing w:after="0"/>
              <w:rPr>
                <w:sz w:val="13"/>
                <w:szCs w:val="13"/>
                <w:color w:val="auto"/>
              </w:rPr>
            </w:pP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960" w:type="dxa"/>
            <w:vAlign w:val="bottom"/>
            <w:tcBorders>
              <w:bottom w:val="single" w:sz="8" w:color="2952A4"/>
            </w:tcBorders>
          </w:tcPr>
          <w:p>
            <w:pPr>
              <w:jc w:val="center"/>
              <w:ind w:left="39"/>
              <w:spacing w:after="0"/>
              <w:rPr>
                <w:sz w:val="20"/>
                <w:szCs w:val="20"/>
                <w:color w:val="auto"/>
              </w:rPr>
            </w:pPr>
            <w:r>
              <w:rPr>
                <w:rFonts w:ascii="Arial" w:cs="Arial" w:eastAsia="Arial" w:hAnsi="Arial"/>
                <w:sz w:val="12"/>
                <w:szCs w:val="12"/>
                <w:b w:val="1"/>
                <w:bCs w:val="1"/>
                <w:color w:val="2952A4"/>
                <w:w w:val="95"/>
              </w:rPr>
              <w:t>(#)</w:t>
            </w:r>
          </w:p>
        </w:tc>
        <w:tc>
          <w:tcPr>
            <w:tcW w:w="9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94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8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7"/>
              </w:rPr>
              <w:t>date</w:t>
            </w:r>
          </w:p>
        </w:tc>
        <w:tc>
          <w:tcPr>
            <w:tcW w:w="900" w:type="dxa"/>
            <w:vAlign w:val="bottom"/>
            <w:tcBorders>
              <w:bottom w:val="single" w:sz="8" w:color="2952A4"/>
            </w:tcBorders>
            <w:gridSpan w:val="2"/>
          </w:tcPr>
          <w:p>
            <w:pPr>
              <w:jc w:val="center"/>
              <w:ind w:left="3"/>
              <w:spacing w:after="0"/>
              <w:rPr>
                <w:sz w:val="20"/>
                <w:szCs w:val="20"/>
                <w:color w:val="auto"/>
              </w:rPr>
            </w:pPr>
            <w:r>
              <w:rPr>
                <w:rFonts w:ascii="Arial" w:cs="Arial" w:eastAsia="Arial" w:hAnsi="Arial"/>
                <w:sz w:val="12"/>
                <w:szCs w:val="12"/>
                <w:b w:val="1"/>
                <w:bCs w:val="1"/>
                <w:color w:val="2952A4"/>
              </w:rPr>
              <w:t>(#)</w:t>
            </w:r>
          </w:p>
        </w:tc>
        <w:tc>
          <w:tcPr>
            <w:tcW w:w="8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9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0" w:type="dxa"/>
            <w:vAlign w:val="bottom"/>
          </w:tcPr>
          <w:p>
            <w:pPr>
              <w:spacing w:after="0"/>
              <w:rPr>
                <w:sz w:val="1"/>
                <w:szCs w:val="1"/>
                <w:color w:val="auto"/>
              </w:rPr>
            </w:pPr>
          </w:p>
        </w:tc>
      </w:tr>
      <w:tr>
        <w:trPr>
          <w:trHeight w:val="162"/>
        </w:trPr>
        <w:tc>
          <w:tcPr>
            <w:tcW w:w="560" w:type="dxa"/>
            <w:vAlign w:val="bottom"/>
            <w:tcBorders>
              <w:bottom w:val="single" w:sz="8" w:color="EAEAEC"/>
            </w:tcBorders>
            <w:shd w:val="clear" w:color="auto" w:fill="EAEAEC"/>
          </w:tcPr>
          <w:p>
            <w:pPr>
              <w:spacing w:after="0"/>
              <w:rPr>
                <w:sz w:val="14"/>
                <w:szCs w:val="14"/>
                <w:color w:val="auto"/>
              </w:rPr>
            </w:pPr>
          </w:p>
        </w:tc>
        <w:tc>
          <w:tcPr>
            <w:tcW w:w="100" w:type="dxa"/>
            <w:vAlign w:val="bottom"/>
            <w:tcBorders>
              <w:bottom w:val="single" w:sz="8" w:color="EAEAEC"/>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jc w:val="right"/>
              <w:ind w:right="179"/>
              <w:spacing w:after="0" w:line="162" w:lineRule="exact"/>
              <w:rPr>
                <w:sz w:val="20"/>
                <w:szCs w:val="20"/>
                <w:color w:val="auto"/>
              </w:rPr>
            </w:pPr>
            <w:r>
              <w:rPr>
                <w:rFonts w:ascii="Arial" w:cs="Arial" w:eastAsia="Arial" w:hAnsi="Arial"/>
                <w:sz w:val="12"/>
                <w:szCs w:val="12"/>
                <w:color w:val="231F20"/>
              </w:rPr>
              <w:t>24,500</w:t>
            </w:r>
            <w:r>
              <w:rPr>
                <w:rFonts w:ascii="Arial" w:cs="Arial" w:eastAsia="Arial" w:hAnsi="Arial"/>
                <w:sz w:val="18"/>
                <w:szCs w:val="18"/>
                <w:color w:val="231F20"/>
                <w:vertAlign w:val="superscript"/>
              </w:rPr>
              <w:t>1</w:t>
            </w:r>
          </w:p>
        </w:tc>
        <w:tc>
          <w:tcPr>
            <w:tcW w:w="900" w:type="dxa"/>
            <w:vAlign w:val="bottom"/>
            <w:tcBorders>
              <w:bottom w:val="single" w:sz="8" w:color="auto"/>
            </w:tcBorders>
            <w:shd w:val="clear" w:color="auto" w:fill="EAEAEC"/>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rPr>
                <w:sz w:val="20"/>
                <w:szCs w:val="20"/>
                <w:color w:val="auto"/>
              </w:rPr>
            </w:pPr>
            <w:r>
              <w:rPr>
                <w:rFonts w:ascii="Arial" w:cs="Arial" w:eastAsia="Arial" w:hAnsi="Arial"/>
                <w:sz w:val="13"/>
                <w:szCs w:val="13"/>
                <w:color w:val="231F20"/>
              </w:rPr>
              <w:t>372.46</w:t>
            </w:r>
          </w:p>
        </w:tc>
        <w:tc>
          <w:tcPr>
            <w:tcW w:w="80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12/11/2029</w:t>
            </w:r>
          </w:p>
        </w:tc>
        <w:tc>
          <w:tcPr>
            <w:tcW w:w="100" w:type="dxa"/>
            <w:vAlign w:val="bottom"/>
            <w:tcBorders>
              <w:bottom w:val="single" w:sz="8" w:color="auto"/>
            </w:tcBorders>
            <w:shd w:val="clear" w:color="auto" w:fill="EAEAEC"/>
          </w:tcPr>
          <w:p>
            <w:pPr>
              <w:spacing w:after="0"/>
              <w:rPr>
                <w:sz w:val="14"/>
                <w:szCs w:val="14"/>
                <w:color w:val="auto"/>
              </w:rPr>
            </w:pPr>
          </w:p>
        </w:tc>
        <w:tc>
          <w:tcPr>
            <w:tcW w:w="800" w:type="dxa"/>
            <w:vAlign w:val="bottom"/>
            <w:tcBorders>
              <w:bottom w:val="single" w:sz="8" w:color="auto"/>
            </w:tcBorders>
            <w:shd w:val="clear" w:color="auto" w:fill="EAEAEC"/>
          </w:tcPr>
          <w:p>
            <w:pPr>
              <w:jc w:val="right"/>
              <w:ind w:right="56"/>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11,563</w:t>
            </w:r>
          </w:p>
        </w:tc>
        <w:tc>
          <w:tcPr>
            <w:tcW w:w="960" w:type="dxa"/>
            <w:vAlign w:val="bottom"/>
            <w:tcBorders>
              <w:bottom w:val="single" w:sz="8" w:color="auto"/>
            </w:tcBorders>
            <w:shd w:val="clear" w:color="auto" w:fill="EAEAEC"/>
          </w:tcPr>
          <w:p>
            <w:pPr>
              <w:jc w:val="right"/>
              <w:ind w:right="179"/>
              <w:spacing w:after="0" w:line="142" w:lineRule="exact"/>
              <w:rPr>
                <w:sz w:val="20"/>
                <w:szCs w:val="20"/>
                <w:color w:val="auto"/>
              </w:rPr>
            </w:pPr>
            <w:r>
              <w:rPr>
                <w:rFonts w:ascii="Arial" w:cs="Arial" w:eastAsia="Arial" w:hAnsi="Arial"/>
                <w:sz w:val="11"/>
                <w:szCs w:val="11"/>
                <w:color w:val="231F20"/>
              </w:rPr>
              <w:t>34,687</w:t>
            </w:r>
            <w:r>
              <w:rPr>
                <w:rFonts w:ascii="Arial" w:cs="Arial" w:eastAsia="Arial" w:hAnsi="Arial"/>
                <w:sz w:val="16"/>
                <w:szCs w:val="16"/>
                <w:color w:val="231F20"/>
                <w:vertAlign w:val="superscript"/>
              </w:rPr>
              <w:t>2</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381.40</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12/12/2028</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25,000</w:t>
            </w:r>
          </w:p>
        </w:tc>
        <w:tc>
          <w:tcPr>
            <w:tcW w:w="960" w:type="dxa"/>
            <w:vAlign w:val="bottom"/>
            <w:tcBorders>
              <w:bottom w:val="single" w:sz="8" w:color="auto"/>
            </w:tcBorders>
            <w:shd w:val="clear" w:color="auto" w:fill="EAEAEC"/>
          </w:tcPr>
          <w:p>
            <w:pPr>
              <w:jc w:val="right"/>
              <w:ind w:right="179"/>
              <w:spacing w:after="0" w:line="142" w:lineRule="exact"/>
              <w:rPr>
                <w:sz w:val="20"/>
                <w:szCs w:val="20"/>
                <w:color w:val="auto"/>
              </w:rPr>
            </w:pPr>
            <w:r>
              <w:rPr>
                <w:rFonts w:ascii="Arial" w:cs="Arial" w:eastAsia="Arial" w:hAnsi="Arial"/>
                <w:sz w:val="11"/>
                <w:szCs w:val="11"/>
                <w:color w:val="231F20"/>
              </w:rPr>
              <w:t>25,000</w:t>
            </w:r>
            <w:r>
              <w:rPr>
                <w:rFonts w:ascii="Arial" w:cs="Arial" w:eastAsia="Arial" w:hAnsi="Arial"/>
                <w:sz w:val="16"/>
                <w:szCs w:val="16"/>
                <w:color w:val="231F20"/>
                <w:vertAlign w:val="superscript"/>
              </w:rPr>
              <w:t>3</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378.98</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12/12/2027</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25,500</w:t>
            </w:r>
          </w:p>
        </w:tc>
        <w:tc>
          <w:tcPr>
            <w:tcW w:w="960" w:type="dxa"/>
            <w:vAlign w:val="bottom"/>
            <w:tcBorders>
              <w:bottom w:val="single" w:sz="8" w:color="auto"/>
            </w:tcBorders>
            <w:shd w:val="clear" w:color="auto" w:fill="EAEAEC"/>
          </w:tcPr>
          <w:p>
            <w:pPr>
              <w:jc w:val="right"/>
              <w:ind w:right="179"/>
              <w:spacing w:after="0" w:line="142" w:lineRule="exact"/>
              <w:rPr>
                <w:sz w:val="20"/>
                <w:szCs w:val="20"/>
                <w:color w:val="auto"/>
              </w:rPr>
            </w:pPr>
            <w:r>
              <w:rPr>
                <w:rFonts w:ascii="Arial" w:cs="Arial" w:eastAsia="Arial" w:hAnsi="Arial"/>
                <w:sz w:val="11"/>
                <w:szCs w:val="11"/>
                <w:color w:val="231F20"/>
              </w:rPr>
              <w:t>8,500</w:t>
            </w:r>
            <w:r>
              <w:rPr>
                <w:rFonts w:ascii="Arial" w:cs="Arial" w:eastAsia="Arial" w:hAnsi="Arial"/>
                <w:sz w:val="16"/>
                <w:szCs w:val="16"/>
                <w:color w:val="231F20"/>
                <w:vertAlign w:val="superscript"/>
              </w:rPr>
              <w:t>4</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381.92</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12/16/2026</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555.67</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12/16/2025</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399.66</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12/16/2024</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Daniel</w:t>
            </w: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50,000</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270.43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12/13/2023</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P. Van</w:t>
            </w: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75,000</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179.13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12/14/2022</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Plew</w:t>
            </w: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52,500</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33,079</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32,735</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shd w:val="clear" w:color="auto" w:fill="EAEAEC"/>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shd w:val="clear" w:color="auto" w:fill="EAEAEC"/>
          </w:tcPr>
          <w:p>
            <w:pPr>
              <w:spacing w:after="0"/>
              <w:rPr>
                <w:sz w:val="12"/>
                <w:szCs w:val="12"/>
                <w:color w:val="auto"/>
              </w:rPr>
            </w:pP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shd w:val="clear" w:color="auto" w:fill="EAEAEC"/>
          </w:tcPr>
          <w:p>
            <w:pPr>
              <w:jc w:val="right"/>
              <w:spacing w:after="0" w:line="142" w:lineRule="exact"/>
              <w:rPr>
                <w:sz w:val="20"/>
                <w:szCs w:val="20"/>
                <w:color w:val="auto"/>
              </w:rPr>
            </w:pPr>
            <w:r>
              <w:rPr>
                <w:rFonts w:ascii="Arial" w:cs="Arial" w:eastAsia="Arial" w:hAnsi="Arial"/>
                <w:sz w:val="11"/>
                <w:szCs w:val="11"/>
                <w:color w:val="231F20"/>
              </w:rPr>
              <w:t>2,625</w:t>
            </w:r>
            <w:r>
              <w:rPr>
                <w:rFonts w:ascii="Arial" w:cs="Arial" w:eastAsia="Arial" w:hAnsi="Arial"/>
                <w:sz w:val="16"/>
                <w:szCs w:val="16"/>
                <w:color w:val="231F20"/>
                <w:vertAlign w:val="superscript"/>
              </w:rPr>
              <w:t>7</w:t>
            </w:r>
          </w:p>
        </w:tc>
        <w:tc>
          <w:tcPr>
            <w:tcW w:w="880" w:type="dxa"/>
            <w:vAlign w:val="bottom"/>
            <w:tcBorders>
              <w:bottom w:val="single" w:sz="8" w:color="auto"/>
            </w:tcBorders>
            <w:shd w:val="clear" w:color="auto" w:fill="EAEAEC"/>
          </w:tcPr>
          <w:p>
            <w:pPr>
              <w:jc w:val="right"/>
              <w:ind w:right="18"/>
              <w:spacing w:after="0" w:line="142" w:lineRule="exact"/>
              <w:rPr>
                <w:sz w:val="20"/>
                <w:szCs w:val="20"/>
                <w:color w:val="auto"/>
              </w:rPr>
            </w:pPr>
            <w:r>
              <w:rPr>
                <w:rFonts w:ascii="Arial" w:cs="Arial" w:eastAsia="Arial" w:hAnsi="Arial"/>
                <w:sz w:val="11"/>
                <w:szCs w:val="11"/>
                <w:color w:val="231F20"/>
              </w:rPr>
              <w:t>985,635</w:t>
            </w:r>
            <w:r>
              <w:rPr>
                <w:rFonts w:ascii="Arial" w:cs="Arial" w:eastAsia="Arial" w:hAnsi="Arial"/>
                <w:sz w:val="16"/>
                <w:szCs w:val="16"/>
                <w:color w:val="231F20"/>
                <w:vertAlign w:val="superscript"/>
              </w:rPr>
              <w:t>6</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EAEAEC"/>
            </w:tcBorders>
            <w:vMerge w:val="restart"/>
            <w:shd w:val="clear" w:color="auto" w:fill="EAEAEC"/>
          </w:tcPr>
          <w:p>
            <w:pPr>
              <w:ind w:left="140"/>
              <w:spacing w:after="0"/>
              <w:rPr>
                <w:sz w:val="20"/>
                <w:szCs w:val="20"/>
                <w:color w:val="auto"/>
              </w:rPr>
            </w:pPr>
            <w:r>
              <w:rPr>
                <w:rFonts w:ascii="Arial" w:cs="Arial" w:eastAsia="Arial" w:hAnsi="Arial"/>
                <w:sz w:val="13"/>
                <w:szCs w:val="13"/>
                <w:b w:val="1"/>
                <w:bCs w:val="1"/>
                <w:color w:val="231F20"/>
                <w:w w:val="92"/>
              </w:rPr>
              <w:t>TOTAL</w:t>
            </w:r>
          </w:p>
        </w:tc>
        <w:tc>
          <w:tcPr>
            <w:tcW w:w="10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shd w:val="clear" w:color="auto" w:fill="EAEAEC"/>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shd w:val="clear" w:color="auto" w:fill="EAEAEC"/>
          </w:tcPr>
          <w:p>
            <w:pPr>
              <w:jc w:val="right"/>
              <w:spacing w:after="0" w:line="142" w:lineRule="exact"/>
              <w:rPr>
                <w:sz w:val="20"/>
                <w:szCs w:val="20"/>
                <w:color w:val="auto"/>
              </w:rPr>
            </w:pPr>
            <w:r>
              <w:rPr>
                <w:rFonts w:ascii="Arial" w:cs="Arial" w:eastAsia="Arial" w:hAnsi="Arial"/>
                <w:sz w:val="11"/>
                <w:szCs w:val="11"/>
                <w:color w:val="231F20"/>
              </w:rPr>
              <w:t>5,000</w:t>
            </w:r>
            <w:r>
              <w:rPr>
                <w:rFonts w:ascii="Arial" w:cs="Arial" w:eastAsia="Arial" w:hAnsi="Arial"/>
                <w:sz w:val="16"/>
                <w:szCs w:val="16"/>
                <w:color w:val="231F20"/>
                <w:vertAlign w:val="superscript"/>
              </w:rPr>
              <w:t>8</w:t>
            </w:r>
          </w:p>
        </w:tc>
        <w:tc>
          <w:tcPr>
            <w:tcW w:w="880" w:type="dxa"/>
            <w:vAlign w:val="bottom"/>
            <w:tcBorders>
              <w:bottom w:val="single" w:sz="8" w:color="auto"/>
            </w:tcBorders>
            <w:shd w:val="clear" w:color="auto" w:fill="EAEAEC"/>
          </w:tcPr>
          <w:p>
            <w:pPr>
              <w:jc w:val="right"/>
              <w:ind w:right="18"/>
              <w:spacing w:after="0" w:line="142" w:lineRule="exact"/>
              <w:rPr>
                <w:sz w:val="20"/>
                <w:szCs w:val="20"/>
                <w:color w:val="auto"/>
              </w:rPr>
            </w:pPr>
            <w:r>
              <w:rPr>
                <w:rFonts w:ascii="Arial" w:cs="Arial" w:eastAsia="Arial" w:hAnsi="Arial"/>
                <w:sz w:val="11"/>
                <w:szCs w:val="11"/>
                <w:color w:val="231F20"/>
              </w:rPr>
              <w:t>1,877,400</w:t>
            </w:r>
            <w:r>
              <w:rPr>
                <w:rFonts w:ascii="Arial" w:cs="Arial" w:eastAsia="Arial" w:hAnsi="Arial"/>
                <w:sz w:val="16"/>
                <w:szCs w:val="16"/>
                <w:color w:val="231F20"/>
                <w:vertAlign w:val="superscript"/>
              </w:rPr>
              <w:t>6</w:t>
            </w:r>
          </w:p>
        </w:tc>
        <w:tc>
          <w:tcPr>
            <w:tcW w:w="900" w:type="dxa"/>
            <w:vAlign w:val="bottom"/>
            <w:tcBorders>
              <w:bottom w:val="single" w:sz="8" w:color="auto"/>
            </w:tcBorders>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vMerge w:val="continue"/>
            <w:shd w:val="clear" w:color="auto" w:fill="EAEAEC"/>
          </w:tcPr>
          <w:p>
            <w:pPr>
              <w:spacing w:after="0"/>
              <w:rPr>
                <w:sz w:val="12"/>
                <w:szCs w:val="12"/>
                <w:color w:val="auto"/>
              </w:rPr>
            </w:pPr>
          </w:p>
        </w:tc>
        <w:tc>
          <w:tcPr>
            <w:tcW w:w="10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b w:val="1"/>
                <w:bCs w:val="1"/>
                <w:color w:val="231F20"/>
              </w:rPr>
              <w:t>385,377</w:t>
            </w:r>
          </w:p>
        </w:tc>
        <w:tc>
          <w:tcPr>
            <w:tcW w:w="960" w:type="dxa"/>
            <w:vAlign w:val="bottom"/>
            <w:tcBorders>
              <w:bottom w:val="single" w:sz="8" w:color="auto"/>
            </w:tcBorders>
            <w:shd w:val="clear" w:color="auto" w:fill="EAEAEC"/>
          </w:tcPr>
          <w:p>
            <w:pPr>
              <w:jc w:val="right"/>
              <w:ind w:right="239"/>
              <w:spacing w:after="0" w:line="142" w:lineRule="exact"/>
              <w:rPr>
                <w:sz w:val="20"/>
                <w:szCs w:val="20"/>
                <w:color w:val="auto"/>
              </w:rPr>
            </w:pPr>
            <w:r>
              <w:rPr>
                <w:rFonts w:ascii="Arial" w:cs="Arial" w:eastAsia="Arial" w:hAnsi="Arial"/>
                <w:sz w:val="13"/>
                <w:szCs w:val="13"/>
                <w:b w:val="1"/>
                <w:bCs w:val="1"/>
                <w:color w:val="231F20"/>
              </w:rPr>
              <w:t>92,687</w:t>
            </w:r>
          </w:p>
        </w:tc>
        <w:tc>
          <w:tcPr>
            <w:tcW w:w="900" w:type="dxa"/>
            <w:vAlign w:val="bottom"/>
            <w:tcBorders>
              <w:bottom w:val="single" w:sz="8" w:color="auto"/>
            </w:tcBorders>
            <w:shd w:val="clear" w:color="auto" w:fill="EAEAEC"/>
          </w:tcPr>
          <w:p>
            <w:pPr>
              <w:spacing w:after="0"/>
              <w:rPr>
                <w:sz w:val="12"/>
                <w:szCs w:val="12"/>
                <w:color w:val="auto"/>
              </w:rPr>
            </w:pPr>
          </w:p>
        </w:tc>
        <w:tc>
          <w:tcPr>
            <w:tcW w:w="940" w:type="dxa"/>
            <w:vAlign w:val="bottom"/>
            <w:tcBorders>
              <w:bottom w:val="single" w:sz="8" w:color="auto"/>
            </w:tcBorders>
            <w:shd w:val="clear" w:color="auto" w:fill="EAEAEC"/>
          </w:tcPr>
          <w:p>
            <w:pPr>
              <w:spacing w:after="0"/>
              <w:rPr>
                <w:sz w:val="12"/>
                <w:szCs w:val="12"/>
                <w:color w:val="auto"/>
              </w:rPr>
            </w:pPr>
          </w:p>
        </w:tc>
        <w:tc>
          <w:tcPr>
            <w:tcW w:w="80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gridSpan w:val="2"/>
            <w:shd w:val="clear" w:color="auto" w:fill="EAEAEC"/>
          </w:tcPr>
          <w:p>
            <w:pPr>
              <w:jc w:val="right"/>
              <w:ind w:right="56"/>
              <w:spacing w:after="0" w:line="142" w:lineRule="exact"/>
              <w:rPr>
                <w:sz w:val="20"/>
                <w:szCs w:val="20"/>
                <w:color w:val="auto"/>
              </w:rPr>
            </w:pPr>
            <w:r>
              <w:rPr>
                <w:rFonts w:ascii="Arial" w:cs="Arial" w:eastAsia="Arial" w:hAnsi="Arial"/>
                <w:sz w:val="13"/>
                <w:szCs w:val="13"/>
                <w:b w:val="1"/>
                <w:bCs w:val="1"/>
                <w:color w:val="231F20"/>
              </w:rPr>
              <w:t>7,625</w:t>
            </w:r>
          </w:p>
        </w:tc>
        <w:tc>
          <w:tcPr>
            <w:tcW w:w="88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jc w:val="right"/>
              <w:ind w:right="179"/>
              <w:spacing w:after="0" w:line="156" w:lineRule="exact"/>
              <w:rPr>
                <w:sz w:val="20"/>
                <w:szCs w:val="20"/>
                <w:color w:val="auto"/>
              </w:rPr>
            </w:pPr>
            <w:r>
              <w:rPr>
                <w:rFonts w:ascii="Arial" w:cs="Arial" w:eastAsia="Arial" w:hAnsi="Arial"/>
                <w:sz w:val="12"/>
                <w:szCs w:val="12"/>
                <w:color w:val="231F20"/>
              </w:rPr>
              <w:t>24,500</w:t>
            </w:r>
            <w:r>
              <w:rPr>
                <w:rFonts w:ascii="Arial" w:cs="Arial" w:eastAsia="Arial" w:hAnsi="Arial"/>
                <w:sz w:val="18"/>
                <w:szCs w:val="18"/>
                <w:color w:val="231F20"/>
                <w:vertAlign w:val="superscript"/>
              </w:rPr>
              <w:t>1</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231F20"/>
              </w:rPr>
              <w:t>372.46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12/11/2029</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6,250</w:t>
            </w:r>
          </w:p>
        </w:tc>
        <w:tc>
          <w:tcPr>
            <w:tcW w:w="9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1"/>
                <w:szCs w:val="11"/>
                <w:color w:val="231F20"/>
              </w:rPr>
              <w:t>18,750</w:t>
            </w:r>
            <w:r>
              <w:rPr>
                <w:rFonts w:ascii="Arial" w:cs="Arial" w:eastAsia="Arial" w:hAnsi="Arial"/>
                <w:sz w:val="16"/>
                <w:szCs w:val="16"/>
                <w:color w:val="231F20"/>
                <w:vertAlign w:val="superscript"/>
              </w:rPr>
              <w:t>2</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381.40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12/12/2028</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25,000</w:t>
            </w:r>
          </w:p>
        </w:tc>
        <w:tc>
          <w:tcPr>
            <w:tcW w:w="9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1"/>
                <w:szCs w:val="11"/>
                <w:color w:val="231F20"/>
              </w:rPr>
              <w:t>25,000</w:t>
            </w:r>
            <w:r>
              <w:rPr>
                <w:rFonts w:ascii="Arial" w:cs="Arial" w:eastAsia="Arial" w:hAnsi="Arial"/>
                <w:sz w:val="16"/>
                <w:szCs w:val="16"/>
                <w:color w:val="231F20"/>
                <w:vertAlign w:val="superscript"/>
              </w:rPr>
              <w:t>3</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378.98</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12/12/2027</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25,500</w:t>
            </w:r>
          </w:p>
        </w:tc>
        <w:tc>
          <w:tcPr>
            <w:tcW w:w="9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1"/>
                <w:szCs w:val="11"/>
                <w:color w:val="231F20"/>
              </w:rPr>
              <w:t>8,500</w:t>
            </w:r>
            <w:r>
              <w:rPr>
                <w:rFonts w:ascii="Arial" w:cs="Arial" w:eastAsia="Arial" w:hAnsi="Arial"/>
                <w:sz w:val="16"/>
                <w:szCs w:val="16"/>
                <w:color w:val="231F20"/>
                <w:vertAlign w:val="superscript"/>
              </w:rPr>
              <w:t>4</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381.92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12/16/2026</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35,000</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555.67</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12/16/2025</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399.66</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12/16/2024</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270.43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12/13/2023</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66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C04C57"/>
              </w:rPr>
              <w:t>Andrew</w:t>
            </w:r>
          </w:p>
        </w:tc>
        <w:tc>
          <w:tcPr>
            <w:tcW w:w="86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3"/>
                <w:szCs w:val="13"/>
                <w:color w:val="231F20"/>
              </w:rPr>
              <w:t>40,000</w:t>
            </w:r>
          </w:p>
        </w:tc>
        <w:tc>
          <w:tcPr>
            <w:tcW w:w="960" w:type="dxa"/>
            <w:vAlign w:val="bottom"/>
            <w:tcBorders>
              <w:bottom w:val="single" w:sz="8" w:color="auto"/>
            </w:tcBorders>
          </w:tcPr>
          <w:p>
            <w:pPr>
              <w:jc w:val="right"/>
              <w:ind w:right="239"/>
              <w:spacing w:after="0" w:line="129"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29" w:lineRule="exact"/>
              <w:rPr>
                <w:sz w:val="20"/>
                <w:szCs w:val="20"/>
                <w:color w:val="auto"/>
              </w:rPr>
            </w:pPr>
            <w:r>
              <w:rPr>
                <w:rFonts w:ascii="Arial" w:cs="Arial" w:eastAsia="Arial" w:hAnsi="Arial"/>
                <w:sz w:val="13"/>
                <w:szCs w:val="13"/>
                <w:color w:val="231F20"/>
              </w:rPr>
              <w:t>179.13</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12/14/2022</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29"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29"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29"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66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J.</w:t>
            </w: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33,079</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66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Murphy,</w:t>
            </w: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1,921</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52.03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12/16/2021</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66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Ph.D.</w:t>
            </w: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26,736</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3,264</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30.63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12/14/2020</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w:t>
            </w: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color w:val="231F20"/>
              </w:rPr>
              <w:t>2,625</w:t>
            </w:r>
            <w:r>
              <w:rPr>
                <w:rFonts w:ascii="Arial" w:cs="Arial" w:eastAsia="Arial" w:hAnsi="Arial"/>
                <w:sz w:val="16"/>
                <w:szCs w:val="16"/>
                <w:color w:val="231F20"/>
                <w:vertAlign w:val="superscript"/>
              </w:rPr>
              <w:t>7</w:t>
            </w:r>
          </w:p>
        </w:tc>
        <w:tc>
          <w:tcPr>
            <w:tcW w:w="88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1"/>
                <w:szCs w:val="11"/>
                <w:color w:val="231F20"/>
              </w:rPr>
              <w:t>985,635</w:t>
            </w:r>
            <w:r>
              <w:rPr>
                <w:rFonts w:ascii="Arial" w:cs="Arial" w:eastAsia="Arial" w:hAnsi="Arial"/>
                <w:sz w:val="16"/>
                <w:szCs w:val="16"/>
                <w:color w:val="231F20"/>
                <w:vertAlign w:val="superscript"/>
              </w:rPr>
              <w:t>6</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color w:val="231F20"/>
              </w:rPr>
              <w:t>10,000</w:t>
            </w:r>
            <w:r>
              <w:rPr>
                <w:rFonts w:ascii="Arial" w:cs="Arial" w:eastAsia="Arial" w:hAnsi="Arial"/>
                <w:sz w:val="16"/>
                <w:szCs w:val="16"/>
                <w:color w:val="231F20"/>
                <w:vertAlign w:val="superscript"/>
              </w:rPr>
              <w:t>8</w:t>
            </w:r>
          </w:p>
        </w:tc>
        <w:tc>
          <w:tcPr>
            <w:tcW w:w="88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1"/>
                <w:szCs w:val="11"/>
                <w:color w:val="231F20"/>
              </w:rPr>
              <w:t>3,754,800</w:t>
            </w:r>
            <w:r>
              <w:rPr>
                <w:rFonts w:ascii="Arial" w:cs="Arial" w:eastAsia="Arial" w:hAnsi="Arial"/>
                <w:sz w:val="16"/>
                <w:szCs w:val="16"/>
                <w:color w:val="231F20"/>
                <w:vertAlign w:val="superscript"/>
              </w:rPr>
              <w:t>6</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6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231F20"/>
              </w:rPr>
              <w:t>TOTAL</w:t>
            </w: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color w:val="231F20"/>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color w:val="231F20"/>
              </w:rPr>
              <w:t>15,000</w:t>
            </w:r>
            <w:r>
              <w:rPr>
                <w:rFonts w:ascii="Arial" w:cs="Arial" w:eastAsia="Arial" w:hAnsi="Arial"/>
                <w:sz w:val="16"/>
                <w:szCs w:val="16"/>
                <w:color w:val="231F20"/>
                <w:vertAlign w:val="superscript"/>
              </w:rPr>
              <w:t>9</w:t>
            </w:r>
          </w:p>
        </w:tc>
        <w:tc>
          <w:tcPr>
            <w:tcW w:w="88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1"/>
                <w:szCs w:val="11"/>
                <w:color w:val="231F20"/>
              </w:rPr>
              <w:t>5,632,200</w:t>
            </w:r>
            <w:r>
              <w:rPr>
                <w:rFonts w:ascii="Arial" w:cs="Arial" w:eastAsia="Arial" w:hAnsi="Arial"/>
                <w:sz w:val="16"/>
                <w:szCs w:val="16"/>
                <w:color w:val="231F20"/>
                <w:vertAlign w:val="superscript"/>
              </w:rPr>
              <w:t>6</w:t>
            </w:r>
          </w:p>
        </w:tc>
        <w:tc>
          <w:tcPr>
            <w:tcW w:w="90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231F20"/>
              </w:rPr>
              <w:t>276,750</w:t>
            </w:r>
          </w:p>
        </w:tc>
        <w:tc>
          <w:tcPr>
            <w:tcW w:w="9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3"/>
                <w:szCs w:val="13"/>
                <w:b w:val="1"/>
                <w:bCs w:val="1"/>
                <w:color w:val="231F20"/>
              </w:rPr>
              <w:t>76,750</w:t>
            </w: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3"/>
                <w:szCs w:val="13"/>
                <w:b w:val="1"/>
                <w:bCs w:val="1"/>
                <w:color w:val="231F20"/>
              </w:rPr>
              <w:t>27,625</w:t>
            </w: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20" w:right="1620" w:hanging="316"/>
        <w:spacing w:after="0" w:line="258" w:lineRule="auto"/>
        <w:tabs>
          <w:tab w:leader="none" w:pos="1620" w:val="left"/>
        </w:tabs>
        <w:numPr>
          <w:ilvl w:val="0"/>
          <w:numId w:val="180"/>
        </w:numPr>
        <w:rPr>
          <w:rFonts w:ascii="Arial" w:cs="Arial" w:eastAsia="Arial" w:hAnsi="Arial"/>
          <w:sz w:val="14"/>
          <w:szCs w:val="14"/>
          <w:b w:val="1"/>
          <w:bCs w:val="1"/>
          <w:color w:val="2952A4"/>
        </w:rPr>
      </w:pPr>
      <w:r>
        <w:rPr>
          <w:rFonts w:ascii="Arial" w:cs="Arial" w:eastAsia="Arial" w:hAnsi="Arial"/>
          <w:sz w:val="14"/>
          <w:szCs w:val="14"/>
          <w:color w:val="231F20"/>
        </w:rPr>
        <w:t>This stock option award was granted to the NEO on December 11, 2019 and vests at a rate of 25% per year over the first four years of the option term.</w:t>
      </w:r>
    </w:p>
    <w:p>
      <w:pPr>
        <w:spacing w:after="0" w:line="140" w:lineRule="exact"/>
        <w:rPr>
          <w:sz w:val="20"/>
          <w:szCs w:val="20"/>
          <w:color w:val="auto"/>
        </w:rPr>
      </w:pPr>
    </w:p>
    <w:p>
      <w:pPr>
        <w:ind w:left="1620" w:right="1620" w:hanging="316"/>
        <w:spacing w:after="0" w:line="258" w:lineRule="auto"/>
        <w:tabs>
          <w:tab w:leader="none" w:pos="1620" w:val="left"/>
        </w:tabs>
        <w:numPr>
          <w:ilvl w:val="0"/>
          <w:numId w:val="181"/>
        </w:numPr>
        <w:rPr>
          <w:rFonts w:ascii="Arial" w:cs="Arial" w:eastAsia="Arial" w:hAnsi="Arial"/>
          <w:sz w:val="14"/>
          <w:szCs w:val="14"/>
          <w:b w:val="1"/>
          <w:bCs w:val="1"/>
          <w:color w:val="2952A4"/>
        </w:rPr>
      </w:pPr>
      <w:r>
        <w:rPr>
          <w:rFonts w:ascii="Arial" w:cs="Arial" w:eastAsia="Arial" w:hAnsi="Arial"/>
          <w:sz w:val="14"/>
          <w:szCs w:val="14"/>
          <w:color w:val="231F20"/>
        </w:rPr>
        <w:t>This stock option award was granted to the NEO on December 12, 2018 and vests at a rate of 25% per year over the first four years of the option term.</w:t>
      </w:r>
    </w:p>
    <w:p>
      <w:pPr>
        <w:spacing w:after="0" w:line="140" w:lineRule="exact"/>
        <w:rPr>
          <w:sz w:val="20"/>
          <w:szCs w:val="20"/>
          <w:color w:val="auto"/>
        </w:rPr>
      </w:pPr>
    </w:p>
    <w:p>
      <w:pPr>
        <w:ind w:left="1620" w:right="1620" w:hanging="316"/>
        <w:spacing w:after="0" w:line="258" w:lineRule="auto"/>
        <w:tabs>
          <w:tab w:leader="none" w:pos="1620" w:val="left"/>
        </w:tabs>
        <w:numPr>
          <w:ilvl w:val="0"/>
          <w:numId w:val="182"/>
        </w:numPr>
        <w:rPr>
          <w:rFonts w:ascii="Arial" w:cs="Arial" w:eastAsia="Arial" w:hAnsi="Arial"/>
          <w:sz w:val="14"/>
          <w:szCs w:val="14"/>
          <w:b w:val="1"/>
          <w:bCs w:val="1"/>
          <w:color w:val="2952A4"/>
        </w:rPr>
      </w:pPr>
      <w:r>
        <w:rPr>
          <w:rFonts w:ascii="Arial" w:cs="Arial" w:eastAsia="Arial" w:hAnsi="Arial"/>
          <w:sz w:val="14"/>
          <w:szCs w:val="14"/>
          <w:color w:val="231F20"/>
        </w:rPr>
        <w:t>This stock option award was granted to the NEO on December 12, 2017 and vests at a rate of 25% per year over the first four years of the option term.</w:t>
      </w:r>
    </w:p>
    <w:p>
      <w:pPr>
        <w:spacing w:after="0" w:line="140" w:lineRule="exact"/>
        <w:rPr>
          <w:sz w:val="20"/>
          <w:szCs w:val="20"/>
          <w:color w:val="auto"/>
        </w:rPr>
      </w:pPr>
    </w:p>
    <w:p>
      <w:pPr>
        <w:ind w:left="1620" w:right="1620" w:hanging="316"/>
        <w:spacing w:after="0" w:line="258" w:lineRule="auto"/>
        <w:tabs>
          <w:tab w:leader="none" w:pos="1620" w:val="left"/>
        </w:tabs>
        <w:numPr>
          <w:ilvl w:val="0"/>
          <w:numId w:val="183"/>
        </w:numPr>
        <w:rPr>
          <w:rFonts w:ascii="Arial" w:cs="Arial" w:eastAsia="Arial" w:hAnsi="Arial"/>
          <w:sz w:val="14"/>
          <w:szCs w:val="14"/>
          <w:b w:val="1"/>
          <w:bCs w:val="1"/>
          <w:color w:val="2952A4"/>
        </w:rPr>
      </w:pPr>
      <w:r>
        <w:rPr>
          <w:rFonts w:ascii="Arial" w:cs="Arial" w:eastAsia="Arial" w:hAnsi="Arial"/>
          <w:sz w:val="14"/>
          <w:szCs w:val="14"/>
          <w:color w:val="231F20"/>
        </w:rPr>
        <w:t>This stock option award was granted to the NEO on December 16, 2016 and vests at a rate of 25% per year over the first four years of the option term.</w:t>
      </w:r>
    </w:p>
    <w:p>
      <w:pPr>
        <w:spacing w:after="0" w:line="140" w:lineRule="exact"/>
        <w:rPr>
          <w:sz w:val="20"/>
          <w:szCs w:val="20"/>
          <w:color w:val="auto"/>
        </w:rPr>
      </w:pPr>
    </w:p>
    <w:p>
      <w:pPr>
        <w:ind w:left="1620" w:right="1360" w:hanging="316"/>
        <w:spacing w:after="0" w:line="249" w:lineRule="auto"/>
        <w:tabs>
          <w:tab w:leader="none" w:pos="1620" w:val="left"/>
        </w:tabs>
        <w:numPr>
          <w:ilvl w:val="0"/>
          <w:numId w:val="184"/>
        </w:numPr>
        <w:rPr>
          <w:rFonts w:ascii="Arial" w:cs="Arial" w:eastAsia="Arial" w:hAnsi="Arial"/>
          <w:sz w:val="14"/>
          <w:szCs w:val="14"/>
          <w:b w:val="1"/>
          <w:bCs w:val="1"/>
          <w:color w:val="2952A4"/>
        </w:rPr>
      </w:pPr>
      <w:r>
        <w:rPr>
          <w:rFonts w:ascii="Arial" w:cs="Arial" w:eastAsia="Arial" w:hAnsi="Arial"/>
          <w:sz w:val="14"/>
          <w:szCs w:val="14"/>
          <w:color w:val="231F20"/>
        </w:rPr>
        <w:t>This PSU award was granted to the NEO on December 11, 2019 and has a five-year performance period from the date of grant. Based on performance as of December 31, 2019 in accordance with SEC rules, the number of PSUs shown in this table assumes a threshold level of payout.</w:t>
      </w:r>
    </w:p>
    <w:p>
      <w:pPr>
        <w:spacing w:after="0" w:line="147" w:lineRule="exact"/>
        <w:rPr>
          <w:sz w:val="20"/>
          <w:szCs w:val="20"/>
          <w:color w:val="auto"/>
        </w:rPr>
      </w:pPr>
    </w:p>
    <w:p>
      <w:pPr>
        <w:ind w:left="1620" w:right="1960" w:hanging="316"/>
        <w:spacing w:after="0" w:line="258" w:lineRule="auto"/>
        <w:tabs>
          <w:tab w:leader="none" w:pos="1620" w:val="left"/>
        </w:tabs>
        <w:numPr>
          <w:ilvl w:val="0"/>
          <w:numId w:val="185"/>
        </w:numPr>
        <w:rPr>
          <w:rFonts w:ascii="Arial" w:cs="Arial" w:eastAsia="Arial" w:hAnsi="Arial"/>
          <w:sz w:val="14"/>
          <w:szCs w:val="14"/>
          <w:b w:val="1"/>
          <w:bCs w:val="1"/>
          <w:color w:val="2952A4"/>
        </w:rPr>
      </w:pPr>
      <w:r>
        <w:rPr>
          <w:rFonts w:ascii="Arial" w:cs="Arial" w:eastAsia="Arial" w:hAnsi="Arial"/>
          <w:sz w:val="14"/>
          <w:szCs w:val="14"/>
          <w:color w:val="231F20"/>
        </w:rPr>
        <w:t>Reflects the closing price of $375.48 per share of the Company’s common stock on the Nasdaq Global Select Market on December 31, 2019.</w:t>
      </w:r>
    </w:p>
    <w:p>
      <w:pPr>
        <w:spacing w:after="0" w:line="140" w:lineRule="exact"/>
        <w:rPr>
          <w:sz w:val="20"/>
          <w:szCs w:val="20"/>
          <w:color w:val="auto"/>
        </w:rPr>
      </w:pPr>
    </w:p>
    <w:p>
      <w:pPr>
        <w:ind w:left="1620" w:right="1360" w:hanging="316"/>
        <w:spacing w:after="0" w:line="258" w:lineRule="auto"/>
        <w:tabs>
          <w:tab w:leader="none" w:pos="1620" w:val="left"/>
        </w:tabs>
        <w:numPr>
          <w:ilvl w:val="0"/>
          <w:numId w:val="186"/>
        </w:numPr>
        <w:rPr>
          <w:rFonts w:ascii="Arial" w:cs="Arial" w:eastAsia="Arial" w:hAnsi="Arial"/>
          <w:sz w:val="14"/>
          <w:szCs w:val="14"/>
          <w:b w:val="1"/>
          <w:bCs w:val="1"/>
          <w:color w:val="2952A4"/>
        </w:rPr>
      </w:pPr>
      <w:r>
        <w:rPr>
          <w:rFonts w:ascii="Arial" w:cs="Arial" w:eastAsia="Arial" w:hAnsi="Arial"/>
          <w:sz w:val="14"/>
          <w:szCs w:val="14"/>
          <w:color w:val="231F20"/>
        </w:rPr>
        <w:t>This RSA was granted to the NEO on December 11, 2019 and vests 50% on the second anniversary of the date of grant and 50% on the fourth anniversary of the date of grant, subject to the NEO’s continued employment.</w:t>
      </w:r>
    </w:p>
    <w:p>
      <w:pPr>
        <w:spacing w:after="0" w:line="140" w:lineRule="exact"/>
        <w:rPr>
          <w:sz w:val="20"/>
          <w:szCs w:val="20"/>
          <w:color w:val="auto"/>
        </w:rPr>
      </w:pPr>
    </w:p>
    <w:p>
      <w:pPr>
        <w:ind w:left="1620" w:right="1440" w:hanging="316"/>
        <w:spacing w:after="0" w:line="258" w:lineRule="auto"/>
        <w:tabs>
          <w:tab w:leader="none" w:pos="1620" w:val="left"/>
        </w:tabs>
        <w:numPr>
          <w:ilvl w:val="0"/>
          <w:numId w:val="187"/>
        </w:numPr>
        <w:rPr>
          <w:rFonts w:ascii="Arial" w:cs="Arial" w:eastAsia="Arial" w:hAnsi="Arial"/>
          <w:sz w:val="14"/>
          <w:szCs w:val="14"/>
          <w:b w:val="1"/>
          <w:bCs w:val="1"/>
          <w:color w:val="2952A4"/>
        </w:rPr>
      </w:pPr>
      <w:r>
        <w:rPr>
          <w:rFonts w:ascii="Arial" w:cs="Arial" w:eastAsia="Arial" w:hAnsi="Arial"/>
          <w:sz w:val="14"/>
          <w:szCs w:val="14"/>
          <w:color w:val="231F20"/>
        </w:rPr>
        <w:t>This RSA was granted to the NEO on December 11, 2019 and vests 100% on the fourth anniversary of the date of grant, subject to the NEO’s continued employment.</w:t>
      </w:r>
    </w:p>
    <w:p>
      <w:pPr>
        <w:spacing w:after="0" w:line="140" w:lineRule="exact"/>
        <w:rPr>
          <w:sz w:val="20"/>
          <w:szCs w:val="20"/>
          <w:color w:val="auto"/>
        </w:rPr>
      </w:pPr>
    </w:p>
    <w:p>
      <w:pPr>
        <w:ind w:left="1620" w:right="1420" w:hanging="316"/>
        <w:spacing w:after="0" w:line="258" w:lineRule="auto"/>
        <w:tabs>
          <w:tab w:leader="none" w:pos="1620" w:val="left"/>
        </w:tabs>
        <w:numPr>
          <w:ilvl w:val="0"/>
          <w:numId w:val="188"/>
        </w:numPr>
        <w:rPr>
          <w:rFonts w:ascii="Arial" w:cs="Arial" w:eastAsia="Arial" w:hAnsi="Arial"/>
          <w:sz w:val="14"/>
          <w:szCs w:val="14"/>
          <w:b w:val="1"/>
          <w:bCs w:val="1"/>
          <w:color w:val="2952A4"/>
        </w:rPr>
      </w:pPr>
      <w:r>
        <w:rPr>
          <w:rFonts w:ascii="Arial" w:cs="Arial" w:eastAsia="Arial" w:hAnsi="Arial"/>
          <w:sz w:val="14"/>
          <w:szCs w:val="14"/>
          <w:color w:val="231F20"/>
        </w:rPr>
        <w:t>This RSA was granted to the NEO on December 12, 2018 and vests 100% on the fifth anniversary of the date of grant, subject to the NEO’s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111760</wp:posOffset>
            </wp:positionV>
            <wp:extent cx="771525" cy="1028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89</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01" w:name="page102"/>
    <w:bookmarkEnd w:id="101"/>
    <w:p>
      <w:pPr>
        <w:ind w:left="3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sectPr>
      </w:pP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C04C57"/>
        </w:rPr>
        <w:t>2019 Option Exercises and Stock Vested</w:t>
      </w:r>
    </w:p>
    <w:p>
      <w:pPr>
        <w:spacing w:after="0" w:line="177" w:lineRule="exact"/>
        <w:rPr>
          <w:sz w:val="20"/>
          <w:szCs w:val="20"/>
          <w:color w:val="auto"/>
        </w:rPr>
      </w:pPr>
    </w:p>
    <w:p>
      <w:pPr>
        <w:ind w:left="320" w:right="380"/>
        <w:spacing w:after="0" w:line="242" w:lineRule="auto"/>
        <w:rPr>
          <w:sz w:val="20"/>
          <w:szCs w:val="20"/>
          <w:color w:val="auto"/>
        </w:rPr>
      </w:pPr>
      <w:r>
        <w:rPr>
          <w:rFonts w:ascii="Arial" w:cs="Arial" w:eastAsia="Arial" w:hAnsi="Arial"/>
          <w:sz w:val="15"/>
          <w:szCs w:val="15"/>
          <w:color w:val="231F20"/>
        </w:rPr>
        <w:t>The following table and explanatory footnotes provide information with regard to amounts realized by our NEOs during 2019 as a result of the exercise of stock options or the vesting of RSAs.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440" w:type="dxa"/>
            <w:vAlign w:val="bottom"/>
            <w:tcBorders>
              <w:top w:val="single" w:sz="8" w:color="2952A4"/>
              <w:bottom w:val="single" w:sz="8" w:color="2952A4"/>
            </w:tcBorders>
          </w:tcPr>
          <w:p>
            <w:pPr>
              <w:ind w:left="60"/>
              <w:spacing w:after="0"/>
              <w:rPr>
                <w:sz w:val="20"/>
                <w:szCs w:val="20"/>
                <w:color w:val="auto"/>
              </w:rPr>
            </w:pPr>
            <w:r>
              <w:rPr>
                <w:rFonts w:ascii="Arial" w:cs="Arial" w:eastAsia="Arial" w:hAnsi="Arial"/>
                <w:sz w:val="12"/>
                <w:szCs w:val="12"/>
                <w:b w:val="1"/>
                <w:bCs w:val="1"/>
                <w:color w:val="2952A4"/>
              </w:rPr>
              <w:t>A</w:t>
            </w:r>
          </w:p>
        </w:tc>
        <w:tc>
          <w:tcPr>
            <w:tcW w:w="2120" w:type="dxa"/>
            <w:vAlign w:val="bottom"/>
            <w:tcBorders>
              <w:top w:val="single" w:sz="8" w:color="2952A4"/>
              <w:bottom w:val="single" w:sz="8" w:color="2952A4"/>
            </w:tcBorders>
          </w:tcPr>
          <w:p>
            <w:pPr>
              <w:jc w:val="center"/>
              <w:ind w:right="298"/>
              <w:spacing w:after="0"/>
              <w:rPr>
                <w:sz w:val="20"/>
                <w:szCs w:val="20"/>
                <w:color w:val="auto"/>
              </w:rPr>
            </w:pPr>
            <w:r>
              <w:rPr>
                <w:rFonts w:ascii="Arial" w:cs="Arial" w:eastAsia="Arial" w:hAnsi="Arial"/>
                <w:sz w:val="12"/>
                <w:szCs w:val="12"/>
                <w:b w:val="1"/>
                <w:bCs w:val="1"/>
                <w:color w:val="2952A4"/>
                <w:w w:val="91"/>
              </w:rPr>
              <w:t>B</w:t>
            </w:r>
          </w:p>
        </w:tc>
        <w:tc>
          <w:tcPr>
            <w:tcW w:w="1440" w:type="dxa"/>
            <w:vAlign w:val="bottom"/>
            <w:tcBorders>
              <w:top w:val="single" w:sz="8" w:color="2952A4"/>
              <w:bottom w:val="single" w:sz="8" w:color="2952A4"/>
            </w:tcBorders>
            <w:gridSpan w:val="2"/>
          </w:tcPr>
          <w:p>
            <w:pPr>
              <w:jc w:val="center"/>
              <w:ind w:right="620"/>
              <w:spacing w:after="0"/>
              <w:rPr>
                <w:sz w:val="20"/>
                <w:szCs w:val="20"/>
                <w:color w:val="auto"/>
              </w:rPr>
            </w:pPr>
            <w:r>
              <w:rPr>
                <w:rFonts w:ascii="Arial" w:cs="Arial" w:eastAsia="Arial" w:hAnsi="Arial"/>
                <w:sz w:val="12"/>
                <w:szCs w:val="12"/>
                <w:b w:val="1"/>
                <w:bCs w:val="1"/>
                <w:color w:val="2952A4"/>
              </w:rPr>
              <w:t>C</w:t>
            </w:r>
          </w:p>
        </w:tc>
        <w:tc>
          <w:tcPr>
            <w:tcW w:w="1400" w:type="dxa"/>
            <w:vAlign w:val="bottom"/>
            <w:tcBorders>
              <w:top w:val="single" w:sz="8" w:color="2952A4"/>
              <w:bottom w:val="single" w:sz="8" w:color="2952A4"/>
            </w:tcBorders>
          </w:tcPr>
          <w:p>
            <w:pPr>
              <w:jc w:val="center"/>
              <w:ind w:right="138"/>
              <w:spacing w:after="0"/>
              <w:rPr>
                <w:sz w:val="20"/>
                <w:szCs w:val="20"/>
                <w:color w:val="auto"/>
              </w:rPr>
            </w:pPr>
            <w:r>
              <w:rPr>
                <w:rFonts w:ascii="Arial" w:cs="Arial" w:eastAsia="Arial" w:hAnsi="Arial"/>
                <w:sz w:val="12"/>
                <w:szCs w:val="12"/>
                <w:b w:val="1"/>
                <w:bCs w:val="1"/>
                <w:color w:val="2952A4"/>
                <w:w w:val="91"/>
              </w:rPr>
              <w:t>D</w:t>
            </w:r>
          </w:p>
        </w:tc>
        <w:tc>
          <w:tcPr>
            <w:tcW w:w="124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74"/>
              </w:rPr>
              <w:t>E</w:t>
            </w:r>
          </w:p>
        </w:tc>
      </w:tr>
      <w:tr>
        <w:trPr>
          <w:trHeight w:val="142"/>
        </w:trPr>
        <w:tc>
          <w:tcPr>
            <w:tcW w:w="2440" w:type="dxa"/>
            <w:vAlign w:val="bottom"/>
          </w:tcPr>
          <w:p>
            <w:pPr>
              <w:spacing w:after="0"/>
              <w:rPr>
                <w:sz w:val="12"/>
                <w:szCs w:val="12"/>
                <w:color w:val="auto"/>
              </w:rPr>
            </w:pPr>
          </w:p>
        </w:tc>
        <w:tc>
          <w:tcPr>
            <w:tcW w:w="2120" w:type="dxa"/>
            <w:vAlign w:val="bottom"/>
            <w:tcBorders>
              <w:bottom w:val="single" w:sz="8" w:color="2952A4"/>
            </w:tcBorders>
          </w:tcPr>
          <w:p>
            <w:pPr>
              <w:jc w:val="right"/>
              <w:spacing w:after="0"/>
              <w:rPr>
                <w:sz w:val="20"/>
                <w:szCs w:val="20"/>
                <w:color w:val="auto"/>
              </w:rPr>
            </w:pPr>
            <w:r>
              <w:rPr>
                <w:rFonts w:ascii="Arial" w:cs="Arial" w:eastAsia="Arial" w:hAnsi="Arial"/>
                <w:sz w:val="12"/>
                <w:szCs w:val="12"/>
                <w:b w:val="1"/>
                <w:bCs w:val="1"/>
                <w:color w:val="2952A4"/>
              </w:rPr>
              <w:t>Option awards</w:t>
            </w:r>
          </w:p>
        </w:tc>
        <w:tc>
          <w:tcPr>
            <w:tcW w:w="1000" w:type="dxa"/>
            <w:vAlign w:val="bottom"/>
            <w:tcBorders>
              <w:bottom w:val="single" w:sz="8" w:color="2952A4"/>
            </w:tcBorders>
          </w:tcPr>
          <w:p>
            <w:pPr>
              <w:spacing w:after="0"/>
              <w:rPr>
                <w:sz w:val="12"/>
                <w:szCs w:val="12"/>
                <w:color w:val="auto"/>
              </w:rPr>
            </w:pPr>
          </w:p>
        </w:tc>
        <w:tc>
          <w:tcPr>
            <w:tcW w:w="440" w:type="dxa"/>
            <w:vAlign w:val="bottom"/>
          </w:tcPr>
          <w:p>
            <w:pPr>
              <w:spacing w:after="0"/>
              <w:rPr>
                <w:sz w:val="12"/>
                <w:szCs w:val="12"/>
                <w:color w:val="auto"/>
              </w:rPr>
            </w:pPr>
          </w:p>
        </w:tc>
        <w:tc>
          <w:tcPr>
            <w:tcW w:w="2640" w:type="dxa"/>
            <w:vAlign w:val="bottom"/>
            <w:tcBorders>
              <w:bottom w:val="single" w:sz="8" w:color="2952A4"/>
            </w:tcBorders>
            <w:gridSpan w:val="2"/>
          </w:tcPr>
          <w:p>
            <w:pPr>
              <w:ind w:left="940"/>
              <w:spacing w:after="0"/>
              <w:rPr>
                <w:sz w:val="20"/>
                <w:szCs w:val="20"/>
                <w:color w:val="auto"/>
              </w:rPr>
            </w:pPr>
            <w:r>
              <w:rPr>
                <w:rFonts w:ascii="Arial" w:cs="Arial" w:eastAsia="Arial" w:hAnsi="Arial"/>
                <w:sz w:val="12"/>
                <w:szCs w:val="12"/>
                <w:b w:val="1"/>
                <w:bCs w:val="1"/>
                <w:color w:val="2952A4"/>
              </w:rPr>
              <w:t>Stock awards</w:t>
            </w:r>
          </w:p>
        </w:tc>
      </w:tr>
      <w:tr>
        <w:trPr>
          <w:trHeight w:val="117"/>
        </w:trPr>
        <w:tc>
          <w:tcPr>
            <w:tcW w:w="2440" w:type="dxa"/>
            <w:vAlign w:val="bottom"/>
          </w:tcPr>
          <w:p>
            <w:pPr>
              <w:spacing w:after="0"/>
              <w:rPr>
                <w:sz w:val="10"/>
                <w:szCs w:val="10"/>
                <w:color w:val="auto"/>
              </w:rPr>
            </w:pPr>
          </w:p>
        </w:tc>
        <w:tc>
          <w:tcPr>
            <w:tcW w:w="2120" w:type="dxa"/>
            <w:vAlign w:val="bottom"/>
          </w:tcPr>
          <w:p>
            <w:pPr>
              <w:jc w:val="center"/>
              <w:ind w:right="298"/>
              <w:spacing w:after="0" w:line="117" w:lineRule="exact"/>
              <w:rPr>
                <w:sz w:val="20"/>
                <w:szCs w:val="20"/>
                <w:color w:val="auto"/>
              </w:rPr>
            </w:pPr>
            <w:r>
              <w:rPr>
                <w:rFonts w:ascii="Arial" w:cs="Arial" w:eastAsia="Arial" w:hAnsi="Arial"/>
                <w:sz w:val="12"/>
                <w:szCs w:val="12"/>
                <w:b w:val="1"/>
                <w:bCs w:val="1"/>
                <w:color w:val="2952A4"/>
                <w:w w:val="97"/>
              </w:rPr>
              <w:t>Number of shares</w:t>
            </w:r>
          </w:p>
        </w:tc>
        <w:tc>
          <w:tcPr>
            <w:tcW w:w="1000" w:type="dxa"/>
            <w:vAlign w:val="bottom"/>
          </w:tcPr>
          <w:p>
            <w:pPr>
              <w:jc w:val="center"/>
              <w:ind w:right="118"/>
              <w:spacing w:after="0" w:line="117" w:lineRule="exact"/>
              <w:rPr>
                <w:sz w:val="20"/>
                <w:szCs w:val="20"/>
                <w:color w:val="auto"/>
              </w:rPr>
            </w:pPr>
            <w:r>
              <w:rPr>
                <w:rFonts w:ascii="Arial" w:cs="Arial" w:eastAsia="Arial" w:hAnsi="Arial"/>
                <w:sz w:val="12"/>
                <w:szCs w:val="12"/>
                <w:b w:val="1"/>
                <w:bCs w:val="1"/>
                <w:color w:val="2952A4"/>
                <w:w w:val="97"/>
              </w:rPr>
              <w:t>Value realized</w:t>
            </w:r>
          </w:p>
        </w:tc>
        <w:tc>
          <w:tcPr>
            <w:tcW w:w="440" w:type="dxa"/>
            <w:vAlign w:val="bottom"/>
          </w:tcPr>
          <w:p>
            <w:pPr>
              <w:spacing w:after="0"/>
              <w:rPr>
                <w:sz w:val="10"/>
                <w:szCs w:val="10"/>
                <w:color w:val="auto"/>
              </w:rPr>
            </w:pPr>
          </w:p>
        </w:tc>
        <w:tc>
          <w:tcPr>
            <w:tcW w:w="1400" w:type="dxa"/>
            <w:vAlign w:val="bottom"/>
          </w:tcPr>
          <w:p>
            <w:pPr>
              <w:jc w:val="center"/>
              <w:ind w:right="138"/>
              <w:spacing w:after="0" w:line="117" w:lineRule="exact"/>
              <w:rPr>
                <w:sz w:val="20"/>
                <w:szCs w:val="20"/>
                <w:color w:val="auto"/>
              </w:rPr>
            </w:pPr>
            <w:r>
              <w:rPr>
                <w:rFonts w:ascii="Arial" w:cs="Arial" w:eastAsia="Arial" w:hAnsi="Arial"/>
                <w:sz w:val="12"/>
                <w:szCs w:val="12"/>
                <w:b w:val="1"/>
                <w:bCs w:val="1"/>
                <w:color w:val="2952A4"/>
                <w:w w:val="97"/>
              </w:rPr>
              <w:t>Number of shares</w:t>
            </w:r>
          </w:p>
        </w:tc>
        <w:tc>
          <w:tcPr>
            <w:tcW w:w="1240" w:type="dxa"/>
            <w:vAlign w:val="bottom"/>
          </w:tcPr>
          <w:p>
            <w:pPr>
              <w:jc w:val="center"/>
              <w:spacing w:after="0" w:line="117" w:lineRule="exact"/>
              <w:rPr>
                <w:sz w:val="20"/>
                <w:szCs w:val="20"/>
                <w:color w:val="auto"/>
              </w:rPr>
            </w:pPr>
            <w:r>
              <w:rPr>
                <w:rFonts w:ascii="Arial" w:cs="Arial" w:eastAsia="Arial" w:hAnsi="Arial"/>
                <w:sz w:val="12"/>
                <w:szCs w:val="12"/>
                <w:b w:val="1"/>
                <w:bCs w:val="1"/>
                <w:color w:val="2952A4"/>
                <w:w w:val="97"/>
              </w:rPr>
              <w:t>Value realized</w:t>
            </w:r>
          </w:p>
        </w:tc>
      </w:tr>
      <w:tr>
        <w:trPr>
          <w:trHeight w:val="141"/>
        </w:trPr>
        <w:tc>
          <w:tcPr>
            <w:tcW w:w="2440" w:type="dxa"/>
            <w:vAlign w:val="bottom"/>
          </w:tcPr>
          <w:p>
            <w:pPr>
              <w:ind w:left="60"/>
              <w:spacing w:after="0"/>
              <w:rPr>
                <w:sz w:val="20"/>
                <w:szCs w:val="20"/>
                <w:color w:val="auto"/>
              </w:rPr>
            </w:pPr>
            <w:r>
              <w:rPr>
                <w:rFonts w:ascii="Arial" w:cs="Arial" w:eastAsia="Arial" w:hAnsi="Arial"/>
                <w:sz w:val="12"/>
                <w:szCs w:val="12"/>
                <w:b w:val="1"/>
                <w:bCs w:val="1"/>
                <w:color w:val="2952A4"/>
              </w:rPr>
              <w:t>Name</w:t>
            </w:r>
          </w:p>
        </w:tc>
        <w:tc>
          <w:tcPr>
            <w:tcW w:w="2120" w:type="dxa"/>
            <w:vAlign w:val="bottom"/>
          </w:tcPr>
          <w:p>
            <w:pPr>
              <w:jc w:val="center"/>
              <w:ind w:right="298"/>
              <w:spacing w:after="0"/>
              <w:rPr>
                <w:sz w:val="20"/>
                <w:szCs w:val="20"/>
                <w:color w:val="auto"/>
              </w:rPr>
            </w:pPr>
            <w:r>
              <w:rPr>
                <w:rFonts w:ascii="Arial" w:cs="Arial" w:eastAsia="Arial" w:hAnsi="Arial"/>
                <w:sz w:val="12"/>
                <w:szCs w:val="12"/>
                <w:b w:val="1"/>
                <w:bCs w:val="1"/>
                <w:color w:val="2952A4"/>
                <w:w w:val="97"/>
              </w:rPr>
              <w:t>acquired on exercise</w:t>
            </w:r>
          </w:p>
        </w:tc>
        <w:tc>
          <w:tcPr>
            <w:tcW w:w="144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2952A4"/>
                <w:w w:val="96"/>
              </w:rPr>
              <w:t>on exercise</w:t>
            </w:r>
          </w:p>
        </w:tc>
        <w:tc>
          <w:tcPr>
            <w:tcW w:w="1400" w:type="dxa"/>
            <w:vAlign w:val="bottom"/>
          </w:tcPr>
          <w:p>
            <w:pPr>
              <w:jc w:val="center"/>
              <w:ind w:right="138"/>
              <w:spacing w:after="0"/>
              <w:rPr>
                <w:sz w:val="20"/>
                <w:szCs w:val="20"/>
                <w:color w:val="auto"/>
              </w:rPr>
            </w:pPr>
            <w:r>
              <w:rPr>
                <w:rFonts w:ascii="Arial" w:cs="Arial" w:eastAsia="Arial" w:hAnsi="Arial"/>
                <w:sz w:val="12"/>
                <w:szCs w:val="12"/>
                <w:b w:val="1"/>
                <w:bCs w:val="1"/>
                <w:color w:val="2952A4"/>
                <w:w w:val="98"/>
              </w:rPr>
              <w:t>acquired on vesting</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2952A4"/>
                <w:w w:val="96"/>
              </w:rPr>
              <w:t>on vesting</w:t>
            </w:r>
          </w:p>
        </w:tc>
      </w:tr>
      <w:tr>
        <w:trPr>
          <w:trHeight w:val="188"/>
        </w:trPr>
        <w:tc>
          <w:tcPr>
            <w:tcW w:w="2440" w:type="dxa"/>
            <w:vAlign w:val="bottom"/>
            <w:tcBorders>
              <w:bottom w:val="single" w:sz="8" w:color="2952A4"/>
            </w:tcBorders>
          </w:tcPr>
          <w:p>
            <w:pPr>
              <w:ind w:left="60"/>
              <w:spacing w:after="0"/>
              <w:rPr>
                <w:sz w:val="20"/>
                <w:szCs w:val="20"/>
                <w:color w:val="auto"/>
              </w:rPr>
            </w:pPr>
            <w:r>
              <w:rPr>
                <w:rFonts w:ascii="Arial" w:cs="Arial" w:eastAsia="Arial" w:hAnsi="Arial"/>
                <w:sz w:val="12"/>
                <w:szCs w:val="12"/>
                <w:b w:val="1"/>
                <w:bCs w:val="1"/>
                <w:color w:val="2952A4"/>
              </w:rPr>
              <w:t>(a)</w:t>
            </w:r>
          </w:p>
        </w:tc>
        <w:tc>
          <w:tcPr>
            <w:tcW w:w="2120" w:type="dxa"/>
            <w:vAlign w:val="bottom"/>
            <w:tcBorders>
              <w:bottom w:val="single" w:sz="8" w:color="2952A4"/>
            </w:tcBorders>
          </w:tcPr>
          <w:p>
            <w:pPr>
              <w:jc w:val="center"/>
              <w:ind w:right="278"/>
              <w:spacing w:after="0"/>
              <w:rPr>
                <w:sz w:val="20"/>
                <w:szCs w:val="20"/>
                <w:color w:val="auto"/>
              </w:rPr>
            </w:pPr>
            <w:r>
              <w:rPr>
                <w:rFonts w:ascii="Arial" w:cs="Arial" w:eastAsia="Arial" w:hAnsi="Arial"/>
                <w:sz w:val="12"/>
                <w:szCs w:val="12"/>
                <w:b w:val="1"/>
                <w:bCs w:val="1"/>
                <w:color w:val="2952A4"/>
                <w:w w:val="95"/>
              </w:rPr>
              <w:t>(#)</w:t>
            </w:r>
          </w:p>
        </w:tc>
        <w:tc>
          <w:tcPr>
            <w:tcW w:w="1000" w:type="dxa"/>
            <w:vAlign w:val="bottom"/>
            <w:tcBorders>
              <w:bottom w:val="single" w:sz="8" w:color="2952A4"/>
            </w:tcBorders>
          </w:tcPr>
          <w:p>
            <w:pPr>
              <w:jc w:val="center"/>
              <w:ind w:right="98"/>
              <w:spacing w:after="0" w:line="182" w:lineRule="exact"/>
              <w:rPr>
                <w:sz w:val="20"/>
                <w:szCs w:val="20"/>
                <w:color w:val="auto"/>
              </w:rPr>
            </w:pPr>
            <w:r>
              <w:rPr>
                <w:rFonts w:ascii="Arial" w:cs="Arial" w:eastAsia="Arial" w:hAnsi="Arial"/>
                <w:sz w:val="12"/>
                <w:szCs w:val="12"/>
                <w:b w:val="1"/>
                <w:bCs w:val="1"/>
                <w:color w:val="2952A4"/>
                <w:w w:val="91"/>
              </w:rPr>
              <w:t>($)</w:t>
            </w:r>
            <w:r>
              <w:rPr>
                <w:rFonts w:ascii="Arial" w:cs="Arial" w:eastAsia="Arial" w:hAnsi="Arial"/>
                <w:sz w:val="19"/>
                <w:szCs w:val="19"/>
                <w:b w:val="1"/>
                <w:bCs w:val="1"/>
                <w:color w:val="2952A4"/>
                <w:w w:val="91"/>
                <w:vertAlign w:val="superscript"/>
              </w:rPr>
              <w:t>1</w:t>
            </w:r>
          </w:p>
        </w:tc>
        <w:tc>
          <w:tcPr>
            <w:tcW w:w="440" w:type="dxa"/>
            <w:vAlign w:val="bottom"/>
            <w:tcBorders>
              <w:bottom w:val="single" w:sz="8" w:color="2952A4"/>
            </w:tcBorders>
          </w:tcPr>
          <w:p>
            <w:pPr>
              <w:spacing w:after="0"/>
              <w:rPr>
                <w:sz w:val="16"/>
                <w:szCs w:val="16"/>
                <w:color w:val="auto"/>
              </w:rPr>
            </w:pPr>
          </w:p>
        </w:tc>
        <w:tc>
          <w:tcPr>
            <w:tcW w:w="1400" w:type="dxa"/>
            <w:vAlign w:val="bottom"/>
            <w:tcBorders>
              <w:bottom w:val="single" w:sz="8" w:color="2952A4"/>
            </w:tcBorders>
          </w:tcPr>
          <w:p>
            <w:pPr>
              <w:jc w:val="center"/>
              <w:ind w:right="138"/>
              <w:spacing w:after="0"/>
              <w:rPr>
                <w:sz w:val="20"/>
                <w:szCs w:val="20"/>
                <w:color w:val="auto"/>
              </w:rPr>
            </w:pPr>
            <w:r>
              <w:rPr>
                <w:rFonts w:ascii="Arial" w:cs="Arial" w:eastAsia="Arial" w:hAnsi="Arial"/>
                <w:sz w:val="12"/>
                <w:szCs w:val="12"/>
                <w:b w:val="1"/>
                <w:bCs w:val="1"/>
                <w:color w:val="2952A4"/>
              </w:rPr>
              <w:t>(#)</w:t>
            </w:r>
          </w:p>
        </w:tc>
        <w:tc>
          <w:tcPr>
            <w:tcW w:w="124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r>
      <w:tr>
        <w:trPr>
          <w:trHeight w:val="148"/>
        </w:trPr>
        <w:tc>
          <w:tcPr>
            <w:tcW w:w="2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C04C57"/>
              </w:rPr>
              <w:t>Leonard S. Schleifer, M.D., Ph.D.</w:t>
            </w:r>
          </w:p>
        </w:tc>
        <w:tc>
          <w:tcPr>
            <w:tcW w:w="212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231F20"/>
              </w:rPr>
              <w:t>312,500</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231F20"/>
              </w:rPr>
              <w:t>111,224,257</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231F20"/>
              </w:rPr>
              <w:t>—</w:t>
            </w:r>
          </w:p>
        </w:tc>
      </w:tr>
      <w:tr>
        <w:trPr>
          <w:trHeight w:val="142"/>
        </w:trPr>
        <w:tc>
          <w:tcPr>
            <w:tcW w:w="244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George D. Yancopoulos, M.D., Ph.D.</w:t>
            </w:r>
          </w:p>
        </w:tc>
        <w:tc>
          <w:tcPr>
            <w:tcW w:w="2120" w:type="dxa"/>
            <w:vAlign w:val="bottom"/>
            <w:tcBorders>
              <w:bottom w:val="single" w:sz="8" w:color="auto"/>
            </w:tcBorders>
            <w:shd w:val="clear" w:color="auto" w:fill="EAEAEC"/>
          </w:tcPr>
          <w:p>
            <w:pPr>
              <w:jc w:val="right"/>
              <w:ind w:right="818"/>
              <w:spacing w:after="0" w:line="142" w:lineRule="exact"/>
              <w:rPr>
                <w:sz w:val="20"/>
                <w:szCs w:val="20"/>
                <w:color w:val="auto"/>
              </w:rPr>
            </w:pPr>
            <w:r>
              <w:rPr>
                <w:rFonts w:ascii="Arial" w:cs="Arial" w:eastAsia="Arial" w:hAnsi="Arial"/>
                <w:sz w:val="13"/>
                <w:szCs w:val="13"/>
                <w:color w:val="231F20"/>
              </w:rPr>
              <w:t>245,295</w:t>
            </w:r>
          </w:p>
        </w:tc>
        <w:tc>
          <w:tcPr>
            <w:tcW w:w="1000" w:type="dxa"/>
            <w:vAlign w:val="bottom"/>
            <w:tcBorders>
              <w:bottom w:val="single" w:sz="8" w:color="auto"/>
            </w:tcBorders>
            <w:shd w:val="clear" w:color="auto" w:fill="EAEAEC"/>
          </w:tcPr>
          <w:p>
            <w:pPr>
              <w:jc w:val="right"/>
              <w:ind w:right="18"/>
              <w:spacing w:after="0" w:line="142" w:lineRule="exact"/>
              <w:rPr>
                <w:sz w:val="20"/>
                <w:szCs w:val="20"/>
                <w:color w:val="auto"/>
              </w:rPr>
            </w:pPr>
            <w:r>
              <w:rPr>
                <w:rFonts w:ascii="Arial" w:cs="Arial" w:eastAsia="Arial" w:hAnsi="Arial"/>
                <w:sz w:val="13"/>
                <w:szCs w:val="13"/>
                <w:color w:val="231F20"/>
              </w:rPr>
              <w:t>87,302,943</w:t>
            </w:r>
          </w:p>
        </w:tc>
        <w:tc>
          <w:tcPr>
            <w:tcW w:w="440" w:type="dxa"/>
            <w:vAlign w:val="bottom"/>
            <w:tcBorders>
              <w:bottom w:val="single" w:sz="8" w:color="auto"/>
            </w:tcBorders>
            <w:shd w:val="clear" w:color="auto" w:fill="EAEAEC"/>
          </w:tcPr>
          <w:p>
            <w:pPr>
              <w:spacing w:after="0"/>
              <w:rPr>
                <w:sz w:val="12"/>
                <w:szCs w:val="12"/>
                <w:color w:val="auto"/>
              </w:rPr>
            </w:pPr>
          </w:p>
        </w:tc>
        <w:tc>
          <w:tcPr>
            <w:tcW w:w="1400" w:type="dxa"/>
            <w:vAlign w:val="bottom"/>
            <w:tcBorders>
              <w:bottom w:val="single" w:sz="8" w:color="auto"/>
            </w:tcBorders>
            <w:shd w:val="clear" w:color="auto" w:fill="EAEAEC"/>
          </w:tcPr>
          <w:p>
            <w:pPr>
              <w:ind w:left="820"/>
              <w:spacing w:after="0" w:line="142"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uto"/>
            </w:tcBorders>
            <w:shd w:val="clear" w:color="auto" w:fill="EAEAEC"/>
          </w:tcPr>
          <w:p>
            <w:pPr>
              <w:ind w:left="1040"/>
              <w:spacing w:after="0" w:line="142" w:lineRule="exact"/>
              <w:rPr>
                <w:sz w:val="20"/>
                <w:szCs w:val="20"/>
                <w:color w:val="auto"/>
              </w:rPr>
            </w:pPr>
            <w:r>
              <w:rPr>
                <w:rFonts w:ascii="Arial" w:cs="Arial" w:eastAsia="Arial" w:hAnsi="Arial"/>
                <w:sz w:val="13"/>
                <w:szCs w:val="13"/>
                <w:color w:val="231F20"/>
              </w:rPr>
              <w:t>—</w:t>
            </w:r>
          </w:p>
        </w:tc>
      </w:tr>
      <w:tr>
        <w:trPr>
          <w:trHeight w:val="142"/>
        </w:trPr>
        <w:tc>
          <w:tcPr>
            <w:tcW w:w="24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C04C57"/>
              </w:rPr>
              <w:t>Robert E. Landry</w:t>
            </w:r>
          </w:p>
        </w:tc>
        <w:tc>
          <w:tcPr>
            <w:tcW w:w="2120" w:type="dxa"/>
            <w:vAlign w:val="bottom"/>
            <w:tcBorders>
              <w:bottom w:val="single" w:sz="8" w:color="auto"/>
            </w:tcBorders>
          </w:tcPr>
          <w:p>
            <w:pPr>
              <w:jc w:val="right"/>
              <w:ind w:right="818"/>
              <w:spacing w:after="0" w:line="142" w:lineRule="exact"/>
              <w:rPr>
                <w:sz w:val="20"/>
                <w:szCs w:val="20"/>
                <w:color w:val="auto"/>
              </w:rPr>
            </w:pPr>
            <w:r>
              <w:rPr>
                <w:rFonts w:ascii="Arial" w:cs="Arial" w:eastAsia="Arial" w:hAnsi="Arial"/>
                <w:sz w:val="13"/>
                <w:szCs w:val="13"/>
                <w:color w:val="231F20"/>
              </w:rPr>
              <w:t>—</w:t>
            </w:r>
          </w:p>
        </w:tc>
        <w:tc>
          <w:tcPr>
            <w:tcW w:w="144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3"/>
                <w:szCs w:val="13"/>
                <w:color w:val="231F20"/>
              </w:rPr>
              <w:t>—</w:t>
            </w:r>
          </w:p>
        </w:tc>
        <w:tc>
          <w:tcPr>
            <w:tcW w:w="1400" w:type="dxa"/>
            <w:vAlign w:val="bottom"/>
            <w:tcBorders>
              <w:bottom w:val="single" w:sz="8" w:color="auto"/>
            </w:tcBorders>
          </w:tcPr>
          <w:p>
            <w:pPr>
              <w:ind w:left="820"/>
              <w:spacing w:after="0" w:line="142"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uto"/>
            </w:tcBorders>
          </w:tcPr>
          <w:p>
            <w:pPr>
              <w:ind w:left="1040"/>
              <w:spacing w:after="0" w:line="142" w:lineRule="exact"/>
              <w:rPr>
                <w:sz w:val="20"/>
                <w:szCs w:val="20"/>
                <w:color w:val="auto"/>
              </w:rPr>
            </w:pPr>
            <w:r>
              <w:rPr>
                <w:rFonts w:ascii="Arial" w:cs="Arial" w:eastAsia="Arial" w:hAnsi="Arial"/>
                <w:sz w:val="13"/>
                <w:szCs w:val="13"/>
                <w:color w:val="231F20"/>
              </w:rPr>
              <w:t>—</w:t>
            </w:r>
          </w:p>
        </w:tc>
      </w:tr>
      <w:tr>
        <w:trPr>
          <w:trHeight w:val="142"/>
        </w:trPr>
        <w:tc>
          <w:tcPr>
            <w:tcW w:w="244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Daniel P. Van Plew</w:t>
            </w:r>
          </w:p>
        </w:tc>
        <w:tc>
          <w:tcPr>
            <w:tcW w:w="2120" w:type="dxa"/>
            <w:vAlign w:val="bottom"/>
            <w:tcBorders>
              <w:bottom w:val="single" w:sz="8" w:color="auto"/>
            </w:tcBorders>
            <w:shd w:val="clear" w:color="auto" w:fill="EAEAEC"/>
          </w:tcPr>
          <w:p>
            <w:pPr>
              <w:jc w:val="right"/>
              <w:ind w:right="818"/>
              <w:spacing w:after="0" w:line="142" w:lineRule="exact"/>
              <w:rPr>
                <w:sz w:val="20"/>
                <w:szCs w:val="20"/>
                <w:color w:val="auto"/>
              </w:rPr>
            </w:pPr>
            <w:r>
              <w:rPr>
                <w:rFonts w:ascii="Arial" w:cs="Arial" w:eastAsia="Arial" w:hAnsi="Arial"/>
                <w:sz w:val="13"/>
                <w:szCs w:val="13"/>
                <w:color w:val="231F20"/>
              </w:rPr>
              <w:t>—</w:t>
            </w:r>
          </w:p>
        </w:tc>
        <w:tc>
          <w:tcPr>
            <w:tcW w:w="1440" w:type="dxa"/>
            <w:vAlign w:val="bottom"/>
            <w:tcBorders>
              <w:bottom w:val="single" w:sz="8" w:color="auto"/>
            </w:tcBorders>
            <w:gridSpan w:val="2"/>
            <w:shd w:val="clear" w:color="auto" w:fill="EAEAEC"/>
          </w:tcPr>
          <w:p>
            <w:pPr>
              <w:jc w:val="right"/>
              <w:ind w:right="520"/>
              <w:spacing w:after="0" w:line="142" w:lineRule="exact"/>
              <w:rPr>
                <w:sz w:val="20"/>
                <w:szCs w:val="20"/>
                <w:color w:val="auto"/>
              </w:rPr>
            </w:pPr>
            <w:r>
              <w:rPr>
                <w:rFonts w:ascii="Arial" w:cs="Arial" w:eastAsia="Arial" w:hAnsi="Arial"/>
                <w:sz w:val="13"/>
                <w:szCs w:val="13"/>
                <w:color w:val="231F20"/>
              </w:rPr>
              <w:t>—</w:t>
            </w:r>
          </w:p>
        </w:tc>
        <w:tc>
          <w:tcPr>
            <w:tcW w:w="1400" w:type="dxa"/>
            <w:vAlign w:val="bottom"/>
            <w:tcBorders>
              <w:bottom w:val="single" w:sz="8" w:color="auto"/>
            </w:tcBorders>
            <w:shd w:val="clear" w:color="auto" w:fill="EAEAEC"/>
          </w:tcPr>
          <w:p>
            <w:pPr>
              <w:ind w:left="820"/>
              <w:spacing w:after="0" w:line="142"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uto"/>
            </w:tcBorders>
            <w:shd w:val="clear" w:color="auto" w:fill="EAEAEC"/>
          </w:tcPr>
          <w:p>
            <w:pPr>
              <w:ind w:left="1040"/>
              <w:spacing w:after="0" w:line="142" w:lineRule="exact"/>
              <w:rPr>
                <w:sz w:val="20"/>
                <w:szCs w:val="20"/>
                <w:color w:val="auto"/>
              </w:rPr>
            </w:pPr>
            <w:r>
              <w:rPr>
                <w:rFonts w:ascii="Arial" w:cs="Arial" w:eastAsia="Arial" w:hAnsi="Arial"/>
                <w:sz w:val="13"/>
                <w:szCs w:val="13"/>
                <w:color w:val="231F20"/>
              </w:rPr>
              <w:t>—</w:t>
            </w:r>
          </w:p>
        </w:tc>
      </w:tr>
      <w:tr>
        <w:trPr>
          <w:trHeight w:val="142"/>
        </w:trPr>
        <w:tc>
          <w:tcPr>
            <w:tcW w:w="24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C04C57"/>
              </w:rPr>
              <w:t>Andrew J. Murphy, Ph.D.</w:t>
            </w:r>
          </w:p>
        </w:tc>
        <w:tc>
          <w:tcPr>
            <w:tcW w:w="2120" w:type="dxa"/>
            <w:vAlign w:val="bottom"/>
            <w:tcBorders>
              <w:bottom w:val="single" w:sz="8" w:color="auto"/>
            </w:tcBorders>
          </w:tcPr>
          <w:p>
            <w:pPr>
              <w:jc w:val="right"/>
              <w:ind w:right="818"/>
              <w:spacing w:after="0" w:line="142" w:lineRule="exact"/>
              <w:rPr>
                <w:sz w:val="20"/>
                <w:szCs w:val="20"/>
                <w:color w:val="auto"/>
              </w:rPr>
            </w:pPr>
            <w:r>
              <w:rPr>
                <w:rFonts w:ascii="Arial" w:cs="Arial" w:eastAsia="Arial" w:hAnsi="Arial"/>
                <w:sz w:val="13"/>
                <w:szCs w:val="13"/>
                <w:color w:val="231F20"/>
              </w:rPr>
              <w:t>30,000</w:t>
            </w:r>
          </w:p>
        </w:tc>
        <w:tc>
          <w:tcPr>
            <w:tcW w:w="10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3"/>
                <w:szCs w:val="13"/>
                <w:color w:val="231F20"/>
              </w:rPr>
              <w:t>7,929,983</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ind w:left="820"/>
              <w:spacing w:after="0" w:line="142"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uto"/>
            </w:tcBorders>
          </w:tcPr>
          <w:p>
            <w:pPr>
              <w:ind w:left="1040"/>
              <w:spacing w:after="0" w:line="142" w:lineRule="exact"/>
              <w:rPr>
                <w:sz w:val="20"/>
                <w:szCs w:val="20"/>
                <w:color w:val="auto"/>
              </w:rPr>
            </w:pPr>
            <w:r>
              <w:rPr>
                <w:rFonts w:ascii="Arial" w:cs="Arial" w:eastAsia="Arial" w:hAnsi="Arial"/>
                <w:sz w:val="13"/>
                <w:szCs w:val="13"/>
                <w:color w:val="231F20"/>
              </w:rPr>
              <w:t>—</w:t>
            </w:r>
          </w:p>
        </w:tc>
      </w:tr>
    </w:tbl>
    <w:p>
      <w:pPr>
        <w:spacing w:after="0" w:line="167" w:lineRule="exact"/>
        <w:rPr>
          <w:sz w:val="20"/>
          <w:szCs w:val="20"/>
          <w:color w:val="auto"/>
        </w:rPr>
      </w:pPr>
    </w:p>
    <w:p>
      <w:pPr>
        <w:ind w:left="640" w:right="660" w:hanging="316"/>
        <w:spacing w:after="0" w:line="258" w:lineRule="auto"/>
        <w:tabs>
          <w:tab w:leader="none" w:pos="640" w:val="left"/>
        </w:tabs>
        <w:numPr>
          <w:ilvl w:val="0"/>
          <w:numId w:val="189"/>
        </w:numPr>
        <w:rPr>
          <w:rFonts w:ascii="Arial" w:cs="Arial" w:eastAsia="Arial" w:hAnsi="Arial"/>
          <w:sz w:val="14"/>
          <w:szCs w:val="14"/>
          <w:b w:val="1"/>
          <w:bCs w:val="1"/>
          <w:color w:val="2952A4"/>
        </w:rPr>
      </w:pPr>
      <w:r>
        <w:rPr>
          <w:rFonts w:ascii="Arial" w:cs="Arial" w:eastAsia="Arial" w:hAnsi="Arial"/>
          <w:sz w:val="14"/>
          <w:szCs w:val="14"/>
          <w:color w:val="231F20"/>
        </w:rPr>
        <w:t>Amounts reflect the difference between the exercise price of the option(s) and the average of the high and low sales price per share of the Company’s common stock on the NASDAQ Global Select Market on the exercise date(s).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C04C57"/>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54864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96" w:lineRule="exact"/>
        <w:rPr>
          <w:sz w:val="20"/>
          <w:szCs w:val="20"/>
          <w:color w:val="auto"/>
        </w:rPr>
      </w:pPr>
    </w:p>
    <w:p>
      <w:pPr>
        <w:ind w:left="320" w:right="360"/>
        <w:spacing w:after="0" w:line="229" w:lineRule="auto"/>
        <w:rPr>
          <w:sz w:val="20"/>
          <w:szCs w:val="20"/>
          <w:color w:val="auto"/>
        </w:rPr>
      </w:pPr>
      <w:r>
        <w:rPr>
          <w:rFonts w:ascii="Arial" w:cs="Arial" w:eastAsia="Arial" w:hAnsi="Arial"/>
          <w:sz w:val="15"/>
          <w:szCs w:val="15"/>
          <w:color w:val="231F20"/>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952A4"/>
        </w:rPr>
        <w:t>Leonard S. Schleifer, M.D., Ph.D., Employment Agreement</w:t>
      </w:r>
    </w:p>
    <w:p>
      <w:pPr>
        <w:spacing w:after="0" w:line="177" w:lineRule="exact"/>
        <w:rPr>
          <w:sz w:val="20"/>
          <w:szCs w:val="20"/>
          <w:color w:val="auto"/>
        </w:rPr>
      </w:pPr>
    </w:p>
    <w:p>
      <w:pPr>
        <w:ind w:left="320" w:right="320"/>
        <w:spacing w:after="0" w:line="227" w:lineRule="auto"/>
        <w:rPr>
          <w:sz w:val="20"/>
          <w:szCs w:val="20"/>
          <w:color w:val="auto"/>
        </w:rPr>
      </w:pPr>
      <w:r>
        <w:rPr>
          <w:rFonts w:ascii="Arial" w:cs="Arial" w:eastAsia="Arial" w:hAnsi="Arial"/>
          <w:sz w:val="15"/>
          <w:szCs w:val="15"/>
          <w:color w:val="231F20"/>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(i) all of his unvested stock options will continue to vest in accordance with the terms of the applicable award grant and he will be entitled to exercise the stock options throughout their original term, which is generally ten years from the date of grant, and (ii) all of his unvested PSUs will remain outstanding, and vesting and forfeiture shall be determined in the manner set forth in the applicable award agreement, without regard to such termination of employment.</w:t>
      </w:r>
    </w:p>
    <w:p>
      <w:pPr>
        <w:spacing w:after="0" w:line="130" w:lineRule="exact"/>
        <w:rPr>
          <w:sz w:val="20"/>
          <w:szCs w:val="20"/>
          <w:color w:val="auto"/>
        </w:rPr>
      </w:pPr>
    </w:p>
    <w:p>
      <w:pPr>
        <w:ind w:left="320" w:right="400"/>
        <w:spacing w:after="0" w:line="232" w:lineRule="auto"/>
        <w:rPr>
          <w:sz w:val="20"/>
          <w:szCs w:val="20"/>
          <w:color w:val="auto"/>
        </w:rPr>
      </w:pPr>
      <w:r>
        <w:rPr>
          <w:rFonts w:ascii="Arial" w:cs="Arial" w:eastAsia="Arial" w:hAnsi="Arial"/>
          <w:sz w:val="15"/>
          <w:szCs w:val="15"/>
          <w:color w:val="231F20"/>
        </w:rPr>
        <w:t>Upon an involuntary termination (</w:t>
      </w:r>
      <w:r>
        <w:rPr>
          <w:rFonts w:ascii="Arial" w:cs="Arial" w:eastAsia="Arial" w:hAnsi="Arial"/>
          <w:sz w:val="15"/>
          <w:szCs w:val="15"/>
          <w:i w:val="1"/>
          <w:iCs w:val="1"/>
          <w:color w:val="231F20"/>
        </w:rPr>
        <w:t>i.e.</w:t>
      </w:r>
      <w:r>
        <w:rPr>
          <w:rFonts w:ascii="Arial" w:cs="Arial" w:eastAsia="Arial" w:hAnsi="Arial"/>
          <w:sz w:val="15"/>
          <w:szCs w:val="15"/>
          <w:color w:val="231F20"/>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Dr. Schleifer’s outstanding stock options will vest immediately and remain exercisable throughout their original term, which is generally ten years from the date of grant. In addition, pursuant to the terms of his PSU award agreement, any PSUs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90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type w:val="continuous"/>
        </w:sectPr>
      </w:pPr>
    </w:p>
    <w:bookmarkStart w:id="102" w:name="page103"/>
    <w:bookmarkEnd w:id="102"/>
    <w:p>
      <w:pPr>
        <w:ind w:left="4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49" w:lineRule="exact"/>
        <w:rPr>
          <w:sz w:val="20"/>
          <w:szCs w:val="20"/>
          <w:color w:val="auto"/>
        </w:rPr>
      </w:pPr>
    </w:p>
    <w:p>
      <w:pPr>
        <w:ind w:left="1300" w:right="1300"/>
        <w:spacing w:after="0" w:line="229" w:lineRule="auto"/>
        <w:rPr>
          <w:sz w:val="20"/>
          <w:szCs w:val="20"/>
          <w:color w:val="auto"/>
        </w:rPr>
      </w:pPr>
      <w:r>
        <w:rPr>
          <w:rFonts w:ascii="Arial" w:cs="Arial" w:eastAsia="Arial" w:hAnsi="Arial"/>
          <w:sz w:val="15"/>
          <w:szCs w:val="15"/>
          <w:color w:val="231F20"/>
        </w:rPr>
        <w:t>that vest upon a change of control (as a result of performance exceeding the relevant TSR goal for the period from the grant date to the date of the change of control) will become deliverable to Dr. Schleifer upon the earlier of (x) the five-year anniversary of the grant date or (y) a termination of Dr. Schleifer’s employment by the Company without cause or by Dr. Schleifer for good reason, in each case within two years after such a change of control.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spacing w:after="0" w:line="141" w:lineRule="exact"/>
        <w:rPr>
          <w:sz w:val="20"/>
          <w:szCs w:val="20"/>
          <w:color w:val="auto"/>
        </w:rPr>
      </w:pPr>
    </w:p>
    <w:p>
      <w:pPr>
        <w:ind w:left="1300" w:right="1540"/>
        <w:spacing w:after="0" w:line="233" w:lineRule="auto"/>
        <w:rPr>
          <w:sz w:val="20"/>
          <w:szCs w:val="20"/>
          <w:color w:val="auto"/>
        </w:rPr>
      </w:pPr>
      <w:r>
        <w:rPr>
          <w:rFonts w:ascii="Arial" w:cs="Arial" w:eastAsia="Arial" w:hAnsi="Arial"/>
          <w:sz w:val="15"/>
          <w:szCs w:val="15"/>
          <w:color w:val="231F20"/>
        </w:rPr>
        <w:t>The following table reflects the potential payments to our CEO under his employment agreement assuming a termination effective December 31, 2019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C04C57"/>
        </w:rPr>
        <w:t>Potential Severance Payments under Dr. Schleifer’s Employment Agreement</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2952A4"/>
                <w:w w:val="98"/>
              </w:rPr>
              <w:t>Value of</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1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Accelerated</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1"/>
        </w:trPr>
        <w:tc>
          <w:tcPr>
            <w:tcW w:w="1640" w:type="dxa"/>
            <w:vAlign w:val="bottom"/>
          </w:tcPr>
          <w:p>
            <w:pPr>
              <w:spacing w:after="0"/>
              <w:rPr>
                <w:sz w:val="12"/>
                <w:szCs w:val="12"/>
                <w:color w:val="auto"/>
              </w:rPr>
            </w:pPr>
          </w:p>
        </w:tc>
        <w:tc>
          <w:tcPr>
            <w:tcW w:w="1160" w:type="dxa"/>
            <w:vAlign w:val="bottom"/>
          </w:tcPr>
          <w:p>
            <w:pPr>
              <w:jc w:val="right"/>
              <w:ind w:right="321"/>
              <w:spacing w:after="0"/>
              <w:rPr>
                <w:sz w:val="20"/>
                <w:szCs w:val="20"/>
                <w:color w:val="auto"/>
              </w:rPr>
            </w:pPr>
            <w:r>
              <w:rPr>
                <w:rFonts w:ascii="Arial" w:cs="Arial" w:eastAsia="Arial" w:hAnsi="Arial"/>
                <w:sz w:val="12"/>
                <w:szCs w:val="12"/>
                <w:b w:val="1"/>
                <w:bCs w:val="1"/>
                <w:color w:val="2952A4"/>
              </w:rPr>
              <w:t>Cash</w:t>
            </w:r>
          </w:p>
        </w:tc>
        <w:tc>
          <w:tcPr>
            <w:tcW w:w="1060" w:type="dxa"/>
            <w:vAlign w:val="bottom"/>
          </w:tcPr>
          <w:p>
            <w:pPr>
              <w:jc w:val="right"/>
              <w:ind w:right="245"/>
              <w:spacing w:after="0"/>
              <w:rPr>
                <w:sz w:val="20"/>
                <w:szCs w:val="20"/>
                <w:color w:val="auto"/>
              </w:rPr>
            </w:pPr>
            <w:r>
              <w:rPr>
                <w:rFonts w:ascii="Arial" w:cs="Arial" w:eastAsia="Arial" w:hAnsi="Arial"/>
                <w:sz w:val="12"/>
                <w:szCs w:val="12"/>
                <w:b w:val="1"/>
                <w:bCs w:val="1"/>
                <w:color w:val="2952A4"/>
              </w:rPr>
              <w:t>Benefits</w:t>
            </w:r>
          </w:p>
        </w:tc>
        <w:tc>
          <w:tcPr>
            <w:tcW w:w="840" w:type="dxa"/>
            <w:vAlign w:val="bottom"/>
          </w:tcPr>
          <w:p>
            <w:pPr>
              <w:ind w:left="260"/>
              <w:spacing w:after="0"/>
              <w:rPr>
                <w:sz w:val="20"/>
                <w:szCs w:val="20"/>
                <w:color w:val="auto"/>
              </w:rPr>
            </w:pPr>
            <w:r>
              <w:rPr>
                <w:rFonts w:ascii="Arial" w:cs="Arial" w:eastAsia="Arial" w:hAnsi="Arial"/>
                <w:sz w:val="12"/>
                <w:szCs w:val="12"/>
                <w:b w:val="1"/>
                <w:bCs w:val="1"/>
                <w:color w:val="2952A4"/>
              </w:rPr>
              <w:t>Death</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2952A4"/>
                <w:w w:val="97"/>
              </w:rPr>
              <w:t>Disability</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2952A4"/>
                <w:w w:val="96"/>
              </w:rPr>
              <w:t>Stock Options/</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952A4"/>
                <w:w w:val="98"/>
              </w:rPr>
              <w:t>Cutback/</w:t>
            </w:r>
          </w:p>
        </w:tc>
        <w:tc>
          <w:tcPr>
            <w:tcW w:w="960" w:type="dxa"/>
            <w:vAlign w:val="bottom"/>
          </w:tcPr>
          <w:p>
            <w:pPr>
              <w:jc w:val="right"/>
              <w:ind w:right="197"/>
              <w:spacing w:after="0"/>
              <w:rPr>
                <w:sz w:val="20"/>
                <w:szCs w:val="20"/>
                <w:color w:val="auto"/>
              </w:rPr>
            </w:pPr>
            <w:r>
              <w:rPr>
                <w:rFonts w:ascii="Arial" w:cs="Arial" w:eastAsia="Arial" w:hAnsi="Arial"/>
                <w:sz w:val="12"/>
                <w:szCs w:val="12"/>
                <w:b w:val="1"/>
                <w:bCs w:val="1"/>
                <w:color w:val="2952A4"/>
              </w:rPr>
              <w:t>Total</w:t>
            </w:r>
          </w:p>
        </w:tc>
      </w:tr>
      <w:tr>
        <w:trPr>
          <w:trHeight w:val="181"/>
        </w:trPr>
        <w:tc>
          <w:tcPr>
            <w:tcW w:w="1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2952A4"/>
              </w:rPr>
              <w:t>Severance</w:t>
            </w: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2952A4"/>
              </w:rPr>
              <w:t>Continuation</w:t>
            </w:r>
          </w:p>
        </w:tc>
        <w:tc>
          <w:tcPr>
            <w:tcW w:w="84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2"/>
                <w:szCs w:val="12"/>
                <w:b w:val="1"/>
                <w:bCs w:val="1"/>
                <w:color w:val="2952A4"/>
              </w:rPr>
              <w:t>Benefits</w:t>
            </w:r>
            <w:r>
              <w:rPr>
                <w:rFonts w:ascii="Arial" w:cs="Arial" w:eastAsia="Arial" w:hAnsi="Arial"/>
                <w:sz w:val="19"/>
                <w:szCs w:val="19"/>
                <w:b w:val="1"/>
                <w:bCs w:val="1"/>
                <w:color w:val="2952A4"/>
                <w:vertAlign w:val="superscript"/>
              </w:rPr>
              <w:t>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952A4"/>
                <w:w w:val="97"/>
              </w:rPr>
              <w:t>Benefits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952A4"/>
                <w:w w:val="95"/>
              </w:rPr>
              <w:t>PSUs</w:t>
            </w:r>
          </w:p>
        </w:tc>
        <w:tc>
          <w:tcPr>
            <w:tcW w:w="9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2"/>
                <w:szCs w:val="12"/>
                <w:b w:val="1"/>
                <w:bCs w:val="1"/>
                <w:color w:val="2952A4"/>
                <w:w w:val="95"/>
              </w:rPr>
              <w:t>Gross-up</w:t>
            </w:r>
            <w:r>
              <w:rPr>
                <w:rFonts w:ascii="Arial" w:cs="Arial" w:eastAsia="Arial" w:hAnsi="Arial"/>
                <w:sz w:val="19"/>
                <w:szCs w:val="19"/>
                <w:b w:val="1"/>
                <w:bCs w:val="1"/>
                <w:color w:val="2952A4"/>
                <w:w w:val="95"/>
                <w:vertAlign w:val="superscript"/>
              </w:rPr>
              <w:t>6</w:t>
            </w: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2952A4"/>
              </w:rPr>
              <w:t>Amount</w:t>
            </w:r>
          </w:p>
        </w:tc>
      </w:tr>
      <w:tr>
        <w:trPr>
          <w:trHeight w:val="145"/>
        </w:trPr>
        <w:tc>
          <w:tcPr>
            <w:tcW w:w="1640" w:type="dxa"/>
            <w:vAlign w:val="bottom"/>
          </w:tcPr>
          <w:p>
            <w:pPr>
              <w:ind w:left="60"/>
              <w:spacing w:after="0" w:line="146" w:lineRule="exact"/>
              <w:rPr>
                <w:sz w:val="20"/>
                <w:szCs w:val="20"/>
                <w:color w:val="auto"/>
              </w:rPr>
            </w:pPr>
            <w:r>
              <w:rPr>
                <w:rFonts w:ascii="Arial" w:cs="Arial" w:eastAsia="Arial" w:hAnsi="Arial"/>
                <w:sz w:val="13"/>
                <w:szCs w:val="13"/>
                <w:color w:val="231F20"/>
              </w:rPr>
              <w:t>Involuntary Termination</w:t>
            </w:r>
          </w:p>
        </w:tc>
        <w:tc>
          <w:tcPr>
            <w:tcW w:w="1160" w:type="dxa"/>
            <w:vAlign w:val="bottom"/>
          </w:tcPr>
          <w:p>
            <w:pPr>
              <w:jc w:val="right"/>
              <w:ind w:right="61"/>
              <w:spacing w:after="0" w:line="145" w:lineRule="exact"/>
              <w:rPr>
                <w:sz w:val="20"/>
                <w:szCs w:val="20"/>
                <w:color w:val="auto"/>
              </w:rPr>
            </w:pPr>
            <w:r>
              <w:rPr>
                <w:rFonts w:ascii="Arial" w:cs="Arial" w:eastAsia="Arial" w:hAnsi="Arial"/>
                <w:sz w:val="11"/>
                <w:szCs w:val="11"/>
                <w:color w:val="231F20"/>
              </w:rPr>
              <w:t>$11,788,770</w:t>
            </w:r>
            <w:r>
              <w:rPr>
                <w:rFonts w:ascii="Arial" w:cs="Arial" w:eastAsia="Arial" w:hAnsi="Arial"/>
                <w:sz w:val="16"/>
                <w:szCs w:val="16"/>
                <w:color w:val="231F20"/>
                <w:vertAlign w:val="superscript"/>
              </w:rPr>
              <w:t>2</w:t>
            </w:r>
          </w:p>
        </w:tc>
        <w:tc>
          <w:tcPr>
            <w:tcW w:w="1060" w:type="dxa"/>
            <w:vAlign w:val="bottom"/>
          </w:tcPr>
          <w:p>
            <w:pPr>
              <w:jc w:val="right"/>
              <w:ind w:right="145"/>
              <w:spacing w:after="0" w:line="145" w:lineRule="exact"/>
              <w:rPr>
                <w:sz w:val="20"/>
                <w:szCs w:val="20"/>
                <w:color w:val="auto"/>
              </w:rPr>
            </w:pPr>
            <w:r>
              <w:rPr>
                <w:rFonts w:ascii="Arial" w:cs="Arial" w:eastAsia="Arial" w:hAnsi="Arial"/>
                <w:sz w:val="11"/>
                <w:szCs w:val="11"/>
                <w:color w:val="231F20"/>
              </w:rPr>
              <w:t>$  265,772</w:t>
            </w:r>
            <w:r>
              <w:rPr>
                <w:rFonts w:ascii="Arial" w:cs="Arial" w:eastAsia="Arial" w:hAnsi="Arial"/>
                <w:sz w:val="16"/>
                <w:szCs w:val="16"/>
                <w:color w:val="231F20"/>
                <w:vertAlign w:val="superscript"/>
              </w:rPr>
              <w:t>3</w:t>
            </w:r>
          </w:p>
        </w:tc>
        <w:tc>
          <w:tcPr>
            <w:tcW w:w="840" w:type="dxa"/>
            <w:vAlign w:val="bottom"/>
          </w:tcPr>
          <w:p>
            <w:pPr>
              <w:ind w:left="420"/>
              <w:spacing w:after="0" w:line="146" w:lineRule="exact"/>
              <w:rPr>
                <w:sz w:val="20"/>
                <w:szCs w:val="20"/>
                <w:color w:val="auto"/>
              </w:rPr>
            </w:pPr>
            <w:r>
              <w:rPr>
                <w:rFonts w:ascii="Arial" w:cs="Arial" w:eastAsia="Arial" w:hAnsi="Arial"/>
                <w:sz w:val="13"/>
                <w:szCs w:val="13"/>
                <w:color w:val="231F20"/>
              </w:rPr>
              <w:t>—</w:t>
            </w:r>
          </w:p>
        </w:tc>
        <w:tc>
          <w:tcPr>
            <w:tcW w:w="960" w:type="dxa"/>
            <w:vAlign w:val="bottom"/>
          </w:tcPr>
          <w:p>
            <w:pPr>
              <w:ind w:left="560"/>
              <w:spacing w:after="0" w:line="146" w:lineRule="exact"/>
              <w:rPr>
                <w:sz w:val="20"/>
                <w:szCs w:val="20"/>
                <w:color w:val="auto"/>
              </w:rPr>
            </w:pPr>
            <w:r>
              <w:rPr>
                <w:rFonts w:ascii="Arial" w:cs="Arial" w:eastAsia="Arial" w:hAnsi="Arial"/>
                <w:sz w:val="13"/>
                <w:szCs w:val="13"/>
                <w:color w:val="231F20"/>
              </w:rPr>
              <w:t>—</w:t>
            </w:r>
          </w:p>
        </w:tc>
        <w:tc>
          <w:tcPr>
            <w:tcW w:w="1120" w:type="dxa"/>
            <w:vAlign w:val="bottom"/>
          </w:tcPr>
          <w:p>
            <w:pPr>
              <w:jc w:val="center"/>
              <w:spacing w:after="0" w:line="145" w:lineRule="exact"/>
              <w:rPr>
                <w:sz w:val="20"/>
                <w:szCs w:val="20"/>
                <w:color w:val="auto"/>
              </w:rPr>
            </w:pPr>
            <w:r>
              <w:rPr>
                <w:rFonts w:ascii="Arial" w:cs="Arial" w:eastAsia="Arial" w:hAnsi="Arial"/>
                <w:sz w:val="11"/>
                <w:szCs w:val="11"/>
                <w:color w:val="231F20"/>
              </w:rPr>
              <w:t>$245,460</w:t>
            </w:r>
            <w:r>
              <w:rPr>
                <w:rFonts w:ascii="Arial" w:cs="Arial" w:eastAsia="Arial" w:hAnsi="Arial"/>
                <w:sz w:val="16"/>
                <w:szCs w:val="16"/>
                <w:color w:val="231F20"/>
                <w:vertAlign w:val="superscript"/>
              </w:rPr>
              <w:t>5</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231F20"/>
              </w:rPr>
              <w:t>—</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231F20"/>
              </w:rPr>
              <w:t>$12,300,002</w:t>
            </w:r>
          </w:p>
        </w:tc>
      </w:tr>
      <w:tr>
        <w:trPr>
          <w:trHeight w:val="141"/>
        </w:trPr>
        <w:tc>
          <w:tcPr>
            <w:tcW w:w="1640" w:type="dxa"/>
            <w:vAlign w:val="bottom"/>
          </w:tcPr>
          <w:p>
            <w:pPr>
              <w:ind w:left="60"/>
              <w:spacing w:after="0" w:line="141" w:lineRule="exact"/>
              <w:rPr>
                <w:sz w:val="20"/>
                <w:szCs w:val="20"/>
                <w:color w:val="auto"/>
              </w:rPr>
            </w:pPr>
            <w:r>
              <w:rPr>
                <w:rFonts w:ascii="Arial" w:cs="Arial" w:eastAsia="Arial" w:hAnsi="Arial"/>
                <w:sz w:val="13"/>
                <w:szCs w:val="13"/>
                <w:color w:val="231F20"/>
              </w:rPr>
              <w:t>Following a Change of</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9"/>
        </w:trPr>
        <w:tc>
          <w:tcPr>
            <w:tcW w:w="1640" w:type="dxa"/>
            <w:vAlign w:val="bottom"/>
            <w:tcBorders>
              <w:bottom w:val="single" w:sz="8" w:color="auto"/>
            </w:tcBorders>
          </w:tcPr>
          <w:p>
            <w:pPr>
              <w:ind w:left="240"/>
              <w:spacing w:after="0" w:line="180" w:lineRule="exact"/>
              <w:rPr>
                <w:sz w:val="20"/>
                <w:szCs w:val="20"/>
                <w:color w:val="auto"/>
              </w:rPr>
            </w:pPr>
            <w:r>
              <w:rPr>
                <w:rFonts w:ascii="Arial" w:cs="Arial" w:eastAsia="Arial" w:hAnsi="Arial"/>
                <w:sz w:val="13"/>
                <w:szCs w:val="13"/>
                <w:color w:val="231F20"/>
              </w:rPr>
              <w:t>Control</w:t>
            </w:r>
            <w:r>
              <w:rPr>
                <w:rFonts w:ascii="Arial" w:cs="Arial" w:eastAsia="Arial" w:hAnsi="Arial"/>
                <w:sz w:val="20"/>
                <w:szCs w:val="20"/>
                <w:color w:val="231F20"/>
                <w:vertAlign w:val="superscript"/>
              </w:rPr>
              <w:t>1</w:t>
            </w:r>
          </w:p>
        </w:tc>
        <w:tc>
          <w:tcPr>
            <w:tcW w:w="1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164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color w:val="231F20"/>
              </w:rPr>
              <w:t>Involuntary Termination</w:t>
            </w:r>
          </w:p>
        </w:tc>
        <w:tc>
          <w:tcPr>
            <w:tcW w:w="1160" w:type="dxa"/>
            <w:vAlign w:val="bottom"/>
            <w:tcBorders>
              <w:bottom w:val="single" w:sz="8" w:color="auto"/>
            </w:tcBorders>
            <w:shd w:val="clear" w:color="auto" w:fill="EAEAEC"/>
          </w:tcPr>
          <w:p>
            <w:pPr>
              <w:jc w:val="right"/>
              <w:ind w:right="61"/>
              <w:spacing w:after="0" w:line="142" w:lineRule="exact"/>
              <w:rPr>
                <w:sz w:val="20"/>
                <w:szCs w:val="20"/>
                <w:color w:val="auto"/>
              </w:rPr>
            </w:pPr>
            <w:r>
              <w:rPr>
                <w:rFonts w:ascii="Arial" w:cs="Arial" w:eastAsia="Arial" w:hAnsi="Arial"/>
                <w:sz w:val="11"/>
                <w:szCs w:val="11"/>
                <w:color w:val="231F20"/>
              </w:rPr>
              <w:t>$4,911,988</w:t>
            </w:r>
            <w:r>
              <w:rPr>
                <w:rFonts w:ascii="Arial" w:cs="Arial" w:eastAsia="Arial" w:hAnsi="Arial"/>
                <w:sz w:val="16"/>
                <w:szCs w:val="16"/>
                <w:color w:val="231F20"/>
                <w:vertAlign w:val="superscript"/>
              </w:rPr>
              <w:t>7</w:t>
            </w:r>
          </w:p>
        </w:tc>
        <w:tc>
          <w:tcPr>
            <w:tcW w:w="1060" w:type="dxa"/>
            <w:vAlign w:val="bottom"/>
            <w:tcBorders>
              <w:bottom w:val="single" w:sz="8" w:color="auto"/>
            </w:tcBorders>
            <w:shd w:val="clear" w:color="auto" w:fill="EAEAEC"/>
          </w:tcPr>
          <w:p>
            <w:pPr>
              <w:jc w:val="right"/>
              <w:ind w:right="145"/>
              <w:spacing w:after="0" w:line="142" w:lineRule="exact"/>
              <w:rPr>
                <w:sz w:val="20"/>
                <w:szCs w:val="20"/>
                <w:color w:val="auto"/>
              </w:rPr>
            </w:pPr>
            <w:r>
              <w:rPr>
                <w:rFonts w:ascii="Arial" w:cs="Arial" w:eastAsia="Arial" w:hAnsi="Arial"/>
                <w:sz w:val="11"/>
                <w:szCs w:val="11"/>
                <w:color w:val="231F20"/>
              </w:rPr>
              <w:t>$129,258</w:t>
            </w:r>
            <w:r>
              <w:rPr>
                <w:rFonts w:ascii="Arial" w:cs="Arial" w:eastAsia="Arial" w:hAnsi="Arial"/>
                <w:sz w:val="16"/>
                <w:szCs w:val="16"/>
                <w:color w:val="231F20"/>
                <w:vertAlign w:val="superscript"/>
              </w:rPr>
              <w:t>8</w:t>
            </w:r>
          </w:p>
        </w:tc>
        <w:tc>
          <w:tcPr>
            <w:tcW w:w="840" w:type="dxa"/>
            <w:vAlign w:val="bottom"/>
            <w:tcBorders>
              <w:bottom w:val="single" w:sz="8" w:color="auto"/>
            </w:tcBorders>
            <w:shd w:val="clear" w:color="auto" w:fill="EAEAEC"/>
          </w:tcPr>
          <w:p>
            <w:pPr>
              <w:ind w:left="420"/>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ind w:left="560"/>
              <w:spacing w:after="0" w:line="142"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center"/>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$5,041,246</w:t>
            </w:r>
          </w:p>
        </w:tc>
      </w:tr>
      <w:tr>
        <w:trPr>
          <w:trHeight w:val="142"/>
        </w:trPr>
        <w:tc>
          <w:tcPr>
            <w:tcW w:w="1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color w:val="231F20"/>
              </w:rPr>
              <w:t>Death</w:t>
            </w:r>
          </w:p>
        </w:tc>
        <w:tc>
          <w:tcPr>
            <w:tcW w:w="11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45"/>
              <w:spacing w:after="0" w:line="142" w:lineRule="exact"/>
              <w:rPr>
                <w:sz w:val="20"/>
                <w:szCs w:val="20"/>
                <w:color w:val="auto"/>
              </w:rPr>
            </w:pPr>
            <w:r>
              <w:rPr>
                <w:rFonts w:ascii="Arial" w:cs="Arial" w:eastAsia="Arial" w:hAnsi="Arial"/>
                <w:sz w:val="11"/>
                <w:szCs w:val="11"/>
                <w:color w:val="231F20"/>
              </w:rPr>
              <w:t>$98,172</w:t>
            </w:r>
            <w:r>
              <w:rPr>
                <w:rFonts w:ascii="Arial" w:cs="Arial" w:eastAsia="Arial" w:hAnsi="Arial"/>
                <w:sz w:val="16"/>
                <w:szCs w:val="16"/>
                <w:color w:val="231F20"/>
                <w:vertAlign w:val="superscript"/>
              </w:rPr>
              <w:t>9</w:t>
            </w:r>
          </w:p>
        </w:tc>
        <w:tc>
          <w:tcPr>
            <w:tcW w:w="84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6"/>
                <w:szCs w:val="16"/>
                <w:color w:val="231F20"/>
                <w:vertAlign w:val="subscript"/>
              </w:rPr>
              <w:t>—</w:t>
            </w:r>
            <w:r>
              <w:rPr>
                <w:rFonts w:ascii="Arial" w:cs="Arial" w:eastAsia="Arial" w:hAnsi="Arial"/>
                <w:sz w:val="8"/>
                <w:szCs w:val="8"/>
                <w:color w:val="231F20"/>
              </w:rPr>
              <w:t>10</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231F20"/>
              </w:rPr>
              <w:t>$98,172</w:t>
            </w:r>
          </w:p>
        </w:tc>
      </w:tr>
      <w:tr>
        <w:trPr>
          <w:trHeight w:val="142"/>
        </w:trPr>
        <w:tc>
          <w:tcPr>
            <w:tcW w:w="164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color w:val="231F20"/>
              </w:rPr>
              <w:t>Disability</w:t>
            </w:r>
          </w:p>
        </w:tc>
        <w:tc>
          <w:tcPr>
            <w:tcW w:w="1160" w:type="dxa"/>
            <w:vAlign w:val="bottom"/>
            <w:tcBorders>
              <w:bottom w:val="single" w:sz="8" w:color="auto"/>
            </w:tcBorders>
            <w:shd w:val="clear" w:color="auto" w:fill="EAEAEC"/>
          </w:tcPr>
          <w:p>
            <w:pPr>
              <w:jc w:val="right"/>
              <w:ind w:right="141"/>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45"/>
              <w:spacing w:after="0" w:line="142" w:lineRule="exact"/>
              <w:rPr>
                <w:sz w:val="20"/>
                <w:szCs w:val="20"/>
                <w:color w:val="auto"/>
              </w:rPr>
            </w:pPr>
            <w:r>
              <w:rPr>
                <w:rFonts w:ascii="Arial" w:cs="Arial" w:eastAsia="Arial" w:hAnsi="Arial"/>
                <w:sz w:val="11"/>
                <w:szCs w:val="11"/>
                <w:color w:val="231F20"/>
              </w:rPr>
              <w:t>$129,258</w:t>
            </w:r>
            <w:r>
              <w:rPr>
                <w:rFonts w:ascii="Arial" w:cs="Arial" w:eastAsia="Arial" w:hAnsi="Arial"/>
                <w:sz w:val="16"/>
                <w:szCs w:val="16"/>
                <w:color w:val="231F20"/>
                <w:vertAlign w:val="superscript"/>
              </w:rPr>
              <w:t>8</w:t>
            </w:r>
          </w:p>
        </w:tc>
        <w:tc>
          <w:tcPr>
            <w:tcW w:w="840" w:type="dxa"/>
            <w:vAlign w:val="bottom"/>
            <w:tcBorders>
              <w:bottom w:val="single" w:sz="8" w:color="auto"/>
            </w:tcBorders>
            <w:shd w:val="clear" w:color="auto" w:fill="EAEAEC"/>
          </w:tcPr>
          <w:p>
            <w:pPr>
              <w:ind w:left="420"/>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jc w:val="center"/>
              <w:spacing w:after="0" w:line="142" w:lineRule="exact"/>
              <w:rPr>
                <w:sz w:val="20"/>
                <w:szCs w:val="20"/>
                <w:color w:val="auto"/>
              </w:rPr>
            </w:pPr>
            <w:r>
              <w:rPr>
                <w:rFonts w:ascii="Arial" w:cs="Arial" w:eastAsia="Arial" w:hAnsi="Arial"/>
                <w:sz w:val="11"/>
                <w:szCs w:val="11"/>
                <w:color w:val="231F20"/>
              </w:rPr>
              <w:t>$722,978</w:t>
            </w:r>
            <w:r>
              <w:rPr>
                <w:rFonts w:ascii="Arial" w:cs="Arial" w:eastAsia="Arial" w:hAnsi="Arial"/>
                <w:sz w:val="16"/>
                <w:szCs w:val="16"/>
                <w:color w:val="231F20"/>
                <w:vertAlign w:val="superscript"/>
              </w:rPr>
              <w:t>11</w:t>
            </w:r>
          </w:p>
        </w:tc>
        <w:tc>
          <w:tcPr>
            <w:tcW w:w="1120" w:type="dxa"/>
            <w:vAlign w:val="bottom"/>
            <w:tcBorders>
              <w:bottom w:val="single" w:sz="8" w:color="auto"/>
            </w:tcBorders>
            <w:shd w:val="clear" w:color="auto" w:fill="EAEAEC"/>
          </w:tcPr>
          <w:p>
            <w:pPr>
              <w:ind w:left="660"/>
              <w:spacing w:after="0" w:line="142" w:lineRule="exact"/>
              <w:rPr>
                <w:sz w:val="20"/>
                <w:szCs w:val="20"/>
                <w:color w:val="auto"/>
              </w:rPr>
            </w:pPr>
            <w:r>
              <w:rPr>
                <w:rFonts w:ascii="Arial" w:cs="Arial" w:eastAsia="Arial" w:hAnsi="Arial"/>
                <w:sz w:val="13"/>
                <w:szCs w:val="13"/>
                <w:color w:val="231F20"/>
              </w:rPr>
              <w:t>—</w:t>
            </w:r>
          </w:p>
        </w:tc>
        <w:tc>
          <w:tcPr>
            <w:tcW w:w="900" w:type="dxa"/>
            <w:vAlign w:val="bottom"/>
            <w:tcBorders>
              <w:bottom w:val="single" w:sz="8" w:color="auto"/>
            </w:tcBorders>
            <w:shd w:val="clear" w:color="auto" w:fill="EAEAEC"/>
          </w:tcPr>
          <w:p>
            <w:pPr>
              <w:jc w:val="center"/>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shd w:val="clear" w:color="auto" w:fill="EAEAEC"/>
          </w:tcPr>
          <w:p>
            <w:pPr>
              <w:jc w:val="right"/>
              <w:spacing w:after="0" w:line="142" w:lineRule="exact"/>
              <w:rPr>
                <w:sz w:val="20"/>
                <w:szCs w:val="20"/>
                <w:color w:val="auto"/>
              </w:rPr>
            </w:pPr>
            <w:r>
              <w:rPr>
                <w:rFonts w:ascii="Arial" w:cs="Arial" w:eastAsia="Arial" w:hAnsi="Arial"/>
                <w:sz w:val="13"/>
                <w:szCs w:val="13"/>
                <w:color w:val="231F20"/>
              </w:rPr>
              <w:t>$852,236</w:t>
            </w:r>
          </w:p>
        </w:tc>
      </w:tr>
    </w:tbl>
    <w:p>
      <w:pPr>
        <w:spacing w:after="0" w:line="167" w:lineRule="exact"/>
        <w:rPr>
          <w:sz w:val="20"/>
          <w:szCs w:val="20"/>
          <w:color w:val="auto"/>
        </w:rPr>
      </w:pPr>
    </w:p>
    <w:p>
      <w:pPr>
        <w:ind w:left="1620" w:right="1340" w:hanging="316"/>
        <w:spacing w:after="0" w:line="242" w:lineRule="auto"/>
        <w:tabs>
          <w:tab w:leader="none" w:pos="1620" w:val="left"/>
        </w:tabs>
        <w:numPr>
          <w:ilvl w:val="0"/>
          <w:numId w:val="190"/>
        </w:numPr>
        <w:rPr>
          <w:rFonts w:ascii="Arial" w:cs="Arial" w:eastAsia="Arial" w:hAnsi="Arial"/>
          <w:sz w:val="14"/>
          <w:szCs w:val="14"/>
          <w:b w:val="1"/>
          <w:bCs w:val="1"/>
          <w:color w:val="2952A4"/>
        </w:rPr>
      </w:pPr>
      <w:r>
        <w:rPr>
          <w:rFonts w:ascii="Arial" w:cs="Arial" w:eastAsia="Arial" w:hAnsi="Arial"/>
          <w:sz w:val="14"/>
          <w:szCs w:val="14"/>
          <w:color w:val="231F20"/>
        </w:rPr>
        <w:t>For purposes of these calculations, (i) we used Dr. Schleifer’s 2019 base salary and the annual cash incentives paid to Dr. Schleifer for performance in 2016, 2017, and 2018, respectively; (ii) we assumed that Dr. Schleifer received his annual cash incentive that was earned in 2019 and paid in 2020 (described in the Summary Compensation Table above);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 5.6% annual increase in medical premiums, 4% annual increase in dental premiums, and no increase in annual disability or life insurance premiums; (v) we assumed that the medical and dental insurance benefits received in 2020, 2021, and 2022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58" w:lineRule="exact"/>
        <w:rPr>
          <w:sz w:val="20"/>
          <w:szCs w:val="20"/>
          <w:color w:val="auto"/>
        </w:rPr>
      </w:pPr>
    </w:p>
    <w:p>
      <w:pPr>
        <w:jc w:val="both"/>
        <w:ind w:left="1620" w:right="1320" w:hanging="316"/>
        <w:spacing w:after="0" w:line="249" w:lineRule="auto"/>
        <w:tabs>
          <w:tab w:leader="none" w:pos="1620" w:val="left"/>
        </w:tabs>
        <w:numPr>
          <w:ilvl w:val="0"/>
          <w:numId w:val="191"/>
        </w:numPr>
        <w:rPr>
          <w:rFonts w:ascii="Arial" w:cs="Arial" w:eastAsia="Arial" w:hAnsi="Arial"/>
          <w:sz w:val="14"/>
          <w:szCs w:val="14"/>
          <w:b w:val="1"/>
          <w:bCs w:val="1"/>
          <w:color w:val="2952A4"/>
        </w:rPr>
      </w:pPr>
      <w:r>
        <w:rPr>
          <w:rFonts w:ascii="Arial" w:cs="Arial" w:eastAsia="Arial" w:hAnsi="Arial"/>
          <w:sz w:val="14"/>
          <w:szCs w:val="14"/>
          <w:color w:val="231F20"/>
        </w:rPr>
        <w:t>Equal to three times the sum of (a) Dr. Schleifer’s 2019 base salary and (b) the average annual cash incentive paid to Dr. Schleifer for performance in the three completed years prior to the termination date. For purposes of this calculation, we used Dr. Schleifer’s annual cash incentives for performance in 2016, 2017, and 2018.</w:t>
      </w:r>
    </w:p>
    <w:p>
      <w:pPr>
        <w:spacing w:after="0" w:line="147" w:lineRule="exact"/>
        <w:rPr>
          <w:sz w:val="20"/>
          <w:szCs w:val="20"/>
          <w:color w:val="auto"/>
        </w:rPr>
      </w:pPr>
    </w:p>
    <w:p>
      <w:pPr>
        <w:ind w:left="1620" w:right="1800" w:hanging="316"/>
        <w:spacing w:after="0" w:line="258" w:lineRule="auto"/>
        <w:tabs>
          <w:tab w:leader="none" w:pos="1620" w:val="left"/>
        </w:tabs>
        <w:numPr>
          <w:ilvl w:val="0"/>
          <w:numId w:val="192"/>
        </w:numPr>
        <w:rPr>
          <w:rFonts w:ascii="Arial" w:cs="Arial" w:eastAsia="Arial" w:hAnsi="Arial"/>
          <w:sz w:val="14"/>
          <w:szCs w:val="14"/>
          <w:b w:val="1"/>
          <w:bCs w:val="1"/>
          <w:color w:val="2952A4"/>
        </w:rPr>
      </w:pPr>
      <w:r>
        <w:rPr>
          <w:rFonts w:ascii="Arial" w:cs="Arial" w:eastAsia="Arial" w:hAnsi="Arial"/>
          <w:sz w:val="14"/>
          <w:szCs w:val="14"/>
          <w:color w:val="231F20"/>
        </w:rPr>
        <w:t>Equal to the estimated cost of providing Dr. Schleifer and his dependents medical, dental, and life insurance benefits for 36 months.</w:t>
      </w:r>
    </w:p>
    <w:p>
      <w:pPr>
        <w:spacing w:after="0" w:line="140" w:lineRule="exact"/>
        <w:rPr>
          <w:sz w:val="20"/>
          <w:szCs w:val="20"/>
          <w:color w:val="auto"/>
        </w:rPr>
      </w:pPr>
    </w:p>
    <w:p>
      <w:pPr>
        <w:ind w:left="1620" w:hanging="316"/>
        <w:spacing w:after="0"/>
        <w:tabs>
          <w:tab w:leader="none" w:pos="1620" w:val="left"/>
        </w:tabs>
        <w:numPr>
          <w:ilvl w:val="0"/>
          <w:numId w:val="193"/>
        </w:numPr>
        <w:rPr>
          <w:rFonts w:ascii="Arial" w:cs="Arial" w:eastAsia="Arial" w:hAnsi="Arial"/>
          <w:sz w:val="14"/>
          <w:szCs w:val="14"/>
          <w:b w:val="1"/>
          <w:bCs w:val="1"/>
          <w:color w:val="2952A4"/>
        </w:rPr>
      </w:pPr>
      <w:r>
        <w:rPr>
          <w:rFonts w:ascii="Arial" w:cs="Arial" w:eastAsia="Arial" w:hAnsi="Arial"/>
          <w:sz w:val="14"/>
          <w:szCs w:val="14"/>
          <w:color w:val="231F20"/>
        </w:rPr>
        <w:t>We maintain $1 million of term life insurance covering Dr. Schleifer payable to his designated beneficiary.</w:t>
      </w:r>
    </w:p>
    <w:p>
      <w:pPr>
        <w:spacing w:after="0" w:line="163" w:lineRule="exact"/>
        <w:rPr>
          <w:sz w:val="20"/>
          <w:szCs w:val="20"/>
          <w:color w:val="auto"/>
        </w:rPr>
      </w:pPr>
    </w:p>
    <w:p>
      <w:pPr>
        <w:ind w:left="1620" w:right="1400" w:hanging="316"/>
        <w:spacing w:after="0" w:line="246" w:lineRule="auto"/>
        <w:tabs>
          <w:tab w:leader="none" w:pos="1620" w:val="left"/>
        </w:tabs>
        <w:numPr>
          <w:ilvl w:val="0"/>
          <w:numId w:val="194"/>
        </w:numPr>
        <w:rPr>
          <w:rFonts w:ascii="Arial" w:cs="Arial" w:eastAsia="Arial" w:hAnsi="Arial"/>
          <w:sz w:val="14"/>
          <w:szCs w:val="14"/>
          <w:b w:val="1"/>
          <w:bCs w:val="1"/>
          <w:color w:val="2952A4"/>
        </w:rPr>
      </w:pPr>
      <w:r>
        <w:rPr>
          <w:rFonts w:ascii="Arial" w:cs="Arial" w:eastAsia="Arial" w:hAnsi="Arial"/>
          <w:sz w:val="14"/>
          <w:szCs w:val="14"/>
          <w:color w:val="231F20"/>
        </w:rPr>
        <w:t>Equal to the aggregate amount of the differences between the exercise prices of Dr. Schleifer’s accelerated stock options and the closing sales price per share of the Company’s common stock on the Nasdaq Global Select Market on December 31, 2019, the last business day of 2019, of $375.48. None of Dr. Schleifer’s outstanding PSUs would have been earned had a vesting determination been made on December 31, 2019 in respect of performance for the period from the date of grant to December 31, 2019.</w:t>
      </w:r>
    </w:p>
    <w:p>
      <w:pPr>
        <w:spacing w:after="0" w:line="312" w:lineRule="exact"/>
        <w:rPr>
          <w:sz w:val="20"/>
          <w:szCs w:val="20"/>
          <w:color w:val="auto"/>
        </w:rPr>
      </w:pPr>
    </w:p>
    <w:p>
      <w:pPr>
        <w:ind w:left="1620" w:right="1440" w:hanging="316"/>
        <w:spacing w:after="0" w:line="245" w:lineRule="auto"/>
        <w:tabs>
          <w:tab w:leader="none" w:pos="1620" w:val="left"/>
        </w:tabs>
        <w:numPr>
          <w:ilvl w:val="0"/>
          <w:numId w:val="195"/>
        </w:numPr>
        <w:rPr>
          <w:rFonts w:ascii="Arial" w:cs="Arial" w:eastAsia="Arial" w:hAnsi="Arial"/>
          <w:sz w:val="14"/>
          <w:szCs w:val="14"/>
          <w:b w:val="1"/>
          <w:bCs w:val="1"/>
          <w:color w:val="2952A4"/>
        </w:rPr>
      </w:pPr>
      <w:r>
        <w:rPr>
          <w:rFonts w:ascii="Arial" w:cs="Arial" w:eastAsia="Arial" w:hAnsi="Arial"/>
          <w:sz w:val="14"/>
          <w:szCs w:val="14"/>
          <w:color w:val="231F20"/>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2019 as a result of a change of control.</w:t>
      </w:r>
    </w:p>
    <w:p>
      <w:pPr>
        <w:spacing w:after="0" w:line="150" w:lineRule="exact"/>
        <w:rPr>
          <w:sz w:val="20"/>
          <w:szCs w:val="20"/>
          <w:color w:val="auto"/>
        </w:rPr>
      </w:pPr>
    </w:p>
    <w:p>
      <w:pPr>
        <w:jc w:val="both"/>
        <w:ind w:left="1620" w:right="1320" w:hanging="316"/>
        <w:spacing w:after="0" w:line="249" w:lineRule="auto"/>
        <w:tabs>
          <w:tab w:leader="none" w:pos="1620" w:val="left"/>
        </w:tabs>
        <w:numPr>
          <w:ilvl w:val="0"/>
          <w:numId w:val="196"/>
        </w:numPr>
        <w:rPr>
          <w:rFonts w:ascii="Arial" w:cs="Arial" w:eastAsia="Arial" w:hAnsi="Arial"/>
          <w:sz w:val="14"/>
          <w:szCs w:val="14"/>
          <w:b w:val="1"/>
          <w:bCs w:val="1"/>
          <w:color w:val="2952A4"/>
        </w:rPr>
      </w:pPr>
      <w:r>
        <w:rPr>
          <w:rFonts w:ascii="Arial" w:cs="Arial" w:eastAsia="Arial" w:hAnsi="Arial"/>
          <w:sz w:val="14"/>
          <w:szCs w:val="14"/>
          <w:color w:val="231F20"/>
        </w:rPr>
        <w:t>Equal to 1.25 times the sum of (a) Dr. Schleifer’s 2019 base salary and (b) the average annual cash incentive paid to Dr. Schleifer for performance in the three completed years prior to the termination date. For purposes of this calculation, we used Dr. Schleifer’s year-end cash incentive awards for performance in 2016, 2017, and 2018.</w:t>
      </w:r>
    </w:p>
    <w:p>
      <w:pPr>
        <w:spacing w:after="0" w:line="147" w:lineRule="exact"/>
        <w:rPr>
          <w:sz w:val="20"/>
          <w:szCs w:val="20"/>
          <w:color w:val="auto"/>
        </w:rPr>
      </w:pPr>
    </w:p>
    <w:p>
      <w:pPr>
        <w:ind w:left="1620" w:right="1800" w:hanging="316"/>
        <w:spacing w:after="0" w:line="258" w:lineRule="auto"/>
        <w:tabs>
          <w:tab w:leader="none" w:pos="1620" w:val="left"/>
        </w:tabs>
        <w:numPr>
          <w:ilvl w:val="0"/>
          <w:numId w:val="197"/>
        </w:numPr>
        <w:rPr>
          <w:rFonts w:ascii="Arial" w:cs="Arial" w:eastAsia="Arial" w:hAnsi="Arial"/>
          <w:sz w:val="14"/>
          <w:szCs w:val="14"/>
          <w:b w:val="1"/>
          <w:bCs w:val="1"/>
          <w:color w:val="2952A4"/>
        </w:rPr>
      </w:pPr>
      <w:r>
        <w:rPr>
          <w:rFonts w:ascii="Arial" w:cs="Arial" w:eastAsia="Arial" w:hAnsi="Arial"/>
          <w:sz w:val="14"/>
          <w:szCs w:val="14"/>
          <w:color w:val="231F20"/>
        </w:rPr>
        <w:t>Equal to the estimated cost of providing Dr. Schleifer and his dependents medical, dental, and life insurance benefits for 18 months.</w:t>
      </w:r>
    </w:p>
    <w:p>
      <w:pPr>
        <w:spacing w:after="0" w:line="140" w:lineRule="exact"/>
        <w:rPr>
          <w:sz w:val="20"/>
          <w:szCs w:val="20"/>
          <w:color w:val="auto"/>
        </w:rPr>
      </w:pPr>
    </w:p>
    <w:p>
      <w:pPr>
        <w:ind w:left="1620" w:hanging="316"/>
        <w:spacing w:after="0"/>
        <w:tabs>
          <w:tab w:leader="none" w:pos="1620" w:val="left"/>
        </w:tabs>
        <w:numPr>
          <w:ilvl w:val="0"/>
          <w:numId w:val="198"/>
        </w:numPr>
        <w:rPr>
          <w:rFonts w:ascii="Arial" w:cs="Arial" w:eastAsia="Arial" w:hAnsi="Arial"/>
          <w:sz w:val="14"/>
          <w:szCs w:val="14"/>
          <w:b w:val="1"/>
          <w:bCs w:val="1"/>
          <w:color w:val="2952A4"/>
        </w:rPr>
      </w:pPr>
      <w:r>
        <w:rPr>
          <w:rFonts w:ascii="Arial" w:cs="Arial" w:eastAsia="Arial" w:hAnsi="Arial"/>
          <w:sz w:val="14"/>
          <w:szCs w:val="14"/>
          <w:color w:val="231F20"/>
        </w:rPr>
        <w:t>Equal to the estimated cost of providing Dr. Schleifer’s dependents medical and dental benefits for 18 months.</w:t>
      </w:r>
    </w:p>
    <w:p>
      <w:pPr>
        <w:spacing w:after="0" w:line="163" w:lineRule="exact"/>
        <w:rPr>
          <w:sz w:val="20"/>
          <w:szCs w:val="20"/>
          <w:color w:val="auto"/>
        </w:rPr>
      </w:pPr>
    </w:p>
    <w:p>
      <w:pPr>
        <w:ind w:left="1620" w:right="1500" w:hanging="316"/>
        <w:spacing w:after="0" w:line="245" w:lineRule="auto"/>
        <w:tabs>
          <w:tab w:leader="none" w:pos="1620" w:val="left"/>
        </w:tabs>
        <w:numPr>
          <w:ilvl w:val="0"/>
          <w:numId w:val="199"/>
        </w:numPr>
        <w:rPr>
          <w:rFonts w:ascii="Arial" w:cs="Arial" w:eastAsia="Arial" w:hAnsi="Arial"/>
          <w:sz w:val="14"/>
          <w:szCs w:val="14"/>
          <w:b w:val="1"/>
          <w:bCs w:val="1"/>
          <w:color w:val="2952A4"/>
        </w:rPr>
      </w:pPr>
      <w:r>
        <w:rPr>
          <w:rFonts w:ascii="Arial" w:cs="Arial" w:eastAsia="Arial" w:hAnsi="Arial"/>
          <w:sz w:val="14"/>
          <w:szCs w:val="14"/>
          <w:color w:val="231F20"/>
        </w:rPr>
        <w:t>As discussed in “Compensation Dashboard—Additional Compensation Information—Potential Severance Payments,” unvested stock options held by any employee (including Dr. Schleifer) become immediately exercisable upon his or her death.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p>
      <w:pPr>
        <w:spacing w:after="0" w:line="150" w:lineRule="exact"/>
        <w:rPr>
          <w:rFonts w:ascii="Arial" w:cs="Arial" w:eastAsia="Arial" w:hAnsi="Arial"/>
          <w:sz w:val="14"/>
          <w:szCs w:val="14"/>
          <w:b w:val="1"/>
          <w:bCs w:val="1"/>
          <w:color w:val="2952A4"/>
        </w:rPr>
      </w:pPr>
    </w:p>
    <w:p>
      <w:pPr>
        <w:ind w:left="1620" w:right="1380" w:hanging="316"/>
        <w:spacing w:after="0" w:line="258" w:lineRule="auto"/>
        <w:tabs>
          <w:tab w:leader="none" w:pos="1620" w:val="left"/>
        </w:tabs>
        <w:numPr>
          <w:ilvl w:val="0"/>
          <w:numId w:val="199"/>
        </w:numPr>
        <w:rPr>
          <w:rFonts w:ascii="Arial" w:cs="Arial" w:eastAsia="Arial" w:hAnsi="Arial"/>
          <w:sz w:val="14"/>
          <w:szCs w:val="14"/>
          <w:b w:val="1"/>
          <w:bCs w:val="1"/>
          <w:color w:val="2952A4"/>
        </w:rPr>
      </w:pPr>
      <w:r>
        <w:rPr>
          <w:rFonts w:ascii="Arial" w:cs="Arial" w:eastAsia="Arial" w:hAnsi="Arial"/>
          <w:sz w:val="14"/>
          <w:szCs w:val="14"/>
          <w:color w:val="231F20"/>
        </w:rPr>
        <w:t>Represents 35% of Dr. Schleifer’s 2019 salary over a period of 18 months. We have assumed long-term disability coverage exists pursuant to Dr. Schleifer’s employment agreement for the remaining 65% of Dr. Schleifer’s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77470</wp:posOffset>
            </wp:positionV>
            <wp:extent cx="771525" cy="1028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91</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03" w:name="page104"/>
    <w:bookmarkEnd w:id="103"/>
    <w:p>
      <w:pPr>
        <w:ind w:left="3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sectPr>
      </w:pP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952A4"/>
        </w:rPr>
        <w:t>Change in Control Severance Plan</w:t>
      </w:r>
    </w:p>
    <w:p>
      <w:pPr>
        <w:spacing w:after="0" w:line="177" w:lineRule="exact"/>
        <w:rPr>
          <w:sz w:val="20"/>
          <w:szCs w:val="20"/>
          <w:color w:val="auto"/>
        </w:rPr>
      </w:pPr>
    </w:p>
    <w:p>
      <w:pPr>
        <w:ind w:left="320" w:right="340"/>
        <w:spacing w:after="0" w:line="230" w:lineRule="auto"/>
        <w:rPr>
          <w:sz w:val="20"/>
          <w:szCs w:val="20"/>
          <w:color w:val="auto"/>
        </w:rPr>
      </w:pPr>
      <w:r>
        <w:rPr>
          <w:rFonts w:ascii="Arial" w:cs="Arial" w:eastAsia="Arial" w:hAnsi="Arial"/>
          <w:sz w:val="15"/>
          <w:szCs w:val="15"/>
          <w:color w:val="231F20"/>
        </w:rPr>
        <w:t>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42" w:lineRule="exact"/>
        <w:rPr>
          <w:sz w:val="20"/>
          <w:szCs w:val="20"/>
          <w:color w:val="auto"/>
        </w:rPr>
      </w:pPr>
    </w:p>
    <w:p>
      <w:pPr>
        <w:ind w:left="320" w:right="320"/>
        <w:spacing w:after="0" w:line="228" w:lineRule="auto"/>
        <w:rPr>
          <w:sz w:val="20"/>
          <w:szCs w:val="20"/>
          <w:color w:val="auto"/>
        </w:rPr>
      </w:pPr>
      <w:r>
        <w:rPr>
          <w:rFonts w:ascii="Arial" w:cs="Arial" w:eastAsia="Arial" w:hAnsi="Arial"/>
          <w:sz w:val="15"/>
          <w:szCs w:val="15"/>
          <w:color w:val="231F20"/>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43" w:lineRule="exact"/>
        <w:rPr>
          <w:sz w:val="20"/>
          <w:szCs w:val="20"/>
          <w:color w:val="auto"/>
        </w:rPr>
      </w:pPr>
    </w:p>
    <w:p>
      <w:pPr>
        <w:ind w:left="320" w:right="320"/>
        <w:spacing w:after="0" w:line="228" w:lineRule="auto"/>
        <w:rPr>
          <w:sz w:val="20"/>
          <w:szCs w:val="20"/>
          <w:color w:val="auto"/>
        </w:rPr>
      </w:pPr>
      <w:r>
        <w:rPr>
          <w:rFonts w:ascii="Arial" w:cs="Arial" w:eastAsia="Arial" w:hAnsi="Arial"/>
          <w:sz w:val="15"/>
          <w:szCs w:val="15"/>
          <w:color w:val="231F20"/>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43" w:lineRule="exact"/>
        <w:rPr>
          <w:sz w:val="20"/>
          <w:szCs w:val="20"/>
          <w:color w:val="auto"/>
        </w:rPr>
      </w:pPr>
    </w:p>
    <w:p>
      <w:pPr>
        <w:ind w:left="320" w:right="480"/>
        <w:spacing w:after="0" w:line="231" w:lineRule="auto"/>
        <w:rPr>
          <w:sz w:val="20"/>
          <w:szCs w:val="20"/>
          <w:color w:val="auto"/>
        </w:rPr>
      </w:pPr>
      <w:r>
        <w:rPr>
          <w:rFonts w:ascii="Arial" w:cs="Arial" w:eastAsia="Arial" w:hAnsi="Arial"/>
          <w:sz w:val="15"/>
          <w:szCs w:val="15"/>
          <w:color w:val="231F20"/>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42" w:lineRule="exact"/>
        <w:rPr>
          <w:sz w:val="20"/>
          <w:szCs w:val="20"/>
          <w:color w:val="auto"/>
        </w:rPr>
      </w:pPr>
    </w:p>
    <w:p>
      <w:pPr>
        <w:jc w:val="both"/>
        <w:ind w:left="320" w:right="400"/>
        <w:spacing w:after="0" w:line="233" w:lineRule="auto"/>
        <w:rPr>
          <w:sz w:val="20"/>
          <w:szCs w:val="20"/>
          <w:color w:val="auto"/>
        </w:rPr>
      </w:pPr>
      <w:r>
        <w:rPr>
          <w:rFonts w:ascii="Arial" w:cs="Arial" w:eastAsia="Arial" w:hAnsi="Arial"/>
          <w:sz w:val="15"/>
          <w:szCs w:val="15"/>
          <w:color w:val="231F20"/>
        </w:rPr>
        <w:t>The following table shows the potential payments to our NEOs (other than our CEO), upon their hypothetical termination (other than for Cause) or resignation for Good Reason, in the two years following, or the six months prior to, a change in control. The information in the table below assumes an effective termination or resignation date of December 31, 2019 and is further based on the assumptions set forth in the footnotes to the table; actual values and amounts may differ from those presented below.</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92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type w:val="continuous"/>
        </w:sectPr>
      </w:pPr>
    </w:p>
    <w:bookmarkStart w:id="104" w:name="page105"/>
    <w:bookmarkEnd w:id="104"/>
    <w:p>
      <w:pPr>
        <w:ind w:left="4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C04C57"/>
        </w:rPr>
        <w:t>Potential Payments under Change in Control Severance Plan</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tcPr>
          <w:p>
            <w:pPr>
              <w:jc w:val="center"/>
              <w:ind w:left="38"/>
              <w:spacing w:after="0"/>
              <w:rPr>
                <w:sz w:val="20"/>
                <w:szCs w:val="20"/>
                <w:color w:val="auto"/>
              </w:rPr>
            </w:pPr>
            <w:r>
              <w:rPr>
                <w:rFonts w:ascii="Arial" w:cs="Arial" w:eastAsia="Arial" w:hAnsi="Arial"/>
                <w:sz w:val="12"/>
                <w:szCs w:val="12"/>
                <w:b w:val="1"/>
                <w:bCs w:val="1"/>
                <w:color w:val="2952A4"/>
                <w:w w:val="94"/>
              </w:rPr>
              <w:t>Value of</w:t>
            </w: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35"/>
        </w:trPr>
        <w:tc>
          <w:tcPr>
            <w:tcW w:w="26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jc w:val="center"/>
              <w:ind w:left="38"/>
              <w:spacing w:after="0" w:line="135" w:lineRule="exact"/>
              <w:rPr>
                <w:sz w:val="20"/>
                <w:szCs w:val="20"/>
                <w:color w:val="auto"/>
              </w:rPr>
            </w:pPr>
            <w:r>
              <w:rPr>
                <w:rFonts w:ascii="Arial" w:cs="Arial" w:eastAsia="Arial" w:hAnsi="Arial"/>
                <w:sz w:val="12"/>
                <w:szCs w:val="12"/>
                <w:b w:val="1"/>
                <w:bCs w:val="1"/>
                <w:color w:val="2952A4"/>
                <w:w w:val="96"/>
              </w:rPr>
              <w:t>Accelerated Stock</w:t>
            </w: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1"/>
        </w:trPr>
        <w:tc>
          <w:tcPr>
            <w:tcW w:w="2620" w:type="dxa"/>
            <w:vAlign w:val="bottom"/>
          </w:tcPr>
          <w:p>
            <w:pPr>
              <w:spacing w:after="0"/>
              <w:rPr>
                <w:sz w:val="12"/>
                <w:szCs w:val="12"/>
                <w:color w:val="auto"/>
              </w:rPr>
            </w:pPr>
          </w:p>
        </w:tc>
        <w:tc>
          <w:tcPr>
            <w:tcW w:w="1320" w:type="dxa"/>
            <w:vAlign w:val="bottom"/>
          </w:tcPr>
          <w:p>
            <w:pPr>
              <w:jc w:val="right"/>
              <w:ind w:right="397"/>
              <w:spacing w:after="0"/>
              <w:rPr>
                <w:sz w:val="20"/>
                <w:szCs w:val="20"/>
                <w:color w:val="auto"/>
              </w:rPr>
            </w:pPr>
            <w:r>
              <w:rPr>
                <w:rFonts w:ascii="Arial" w:cs="Arial" w:eastAsia="Arial" w:hAnsi="Arial"/>
                <w:sz w:val="12"/>
                <w:szCs w:val="12"/>
                <w:b w:val="1"/>
                <w:bCs w:val="1"/>
                <w:color w:val="2952A4"/>
              </w:rPr>
              <w:t>Cash</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2952A4"/>
                <w:w w:val="97"/>
              </w:rPr>
              <w:t>Benefits</w:t>
            </w:r>
          </w:p>
        </w:tc>
        <w:tc>
          <w:tcPr>
            <w:tcW w:w="1460" w:type="dxa"/>
            <w:vAlign w:val="bottom"/>
          </w:tcPr>
          <w:p>
            <w:pPr>
              <w:jc w:val="center"/>
              <w:ind w:left="18"/>
              <w:spacing w:after="0"/>
              <w:rPr>
                <w:sz w:val="20"/>
                <w:szCs w:val="20"/>
                <w:color w:val="auto"/>
              </w:rPr>
            </w:pPr>
            <w:r>
              <w:rPr>
                <w:rFonts w:ascii="Arial" w:cs="Arial" w:eastAsia="Arial" w:hAnsi="Arial"/>
                <w:sz w:val="12"/>
                <w:szCs w:val="12"/>
                <w:b w:val="1"/>
                <w:bCs w:val="1"/>
                <w:color w:val="2952A4"/>
                <w:w w:val="97"/>
              </w:rPr>
              <w:t>Options/RSAs/</w:t>
            </w:r>
          </w:p>
        </w:tc>
        <w:tc>
          <w:tcPr>
            <w:tcW w:w="880" w:type="dxa"/>
            <w:vAlign w:val="bottom"/>
          </w:tcPr>
          <w:p>
            <w:pPr>
              <w:spacing w:after="0"/>
              <w:rPr>
                <w:sz w:val="12"/>
                <w:szCs w:val="12"/>
                <w:color w:val="auto"/>
              </w:rPr>
            </w:pPr>
          </w:p>
        </w:tc>
        <w:tc>
          <w:tcPr>
            <w:tcW w:w="1040" w:type="dxa"/>
            <w:vAlign w:val="bottom"/>
          </w:tcPr>
          <w:p>
            <w:pPr>
              <w:jc w:val="right"/>
              <w:ind w:right="297"/>
              <w:spacing w:after="0"/>
              <w:rPr>
                <w:sz w:val="20"/>
                <w:szCs w:val="20"/>
                <w:color w:val="auto"/>
              </w:rPr>
            </w:pPr>
            <w:r>
              <w:rPr>
                <w:rFonts w:ascii="Arial" w:cs="Arial" w:eastAsia="Arial" w:hAnsi="Arial"/>
                <w:sz w:val="12"/>
                <w:szCs w:val="12"/>
                <w:b w:val="1"/>
                <w:bCs w:val="1"/>
                <w:color w:val="2952A4"/>
              </w:rPr>
              <w:t>Total</w:t>
            </w:r>
          </w:p>
        </w:tc>
      </w:tr>
      <w:tr>
        <w:trPr>
          <w:trHeight w:val="181"/>
        </w:trPr>
        <w:tc>
          <w:tcPr>
            <w:tcW w:w="2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7"/>
              <w:spacing w:after="0" w:line="182" w:lineRule="exact"/>
              <w:rPr>
                <w:sz w:val="20"/>
                <w:szCs w:val="20"/>
                <w:color w:val="auto"/>
              </w:rPr>
            </w:pPr>
            <w:r>
              <w:rPr>
                <w:rFonts w:ascii="Arial" w:cs="Arial" w:eastAsia="Arial" w:hAnsi="Arial"/>
                <w:sz w:val="12"/>
                <w:szCs w:val="12"/>
                <w:b w:val="1"/>
                <w:bCs w:val="1"/>
                <w:color w:val="2952A4"/>
              </w:rPr>
              <w:t>Severance</w:t>
            </w:r>
            <w:r>
              <w:rPr>
                <w:rFonts w:ascii="Arial" w:cs="Arial" w:eastAsia="Arial" w:hAnsi="Arial"/>
                <w:sz w:val="19"/>
                <w:szCs w:val="19"/>
                <w:b w:val="1"/>
                <w:bCs w:val="1"/>
                <w:color w:val="2952A4"/>
                <w:vertAlign w:val="superscript"/>
              </w:rPr>
              <w:t>1</w:t>
            </w:r>
          </w:p>
        </w:tc>
        <w:tc>
          <w:tcPr>
            <w:tcW w:w="13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2"/>
                <w:szCs w:val="12"/>
                <w:b w:val="1"/>
                <w:bCs w:val="1"/>
                <w:color w:val="2952A4"/>
                <w:w w:val="96"/>
              </w:rPr>
              <w:t>Continuation</w:t>
            </w:r>
            <w:r>
              <w:rPr>
                <w:rFonts w:ascii="Arial" w:cs="Arial" w:eastAsia="Arial" w:hAnsi="Arial"/>
                <w:sz w:val="19"/>
                <w:szCs w:val="19"/>
                <w:b w:val="1"/>
                <w:bCs w:val="1"/>
                <w:color w:val="2952A4"/>
                <w:w w:val="96"/>
                <w:vertAlign w:val="superscript"/>
              </w:rPr>
              <w:t>2</w:t>
            </w:r>
          </w:p>
        </w:tc>
        <w:tc>
          <w:tcPr>
            <w:tcW w:w="1460" w:type="dxa"/>
            <w:vAlign w:val="bottom"/>
            <w:tcBorders>
              <w:bottom w:val="single" w:sz="8" w:color="auto"/>
            </w:tcBorders>
          </w:tcPr>
          <w:p>
            <w:pPr>
              <w:jc w:val="center"/>
              <w:ind w:left="38"/>
              <w:spacing w:after="0" w:line="182" w:lineRule="exact"/>
              <w:rPr>
                <w:sz w:val="20"/>
                <w:szCs w:val="20"/>
                <w:color w:val="auto"/>
              </w:rPr>
            </w:pPr>
            <w:r>
              <w:rPr>
                <w:rFonts w:ascii="Arial" w:cs="Arial" w:eastAsia="Arial" w:hAnsi="Arial"/>
                <w:sz w:val="12"/>
                <w:szCs w:val="12"/>
                <w:b w:val="1"/>
                <w:bCs w:val="1"/>
                <w:color w:val="2952A4"/>
                <w:w w:val="93"/>
              </w:rPr>
              <w:t>PSUs</w:t>
            </w:r>
            <w:r>
              <w:rPr>
                <w:rFonts w:ascii="Arial" w:cs="Arial" w:eastAsia="Arial" w:hAnsi="Arial"/>
                <w:sz w:val="19"/>
                <w:szCs w:val="19"/>
                <w:b w:val="1"/>
                <w:bCs w:val="1"/>
                <w:color w:val="2952A4"/>
                <w:w w:val="93"/>
                <w:vertAlign w:val="superscript"/>
              </w:rPr>
              <w:t>3</w:t>
            </w:r>
          </w:p>
        </w:tc>
        <w:tc>
          <w:tcPr>
            <w:tcW w:w="88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2"/>
                <w:szCs w:val="12"/>
                <w:b w:val="1"/>
                <w:bCs w:val="1"/>
                <w:color w:val="2952A4"/>
              </w:rPr>
              <w:t>Cutback</w:t>
            </w:r>
            <w:r>
              <w:rPr>
                <w:rFonts w:ascii="Arial" w:cs="Arial" w:eastAsia="Arial" w:hAnsi="Arial"/>
                <w:sz w:val="19"/>
                <w:szCs w:val="19"/>
                <w:b w:val="1"/>
                <w:bCs w:val="1"/>
                <w:color w:val="2952A4"/>
                <w:vertAlign w:val="superscript"/>
              </w:rPr>
              <w:t>4</w:t>
            </w:r>
          </w:p>
        </w:tc>
        <w:tc>
          <w:tcPr>
            <w:tcW w:w="1040" w:type="dxa"/>
            <w:vAlign w:val="bottom"/>
            <w:tcBorders>
              <w:bottom w:val="single" w:sz="8" w:color="auto"/>
            </w:tcBorders>
          </w:tcPr>
          <w:p>
            <w:pPr>
              <w:jc w:val="right"/>
              <w:ind w:right="177"/>
              <w:spacing w:after="0" w:line="182" w:lineRule="exact"/>
              <w:rPr>
                <w:sz w:val="20"/>
                <w:szCs w:val="20"/>
                <w:color w:val="auto"/>
              </w:rPr>
            </w:pPr>
            <w:r>
              <w:rPr>
                <w:rFonts w:ascii="Arial" w:cs="Arial" w:eastAsia="Arial" w:hAnsi="Arial"/>
                <w:sz w:val="12"/>
                <w:szCs w:val="12"/>
                <w:b w:val="1"/>
                <w:bCs w:val="1"/>
                <w:color w:val="2952A4"/>
              </w:rPr>
              <w:t>Amount</w:t>
            </w:r>
            <w:r>
              <w:rPr>
                <w:rFonts w:ascii="Arial" w:cs="Arial" w:eastAsia="Arial" w:hAnsi="Arial"/>
                <w:sz w:val="19"/>
                <w:szCs w:val="19"/>
                <w:b w:val="1"/>
                <w:bCs w:val="1"/>
                <w:color w:val="2952A4"/>
                <w:vertAlign w:val="superscript"/>
              </w:rPr>
              <w:t>5</w:t>
            </w:r>
          </w:p>
        </w:tc>
      </w:tr>
      <w:tr>
        <w:trPr>
          <w:trHeight w:val="142"/>
        </w:trPr>
        <w:tc>
          <w:tcPr>
            <w:tcW w:w="2620" w:type="dxa"/>
            <w:vAlign w:val="bottom"/>
            <w:tcBorders>
              <w:bottom w:val="single" w:sz="8" w:color="auto"/>
            </w:tcBorders>
            <w:shd w:val="clear" w:color="auto" w:fill="EAEAEC"/>
          </w:tcPr>
          <w:p>
            <w:pPr>
              <w:spacing w:after="0" w:line="142" w:lineRule="exact"/>
              <w:rPr>
                <w:sz w:val="20"/>
                <w:szCs w:val="20"/>
                <w:color w:val="auto"/>
              </w:rPr>
            </w:pPr>
            <w:r>
              <w:rPr>
                <w:rFonts w:ascii="Arial" w:cs="Arial" w:eastAsia="Arial" w:hAnsi="Arial"/>
                <w:sz w:val="13"/>
                <w:szCs w:val="13"/>
                <w:b w:val="1"/>
                <w:bCs w:val="1"/>
                <w:color w:val="C04C57"/>
              </w:rPr>
              <w:t>George D. Yancopoulos, M.D., Ph.D.</w:t>
            </w:r>
          </w:p>
        </w:tc>
        <w:tc>
          <w:tcPr>
            <w:tcW w:w="1320" w:type="dxa"/>
            <w:vAlign w:val="bottom"/>
            <w:tcBorders>
              <w:bottom w:val="single" w:sz="8" w:color="auto"/>
            </w:tcBorders>
            <w:shd w:val="clear" w:color="auto" w:fill="EAEAEC"/>
          </w:tcPr>
          <w:p>
            <w:pPr>
              <w:jc w:val="right"/>
              <w:ind w:right="237"/>
              <w:spacing w:after="0" w:line="142" w:lineRule="exact"/>
              <w:rPr>
                <w:sz w:val="20"/>
                <w:szCs w:val="20"/>
                <w:color w:val="auto"/>
              </w:rPr>
            </w:pPr>
            <w:r>
              <w:rPr>
                <w:rFonts w:ascii="Arial" w:cs="Arial" w:eastAsia="Arial" w:hAnsi="Arial"/>
                <w:sz w:val="13"/>
                <w:szCs w:val="13"/>
                <w:color w:val="231F20"/>
              </w:rPr>
              <w:t>$6,680,228</w:t>
            </w:r>
          </w:p>
        </w:tc>
        <w:tc>
          <w:tcPr>
            <w:tcW w:w="1320" w:type="dxa"/>
            <w:vAlign w:val="bottom"/>
            <w:tcBorders>
              <w:bottom w:val="single" w:sz="8" w:color="auto"/>
            </w:tcBorders>
            <w:shd w:val="clear" w:color="auto" w:fill="EAEAEC"/>
          </w:tcPr>
          <w:p>
            <w:pPr>
              <w:jc w:val="center"/>
              <w:spacing w:after="0" w:line="142" w:lineRule="exact"/>
              <w:rPr>
                <w:sz w:val="20"/>
                <w:szCs w:val="20"/>
                <w:color w:val="auto"/>
              </w:rPr>
            </w:pPr>
            <w:r>
              <w:rPr>
                <w:rFonts w:ascii="Arial" w:cs="Arial" w:eastAsia="Arial" w:hAnsi="Arial"/>
                <w:sz w:val="13"/>
                <w:szCs w:val="13"/>
                <w:color w:val="231F20"/>
              </w:rPr>
              <w:t>$127,111</w:t>
            </w:r>
          </w:p>
        </w:tc>
        <w:tc>
          <w:tcPr>
            <w:tcW w:w="1460" w:type="dxa"/>
            <w:vAlign w:val="bottom"/>
            <w:tcBorders>
              <w:bottom w:val="single" w:sz="8" w:color="auto"/>
            </w:tcBorders>
            <w:shd w:val="clear" w:color="auto" w:fill="EAEAEC"/>
          </w:tcPr>
          <w:p>
            <w:pPr>
              <w:jc w:val="right"/>
              <w:ind w:right="158"/>
              <w:spacing w:after="0" w:line="142" w:lineRule="exact"/>
              <w:rPr>
                <w:sz w:val="20"/>
                <w:szCs w:val="20"/>
                <w:color w:val="auto"/>
              </w:rPr>
            </w:pPr>
            <w:r>
              <w:rPr>
                <w:rFonts w:ascii="Arial" w:cs="Arial" w:eastAsia="Arial" w:hAnsi="Arial"/>
                <w:sz w:val="13"/>
                <w:szCs w:val="13"/>
                <w:color w:val="231F20"/>
              </w:rPr>
              <w:t>$245,460</w:t>
            </w:r>
          </w:p>
        </w:tc>
        <w:tc>
          <w:tcPr>
            <w:tcW w:w="880" w:type="dxa"/>
            <w:vAlign w:val="bottom"/>
            <w:tcBorders>
              <w:bottom w:val="single" w:sz="8" w:color="auto"/>
            </w:tcBorders>
            <w:shd w:val="clear" w:color="auto" w:fill="EAEAEC"/>
          </w:tcPr>
          <w:p>
            <w:pPr>
              <w:ind w:left="400"/>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$7,052,799</w:t>
            </w:r>
          </w:p>
        </w:tc>
      </w:tr>
      <w:tr>
        <w:trPr>
          <w:trHeight w:val="142"/>
        </w:trPr>
        <w:tc>
          <w:tcPr>
            <w:tcW w:w="26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C04C57"/>
              </w:rPr>
              <w:t>Robert E. Landry</w:t>
            </w:r>
          </w:p>
        </w:tc>
        <w:tc>
          <w:tcPr>
            <w:tcW w:w="13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231F20"/>
              </w:rPr>
              <w:t>$2,461,760</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231F20"/>
              </w:rPr>
              <w:t>$136,930</w:t>
            </w:r>
          </w:p>
        </w:tc>
        <w:tc>
          <w:tcPr>
            <w:tcW w:w="14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3"/>
                <w:szCs w:val="13"/>
                <w:color w:val="231F20"/>
              </w:rPr>
              <w:t>$7,630,525</w:t>
            </w:r>
          </w:p>
        </w:tc>
        <w:tc>
          <w:tcPr>
            <w:tcW w:w="88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231F20"/>
              </w:rPr>
              <w:t>$10,229,215</w:t>
            </w:r>
          </w:p>
        </w:tc>
      </w:tr>
      <w:tr>
        <w:trPr>
          <w:trHeight w:val="142"/>
        </w:trPr>
        <w:tc>
          <w:tcPr>
            <w:tcW w:w="2620" w:type="dxa"/>
            <w:vAlign w:val="bottom"/>
            <w:tcBorders>
              <w:bottom w:val="single" w:sz="8" w:color="2952A4"/>
            </w:tcBorders>
            <w:shd w:val="clear" w:color="auto" w:fill="EAEAEC"/>
          </w:tcPr>
          <w:p>
            <w:pPr>
              <w:spacing w:after="0" w:line="142" w:lineRule="exact"/>
              <w:rPr>
                <w:sz w:val="20"/>
                <w:szCs w:val="20"/>
                <w:color w:val="auto"/>
              </w:rPr>
            </w:pPr>
            <w:r>
              <w:rPr>
                <w:rFonts w:ascii="Arial" w:cs="Arial" w:eastAsia="Arial" w:hAnsi="Arial"/>
                <w:sz w:val="13"/>
                <w:szCs w:val="13"/>
                <w:b w:val="1"/>
                <w:bCs w:val="1"/>
                <w:color w:val="C04C57"/>
              </w:rPr>
              <w:t>Daniel P. Van Plew</w:t>
            </w:r>
          </w:p>
        </w:tc>
        <w:tc>
          <w:tcPr>
            <w:tcW w:w="1320" w:type="dxa"/>
            <w:vAlign w:val="bottom"/>
            <w:tcBorders>
              <w:bottom w:val="single" w:sz="8" w:color="2952A4"/>
            </w:tcBorders>
            <w:shd w:val="clear" w:color="auto" w:fill="EAEAEC"/>
          </w:tcPr>
          <w:p>
            <w:pPr>
              <w:jc w:val="right"/>
              <w:ind w:right="237"/>
              <w:spacing w:after="0" w:line="142" w:lineRule="exact"/>
              <w:rPr>
                <w:sz w:val="20"/>
                <w:szCs w:val="20"/>
                <w:color w:val="auto"/>
              </w:rPr>
            </w:pPr>
            <w:r>
              <w:rPr>
                <w:rFonts w:ascii="Arial" w:cs="Arial" w:eastAsia="Arial" w:hAnsi="Arial"/>
                <w:sz w:val="13"/>
                <w:szCs w:val="13"/>
                <w:color w:val="231F20"/>
              </w:rPr>
              <w:t>$2,448,720</w:t>
            </w:r>
          </w:p>
        </w:tc>
        <w:tc>
          <w:tcPr>
            <w:tcW w:w="1320" w:type="dxa"/>
            <w:vAlign w:val="bottom"/>
            <w:tcBorders>
              <w:bottom w:val="single" w:sz="8" w:color="2952A4"/>
            </w:tcBorders>
            <w:shd w:val="clear" w:color="auto" w:fill="EAEAEC"/>
          </w:tcPr>
          <w:p>
            <w:pPr>
              <w:jc w:val="center"/>
              <w:spacing w:after="0" w:line="142" w:lineRule="exact"/>
              <w:rPr>
                <w:sz w:val="20"/>
                <w:szCs w:val="20"/>
                <w:color w:val="auto"/>
              </w:rPr>
            </w:pPr>
            <w:r>
              <w:rPr>
                <w:rFonts w:ascii="Arial" w:cs="Arial" w:eastAsia="Arial" w:hAnsi="Arial"/>
                <w:sz w:val="13"/>
                <w:szCs w:val="13"/>
                <w:color w:val="231F20"/>
              </w:rPr>
              <w:t>$127,680</w:t>
            </w:r>
          </w:p>
        </w:tc>
        <w:tc>
          <w:tcPr>
            <w:tcW w:w="1460" w:type="dxa"/>
            <w:vAlign w:val="bottom"/>
            <w:tcBorders>
              <w:bottom w:val="single" w:sz="8" w:color="2952A4"/>
            </w:tcBorders>
            <w:shd w:val="clear" w:color="auto" w:fill="EAEAEC"/>
          </w:tcPr>
          <w:p>
            <w:pPr>
              <w:jc w:val="right"/>
              <w:ind w:right="158"/>
              <w:spacing w:after="0" w:line="142" w:lineRule="exact"/>
              <w:rPr>
                <w:sz w:val="20"/>
                <w:szCs w:val="20"/>
                <w:color w:val="auto"/>
              </w:rPr>
            </w:pPr>
            <w:r>
              <w:rPr>
                <w:rFonts w:ascii="Arial" w:cs="Arial" w:eastAsia="Arial" w:hAnsi="Arial"/>
                <w:sz w:val="13"/>
                <w:szCs w:val="13"/>
                <w:color w:val="231F20"/>
              </w:rPr>
              <w:t>$2,937,025</w:t>
            </w:r>
          </w:p>
        </w:tc>
        <w:tc>
          <w:tcPr>
            <w:tcW w:w="880" w:type="dxa"/>
            <w:vAlign w:val="bottom"/>
            <w:tcBorders>
              <w:bottom w:val="single" w:sz="8" w:color="2952A4"/>
            </w:tcBorders>
            <w:shd w:val="clear" w:color="auto" w:fill="EAEAEC"/>
          </w:tcPr>
          <w:p>
            <w:pPr>
              <w:ind w:left="400"/>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2952A4"/>
            </w:tcBorders>
            <w:shd w:val="clear" w:color="auto" w:fill="EAEAEC"/>
          </w:tcPr>
          <w:p>
            <w:pPr>
              <w:jc w:val="right"/>
              <w:ind w:right="57"/>
              <w:spacing w:after="0" w:line="142" w:lineRule="exact"/>
              <w:rPr>
                <w:sz w:val="20"/>
                <w:szCs w:val="20"/>
                <w:color w:val="auto"/>
              </w:rPr>
            </w:pPr>
            <w:r>
              <w:rPr>
                <w:rFonts w:ascii="Arial" w:cs="Arial" w:eastAsia="Arial" w:hAnsi="Arial"/>
                <w:sz w:val="13"/>
                <w:szCs w:val="13"/>
                <w:color w:val="231F20"/>
              </w:rPr>
              <w:t>$5,513,425</w:t>
            </w:r>
          </w:p>
        </w:tc>
      </w:tr>
      <w:tr>
        <w:trPr>
          <w:trHeight w:val="142"/>
        </w:trPr>
        <w:tc>
          <w:tcPr>
            <w:tcW w:w="2620" w:type="dxa"/>
            <w:vAlign w:val="bottom"/>
            <w:tcBorders>
              <w:bottom w:val="single" w:sz="8" w:color="2952A4"/>
            </w:tcBorders>
          </w:tcPr>
          <w:p>
            <w:pPr>
              <w:spacing w:after="0" w:line="142" w:lineRule="exact"/>
              <w:rPr>
                <w:sz w:val="20"/>
                <w:szCs w:val="20"/>
                <w:color w:val="auto"/>
              </w:rPr>
            </w:pPr>
            <w:r>
              <w:rPr>
                <w:rFonts w:ascii="Arial" w:cs="Arial" w:eastAsia="Arial" w:hAnsi="Arial"/>
                <w:sz w:val="13"/>
                <w:szCs w:val="13"/>
                <w:b w:val="1"/>
                <w:bCs w:val="1"/>
                <w:color w:val="C04C57"/>
              </w:rPr>
              <w:t>Andrew J. Murphy, Ph.D.</w:t>
            </w:r>
          </w:p>
        </w:tc>
        <w:tc>
          <w:tcPr>
            <w:tcW w:w="1320" w:type="dxa"/>
            <w:vAlign w:val="bottom"/>
            <w:tcBorders>
              <w:bottom w:val="single" w:sz="8" w:color="2952A4"/>
            </w:tcBorders>
          </w:tcPr>
          <w:p>
            <w:pPr>
              <w:jc w:val="right"/>
              <w:ind w:right="237"/>
              <w:spacing w:after="0" w:line="142" w:lineRule="exact"/>
              <w:rPr>
                <w:sz w:val="20"/>
                <w:szCs w:val="20"/>
                <w:color w:val="auto"/>
              </w:rPr>
            </w:pPr>
            <w:r>
              <w:rPr>
                <w:rFonts w:ascii="Arial" w:cs="Arial" w:eastAsia="Arial" w:hAnsi="Arial"/>
                <w:sz w:val="13"/>
                <w:szCs w:val="13"/>
                <w:color w:val="231F20"/>
              </w:rPr>
              <w:t>$1,887,463</w:t>
            </w:r>
          </w:p>
        </w:tc>
        <w:tc>
          <w:tcPr>
            <w:tcW w:w="1320" w:type="dxa"/>
            <w:vAlign w:val="bottom"/>
            <w:tcBorders>
              <w:bottom w:val="single" w:sz="8" w:color="2952A4"/>
            </w:tcBorders>
          </w:tcPr>
          <w:p>
            <w:pPr>
              <w:jc w:val="center"/>
              <w:spacing w:after="0" w:line="142" w:lineRule="exact"/>
              <w:rPr>
                <w:sz w:val="20"/>
                <w:szCs w:val="20"/>
                <w:color w:val="auto"/>
              </w:rPr>
            </w:pPr>
            <w:r>
              <w:rPr>
                <w:rFonts w:ascii="Arial" w:cs="Arial" w:eastAsia="Arial" w:hAnsi="Arial"/>
                <w:sz w:val="13"/>
                <w:szCs w:val="13"/>
                <w:color w:val="231F20"/>
              </w:rPr>
              <w:t>$126,843</w:t>
            </w:r>
          </w:p>
        </w:tc>
        <w:tc>
          <w:tcPr>
            <w:tcW w:w="1460" w:type="dxa"/>
            <w:vAlign w:val="bottom"/>
            <w:tcBorders>
              <w:bottom w:val="single" w:sz="8" w:color="2952A4"/>
            </w:tcBorders>
          </w:tcPr>
          <w:p>
            <w:pPr>
              <w:jc w:val="right"/>
              <w:ind w:right="158"/>
              <w:spacing w:after="0" w:line="142" w:lineRule="exact"/>
              <w:rPr>
                <w:sz w:val="20"/>
                <w:szCs w:val="20"/>
                <w:color w:val="auto"/>
              </w:rPr>
            </w:pPr>
            <w:r>
              <w:rPr>
                <w:rFonts w:ascii="Arial" w:cs="Arial" w:eastAsia="Arial" w:hAnsi="Arial"/>
                <w:sz w:val="13"/>
                <w:szCs w:val="13"/>
                <w:color w:val="231F20"/>
              </w:rPr>
              <w:t>$10,446,625</w:t>
            </w:r>
          </w:p>
        </w:tc>
        <w:tc>
          <w:tcPr>
            <w:tcW w:w="880" w:type="dxa"/>
            <w:vAlign w:val="bottom"/>
            <w:tcBorders>
              <w:bottom w:val="single" w:sz="8" w:color="2952A4"/>
            </w:tcBorders>
          </w:tcPr>
          <w:p>
            <w:pPr>
              <w:ind w:left="400"/>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2952A4"/>
            </w:tcBorders>
          </w:tcPr>
          <w:p>
            <w:pPr>
              <w:jc w:val="right"/>
              <w:ind w:right="57"/>
              <w:spacing w:after="0" w:line="142" w:lineRule="exact"/>
              <w:rPr>
                <w:sz w:val="20"/>
                <w:szCs w:val="20"/>
                <w:color w:val="auto"/>
              </w:rPr>
            </w:pPr>
            <w:r>
              <w:rPr>
                <w:rFonts w:ascii="Arial" w:cs="Arial" w:eastAsia="Arial" w:hAnsi="Arial"/>
                <w:sz w:val="13"/>
                <w:szCs w:val="13"/>
                <w:color w:val="231F20"/>
              </w:rPr>
              <w:t>$12,460,931</w:t>
            </w:r>
          </w:p>
        </w:tc>
      </w:tr>
    </w:tbl>
    <w:p>
      <w:pPr>
        <w:spacing w:after="0" w:line="167" w:lineRule="exact"/>
        <w:rPr>
          <w:sz w:val="20"/>
          <w:szCs w:val="20"/>
          <w:color w:val="auto"/>
        </w:rPr>
      </w:pPr>
    </w:p>
    <w:p>
      <w:pPr>
        <w:ind w:left="1480" w:right="1420" w:hanging="176"/>
        <w:spacing w:after="0" w:line="258" w:lineRule="auto"/>
        <w:tabs>
          <w:tab w:leader="none" w:pos="1480" w:val="left"/>
        </w:tabs>
        <w:numPr>
          <w:ilvl w:val="0"/>
          <w:numId w:val="200"/>
        </w:numPr>
        <w:rPr>
          <w:rFonts w:ascii="Arial" w:cs="Arial" w:eastAsia="Arial" w:hAnsi="Arial"/>
          <w:sz w:val="14"/>
          <w:szCs w:val="14"/>
          <w:b w:val="1"/>
          <w:bCs w:val="1"/>
          <w:color w:val="2952A4"/>
        </w:rPr>
      </w:pPr>
      <w:r>
        <w:rPr>
          <w:rFonts w:ascii="Arial" w:cs="Arial" w:eastAsia="Arial" w:hAnsi="Arial"/>
          <w:sz w:val="14"/>
          <w:szCs w:val="14"/>
          <w:color w:val="231F20"/>
        </w:rPr>
        <w:t>Equal to two times the sum of (a) the NEO’s 2019 base salary and (b) the average annual cash incentives paid to the NEO over the prior three years.</w:t>
      </w:r>
    </w:p>
    <w:p>
      <w:pPr>
        <w:spacing w:after="0" w:line="140" w:lineRule="exact"/>
        <w:rPr>
          <w:sz w:val="20"/>
          <w:szCs w:val="20"/>
          <w:color w:val="auto"/>
        </w:rPr>
      </w:pPr>
    </w:p>
    <w:p>
      <w:pPr>
        <w:ind w:left="1480" w:right="1320" w:hanging="176"/>
        <w:spacing w:after="0" w:line="258" w:lineRule="auto"/>
        <w:tabs>
          <w:tab w:leader="none" w:pos="1480" w:val="left"/>
        </w:tabs>
        <w:numPr>
          <w:ilvl w:val="0"/>
          <w:numId w:val="201"/>
        </w:numPr>
        <w:rPr>
          <w:rFonts w:ascii="Arial" w:cs="Arial" w:eastAsia="Arial" w:hAnsi="Arial"/>
          <w:sz w:val="14"/>
          <w:szCs w:val="14"/>
          <w:b w:val="1"/>
          <w:bCs w:val="1"/>
          <w:color w:val="2952A4"/>
        </w:rPr>
      </w:pPr>
      <w:r>
        <w:rPr>
          <w:rFonts w:ascii="Arial" w:cs="Arial" w:eastAsia="Arial" w:hAnsi="Arial"/>
          <w:sz w:val="14"/>
          <w:szCs w:val="14"/>
          <w:color w:val="231F20"/>
        </w:rPr>
        <w:t>Equal to the estimated cost of providing each NEO and his dependents medical, dental, vision, disability, and life insurance coverage for 24 months, plus the estimated cost of providing each NEO tax and financial planning advisory services for 24 months.</w:t>
      </w:r>
    </w:p>
    <w:p>
      <w:pPr>
        <w:spacing w:after="0" w:line="140" w:lineRule="exact"/>
        <w:rPr>
          <w:sz w:val="20"/>
          <w:szCs w:val="20"/>
          <w:color w:val="auto"/>
        </w:rPr>
      </w:pPr>
    </w:p>
    <w:p>
      <w:pPr>
        <w:ind w:left="1480" w:right="1340" w:hanging="176"/>
        <w:spacing w:after="0" w:line="245" w:lineRule="auto"/>
        <w:tabs>
          <w:tab w:leader="none" w:pos="1480" w:val="left"/>
        </w:tabs>
        <w:numPr>
          <w:ilvl w:val="0"/>
          <w:numId w:val="202"/>
        </w:numPr>
        <w:rPr>
          <w:rFonts w:ascii="Arial" w:cs="Arial" w:eastAsia="Arial" w:hAnsi="Arial"/>
          <w:sz w:val="14"/>
          <w:szCs w:val="14"/>
          <w:b w:val="1"/>
          <w:bCs w:val="1"/>
          <w:color w:val="2952A4"/>
        </w:rPr>
      </w:pPr>
      <w:r>
        <w:rPr>
          <w:rFonts w:ascii="Arial" w:cs="Arial" w:eastAsia="Arial" w:hAnsi="Arial"/>
          <w:sz w:val="14"/>
          <w:szCs w:val="14"/>
          <w:color w:val="231F20"/>
        </w:rPr>
        <w:t>For stock options, equal to the aggregate amount of the differences between the exercise prices of each NEO’s accelerated “in-the-money” stock options and the closing sales price per share of the Company’s common stock on the Nasdaq Global Select Market on December 31, 2019 of $375.48. In the case of Messrs. Landry and Van Plew and Dr. Murphy, the amounts also include the value as of December 31, 2019 of accelerated RSAs. None of Dr. Yancopoulos’s outstanding PSUs would have been earned had a vesting determination been made on December 31, 2019 in respect of performance for the period from the date of grant to December 31, 2019.</w:t>
      </w:r>
    </w:p>
    <w:p>
      <w:pPr>
        <w:spacing w:after="0" w:line="312" w:lineRule="exact"/>
        <w:rPr>
          <w:sz w:val="20"/>
          <w:szCs w:val="20"/>
          <w:color w:val="auto"/>
        </w:rPr>
      </w:pPr>
    </w:p>
    <w:p>
      <w:pPr>
        <w:ind w:left="1480" w:right="1520" w:hanging="176"/>
        <w:spacing w:after="0" w:line="249" w:lineRule="auto"/>
        <w:tabs>
          <w:tab w:leader="none" w:pos="1480" w:val="left"/>
        </w:tabs>
        <w:numPr>
          <w:ilvl w:val="0"/>
          <w:numId w:val="203"/>
        </w:numPr>
        <w:rPr>
          <w:rFonts w:ascii="Arial" w:cs="Arial" w:eastAsia="Arial" w:hAnsi="Arial"/>
          <w:sz w:val="14"/>
          <w:szCs w:val="14"/>
          <w:b w:val="1"/>
          <w:bCs w:val="1"/>
          <w:color w:val="2952A4"/>
        </w:rPr>
      </w:pPr>
      <w:r>
        <w:rPr>
          <w:rFonts w:ascii="Arial" w:cs="Arial" w:eastAsia="Arial" w:hAnsi="Arial"/>
          <w:sz w:val="14"/>
          <w:szCs w:val="14"/>
          <w:color w:val="231F20"/>
        </w:rPr>
        <w:t>We have determined (using the assumptions outlined in footnote 5) that all of the NEOs listed in the table above would have been under their applicable “golden parachute” safe harbor limits and not subject to any cutbacks or excise taxes if terminated on December 31, 2019.</w:t>
      </w:r>
    </w:p>
    <w:p>
      <w:pPr>
        <w:spacing w:after="0" w:line="147" w:lineRule="exact"/>
        <w:rPr>
          <w:sz w:val="20"/>
          <w:szCs w:val="20"/>
          <w:color w:val="auto"/>
        </w:rPr>
      </w:pPr>
    </w:p>
    <w:p>
      <w:pPr>
        <w:ind w:left="1480" w:right="1340" w:hanging="176"/>
        <w:spacing w:after="0" w:line="242" w:lineRule="auto"/>
        <w:tabs>
          <w:tab w:leader="none" w:pos="1480" w:val="left"/>
        </w:tabs>
        <w:numPr>
          <w:ilvl w:val="0"/>
          <w:numId w:val="204"/>
        </w:numPr>
        <w:rPr>
          <w:rFonts w:ascii="Arial" w:cs="Arial" w:eastAsia="Arial" w:hAnsi="Arial"/>
          <w:sz w:val="14"/>
          <w:szCs w:val="14"/>
          <w:b w:val="1"/>
          <w:bCs w:val="1"/>
          <w:color w:val="2952A4"/>
        </w:rPr>
      </w:pPr>
      <w:r>
        <w:rPr>
          <w:rFonts w:ascii="Arial" w:cs="Arial" w:eastAsia="Arial" w:hAnsi="Arial"/>
          <w:sz w:val="14"/>
          <w:szCs w:val="14"/>
          <w:color w:val="231F20"/>
        </w:rPr>
        <w:t>For purposes of these calculations, (i) we used base salaries as of December 31, 2019 and annual cash incentives paid to the NEOs for performance in 2016, 2017, and 2018, respectively; (ii) we assumed that each NEO received his annual cash incentive that was earned in 2019 and paid in 2020 (described in the Summary Compensation Table above); (iii) we took into consideration, for purposes of determining whether each NEO was subject to a reduction under the terms of the change in control severance plan, the fact that each NEO’s stock options vest in full following an involuntary termination without Cause or termination for Good Reason following a change in control (parachute payments for time vesting stock options and restricted stock were valued using Internal Revenue Code Treas. Reg. Section 1.28G-1 Q&amp;A 24(c)); (iv) we assumed a 5.6% annual increase in medical premiums, 4% annual increase in dental and vision premiums, and no increase in disability or life insurance premiums or employer cost of tax and financial planning advisory services for 2020 and 2021; (v) we assumed that the medical insurance benefits received in 2020 and 2021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NEOs would be subject to potential delays upon separation of service under Section 409A of the Internal Revenue Code, we did not attempt to determine which, if any, payments would be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88265</wp:posOffset>
            </wp:positionV>
            <wp:extent cx="771525" cy="1028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93</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05" w:name="page106"/>
    <w:bookmarkEnd w:id="105"/>
    <w:p>
      <w:pPr>
        <w:ind w:left="3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sectPr>
      </w:pPr>
    </w:p>
    <w:p>
      <w:pPr>
        <w:spacing w:after="0" w:line="139" w:lineRule="exact"/>
        <w:rPr>
          <w:sz w:val="20"/>
          <w:szCs w:val="20"/>
          <w:color w:val="auto"/>
        </w:rPr>
      </w:pPr>
    </w:p>
    <w:p>
      <w:pPr>
        <w:ind w:left="320" w:right="340"/>
        <w:spacing w:after="0" w:line="278" w:lineRule="auto"/>
        <w:rPr>
          <w:sz w:val="20"/>
          <w:szCs w:val="20"/>
          <w:color w:val="auto"/>
        </w:rPr>
      </w:pPr>
      <w:r>
        <w:rPr>
          <w:rFonts w:ascii="Arial" w:cs="Arial" w:eastAsia="Arial" w:hAnsi="Arial"/>
          <w:sz w:val="58"/>
          <w:szCs w:val="58"/>
          <w:b w:val="1"/>
          <w:bCs w:val="1"/>
          <w:color w:val="2952A4"/>
        </w:rPr>
        <w:t>ADDITIONAL COMPENSATION INFORMATION</w:t>
      </w:r>
    </w:p>
    <w:p>
      <w:pPr>
        <w:ind w:left="320"/>
        <w:spacing w:after="0"/>
        <w:rPr>
          <w:sz w:val="20"/>
          <w:szCs w:val="20"/>
          <w:color w:val="auto"/>
        </w:rPr>
      </w:pPr>
      <w:r>
        <w:rPr>
          <w:rFonts w:ascii="Arial" w:cs="Arial" w:eastAsia="Arial" w:hAnsi="Arial"/>
          <w:sz w:val="29"/>
          <w:szCs w:val="29"/>
          <w:b w:val="1"/>
          <w:bCs w:val="1"/>
          <w:color w:val="C04C57"/>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54864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96" w:lineRule="exact"/>
        <w:rPr>
          <w:sz w:val="20"/>
          <w:szCs w:val="20"/>
          <w:color w:val="auto"/>
        </w:rPr>
      </w:pPr>
    </w:p>
    <w:p>
      <w:pPr>
        <w:ind w:left="320" w:right="340"/>
        <w:spacing w:after="0" w:line="227" w:lineRule="auto"/>
        <w:rPr>
          <w:sz w:val="20"/>
          <w:szCs w:val="20"/>
          <w:color w:val="auto"/>
        </w:rPr>
      </w:pPr>
      <w:r>
        <w:rPr>
          <w:rFonts w:ascii="Arial" w:cs="Arial" w:eastAsia="Arial" w:hAnsi="Arial"/>
          <w:sz w:val="15"/>
          <w:szCs w:val="15"/>
          <w:color w:val="231F20"/>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Although the Tax Cuts and Jobs Act eliminated the performance-based compensation exception for compensation paid in 2018 and beyond (as discussed under “Our Compensation Processes—Tax Implications” above), we have continued to use the Cash Incentive Bonus Plan for annual cash incentives for the reasons discussed under “Compensation Discussion and Analysis—Our Compensation Philosophy and Objectives” above. For 2019 annual cash incentives for the NEOs, we set up a cash incentive pool and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The Compensation Committee determined that Regeneron’s performance in 2019 exceeded the established goal, thus enabling the funding of the cash incentive pool. The Compensation Committee then exercised “negative discretion” (as permitted under the Plan) to reduce the annual cash incentive amounts otherwise payable to the NEOs according to the cash incentive pool formula. This negative discretion was exercised based on the Compensation Committee’s analysis of all of the relevant facts and circumstances, including the NEOs respective target cash incentive amounts and individual performance in 2019.</w:t>
      </w:r>
    </w:p>
    <w:p>
      <w:pPr>
        <w:spacing w:after="0" w:line="144" w:lineRule="exact"/>
        <w:rPr>
          <w:sz w:val="20"/>
          <w:szCs w:val="20"/>
          <w:color w:val="auto"/>
        </w:rPr>
      </w:pPr>
    </w:p>
    <w:p>
      <w:pPr>
        <w:ind w:left="320" w:right="700"/>
        <w:spacing w:after="0" w:line="242" w:lineRule="auto"/>
        <w:rPr>
          <w:sz w:val="20"/>
          <w:szCs w:val="20"/>
          <w:color w:val="auto"/>
        </w:rPr>
      </w:pPr>
      <w:r>
        <w:rPr>
          <w:rFonts w:ascii="Arial" w:cs="Arial" w:eastAsia="Arial" w:hAnsi="Arial"/>
          <w:sz w:val="15"/>
          <w:szCs w:val="15"/>
          <w:color w:val="231F20"/>
        </w:rPr>
        <w:t>The targets for the 2019 annual cash incentives for the NEOs were set as percentages of their respective base salaries as follows: Dr. Schleifer—120%; Dr. Yancopoulos—120%; Mr. Landry—65%; Mr. Van Plew—65%; and Dr. Murphy—65%.</w:t>
      </w:r>
    </w:p>
    <w:p>
      <w:pPr>
        <w:spacing w:after="0" w:line="138" w:lineRule="exact"/>
        <w:rPr>
          <w:sz w:val="20"/>
          <w:szCs w:val="20"/>
          <w:color w:val="auto"/>
        </w:rPr>
      </w:pPr>
    </w:p>
    <w:p>
      <w:pPr>
        <w:ind w:left="320" w:right="320"/>
        <w:spacing w:after="0" w:line="228" w:lineRule="auto"/>
        <w:rPr>
          <w:sz w:val="20"/>
          <w:szCs w:val="20"/>
          <w:color w:val="auto"/>
        </w:rPr>
      </w:pPr>
      <w:r>
        <w:rPr>
          <w:rFonts w:ascii="Arial" w:cs="Arial" w:eastAsia="Arial" w:hAnsi="Arial"/>
          <w:sz w:val="15"/>
          <w:szCs w:val="15"/>
          <w:color w:val="231F20"/>
        </w:rPr>
        <w:t>For 2019, Dr. Schleifer’s target cash compensation was set approximately at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base salary and cash incentive for 2019 would be set at 85% of Dr. Schleifer’s. In determining the cash incentive targets for 2019 for Mr. Landry, Mr. Van Plew, and Dr. Murphy, the Compensation Committee took into consideration the compensation of similarly situated executive officers at companies in the Peer Group.</w:t>
      </w:r>
    </w:p>
    <w:p>
      <w:pPr>
        <w:spacing w:after="0" w:line="145" w:lineRule="exact"/>
        <w:rPr>
          <w:sz w:val="20"/>
          <w:szCs w:val="20"/>
          <w:color w:val="auto"/>
        </w:rPr>
      </w:pPr>
    </w:p>
    <w:p>
      <w:pPr>
        <w:ind w:left="320" w:right="320"/>
        <w:spacing w:after="0" w:line="230" w:lineRule="auto"/>
        <w:rPr>
          <w:sz w:val="20"/>
          <w:szCs w:val="20"/>
          <w:color w:val="auto"/>
        </w:rPr>
      </w:pPr>
      <w:r>
        <w:rPr>
          <w:rFonts w:ascii="Arial" w:cs="Arial" w:eastAsia="Arial" w:hAnsi="Arial"/>
          <w:sz w:val="15"/>
          <w:szCs w:val="15"/>
          <w:color w:val="231F20"/>
        </w:rPr>
        <w:t>The cash incentives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NEO based on the Committee’s assessment of the Company’s performance relative to the general corporate goals described below and, in the case of each of Mr. Landry, Mr. Van Plew, and Dr. Murphy, the NEO’s personal performance during the year.</w:t>
      </w:r>
    </w:p>
    <w:p>
      <w:pPr>
        <w:spacing w:after="0" w:line="142" w:lineRule="exact"/>
        <w:rPr>
          <w:sz w:val="20"/>
          <w:szCs w:val="20"/>
          <w:color w:val="auto"/>
        </w:rPr>
      </w:pPr>
    </w:p>
    <w:p>
      <w:pPr>
        <w:ind w:left="320" w:right="500"/>
        <w:spacing w:after="0" w:line="235" w:lineRule="auto"/>
        <w:rPr>
          <w:sz w:val="20"/>
          <w:szCs w:val="20"/>
          <w:color w:val="auto"/>
        </w:rPr>
      </w:pPr>
      <w:r>
        <w:rPr>
          <w:rFonts w:ascii="Arial" w:cs="Arial" w:eastAsia="Arial" w:hAnsi="Arial"/>
          <w:sz w:val="15"/>
          <w:szCs w:val="15"/>
          <w:color w:val="231F20"/>
        </w:rPr>
        <w:t>The pipeline-related and other factors that contributed most to the Compensation Committee’s determination of the Company performance multiplier (which was set at 1.85 for 2019) are summarized in the subsection “Compensation Discussion and Analysis—Components of Executive Pay: What We Pay and Why We Pay It—Annual Cash Incentives.”</w:t>
      </w:r>
    </w:p>
    <w:p>
      <w:pPr>
        <w:spacing w:after="0" w:line="141" w:lineRule="exact"/>
        <w:rPr>
          <w:sz w:val="20"/>
          <w:szCs w:val="20"/>
          <w:color w:val="auto"/>
        </w:rPr>
      </w:pPr>
    </w:p>
    <w:p>
      <w:pPr>
        <w:ind w:left="320" w:right="400"/>
        <w:spacing w:after="0" w:line="231" w:lineRule="auto"/>
        <w:rPr>
          <w:sz w:val="20"/>
          <w:szCs w:val="20"/>
          <w:color w:val="auto"/>
        </w:rPr>
      </w:pPr>
      <w:r>
        <w:rPr>
          <w:rFonts w:ascii="Arial" w:cs="Arial" w:eastAsia="Arial" w:hAnsi="Arial"/>
          <w:sz w:val="15"/>
          <w:szCs w:val="15"/>
          <w:color w:val="231F20"/>
        </w:rPr>
        <w:t>With respect to 2019, the Compensation Committee approved a personal performance multiplier of 1.5 for each of Mr. Landry, Mr. Van Plew, and Dr. Murphy. The personal performance component accounted for 40% of these NEOs’ cash incentives. The Company component was based on a Company performance multiplier that was determined based on the Company’s overall corporate performance (as described above) against 2019 goals that were approved by the board of directors in January 2019. This Company performance component accounted for 60% of the cash</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94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type w:val="continuous"/>
        </w:sectPr>
      </w:pPr>
    </w:p>
    <w:bookmarkStart w:id="106" w:name="page107"/>
    <w:bookmarkEnd w:id="106"/>
    <w:p>
      <w:pPr>
        <w:ind w:left="4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9" w:lineRule="exact"/>
        <w:rPr>
          <w:sz w:val="20"/>
          <w:szCs w:val="20"/>
          <w:color w:val="auto"/>
        </w:rPr>
      </w:pPr>
    </w:p>
    <w:p>
      <w:pPr>
        <w:jc w:val="both"/>
        <w:ind w:left="1300" w:right="2080"/>
        <w:spacing w:after="0" w:line="235" w:lineRule="auto"/>
        <w:rPr>
          <w:sz w:val="20"/>
          <w:szCs w:val="20"/>
          <w:color w:val="auto"/>
        </w:rPr>
      </w:pPr>
      <w:r>
        <w:rPr>
          <w:rFonts w:ascii="Arial" w:cs="Arial" w:eastAsia="Arial" w:hAnsi="Arial"/>
          <w:sz w:val="15"/>
          <w:szCs w:val="15"/>
          <w:color w:val="231F20"/>
        </w:rPr>
        <w:t>incentives awarded to Mr. Landry, Mr. Van Plew, and Dr. Murphy. In the case of Drs. Schleifer and Yancopoulos, the Compensation Committee focused exclusively on overall Company performance in 2019 (as described above) when determining their cash incentives and did not utilize a personal performance multiplier.</w:t>
      </w:r>
    </w:p>
    <w:p>
      <w:pPr>
        <w:spacing w:after="0" w:line="141" w:lineRule="exact"/>
        <w:rPr>
          <w:sz w:val="20"/>
          <w:szCs w:val="20"/>
          <w:color w:val="auto"/>
        </w:rPr>
      </w:pPr>
    </w:p>
    <w:p>
      <w:pPr>
        <w:ind w:left="1300" w:right="1360"/>
        <w:spacing w:after="0" w:line="228" w:lineRule="auto"/>
        <w:rPr>
          <w:sz w:val="20"/>
          <w:szCs w:val="20"/>
          <w:color w:val="auto"/>
        </w:rPr>
      </w:pPr>
      <w:r>
        <w:rPr>
          <w:rFonts w:ascii="Arial" w:cs="Arial" w:eastAsia="Arial" w:hAnsi="Arial"/>
          <w:sz w:val="15"/>
          <w:szCs w:val="15"/>
          <w:color w:val="231F20"/>
        </w:rPr>
        <w:t>In determining the personal performance multiplier for Mr. Landry, the Compensation Committee gave special consideration to Mr. Landry’s leadership of and accomplishments in the Company’s accounting, finance, and tax functions and across his other responsibilities, including his leadership of the information technology and real estate &amp; facilities management organizations. In the case of Mr. Van Plew, the Compensation Committee focused primarily on Mr. Van Plew’s leadership of and accomplishments in the Company’s Industrial Operations and Product Supply organization, including with respect to expanded manufacturing capacities, preparations for new product launches, successful technology transfer of commercial manufacturing of certain Company products between Regeneron’s Rensselaer, New York and Raheen, Ireland facilities, and successful completion of all regulatory audits concerning the Company’s manufacturing practices in 2019. In the case of Dr. Murphy, the Compensation Committee considered the progress and continued expansion of the Company’s preclinical and clinical development pipeline, as summarized in the subsection “Compensation Discussion and Analysis—Components of Executive Pay: What We Pay and Why We Pay It—Annual Cash Incentives.”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04C57"/>
        </w:rPr>
        <w:t>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96" w:lineRule="exact"/>
        <w:rPr>
          <w:sz w:val="20"/>
          <w:szCs w:val="20"/>
          <w:color w:val="auto"/>
        </w:rPr>
      </w:pPr>
    </w:p>
    <w:p>
      <w:pPr>
        <w:ind w:left="1300" w:right="1300"/>
        <w:spacing w:after="0"/>
        <w:rPr>
          <w:sz w:val="20"/>
          <w:szCs w:val="20"/>
          <w:color w:val="auto"/>
        </w:rPr>
      </w:pPr>
      <w:r>
        <w:rPr>
          <w:rFonts w:ascii="Arial" w:cs="Arial" w:eastAsia="Arial" w:hAnsi="Arial"/>
          <w:sz w:val="15"/>
          <w:szCs w:val="15"/>
          <w:color w:val="231F20"/>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8% with respect to 2017 and 2018 and 10% with respect to 2019 and 2020), up to a maximum level established under the Internal Revenue Code. Each of our NEOs participated in our 401(k) Savings Plan during 2019 and received matching contributions in the aggregate amount of $12,500 ($9,500 in the case of Mr. Van Plew) in the form of shares of our common stock. The contributions were paid quarterly (with the contribution in respect of the fourth quarter of 2019 paid in February 2020) and are included in the compensation amounts reported for each of our NEOs in the Summary Compensation Table included in this proxy statement. As with all employees, the number of shares of common stock that each NEO received on a quarterly basis was determined using the average market price per share of our common stock during the applicable quarter.</w:t>
      </w:r>
    </w:p>
    <w:p>
      <w:pPr>
        <w:spacing w:after="0" w:line="219" w:lineRule="exact"/>
        <w:rPr>
          <w:sz w:val="20"/>
          <w:szCs w:val="20"/>
          <w:color w:val="auto"/>
        </w:rPr>
      </w:pPr>
    </w:p>
    <w:p>
      <w:pPr>
        <w:ind w:left="1300" w:right="1300"/>
        <w:spacing w:after="0"/>
        <w:rPr>
          <w:sz w:val="20"/>
          <w:szCs w:val="20"/>
          <w:color w:val="auto"/>
        </w:rPr>
      </w:pPr>
      <w:r>
        <w:rPr>
          <w:rFonts w:ascii="Arial" w:cs="Arial" w:eastAsia="Arial" w:hAnsi="Arial"/>
          <w:sz w:val="15"/>
          <w:szCs w:val="15"/>
          <w:color w:val="231F20"/>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$ 250,000 in incremental cost (as described below) annually for each of Drs. Schleifer and Yancopoulos. Family members or other guests may accompany our NEOs and directors during Company-provided air business travel, space permitting, so long as they cover any incremental cost related to such guests (other than with respect to the family members of Drs. Schleifer and Yancopoulos as described above). In addition, in limited circumstances personal use of Company-provided air travel by our other NEOs or directors may be permitted if authorized by the Chairman and any incremental cost is paid by the lead passenger. Any required reimbursement or other payment of the incremental cost is made to the extent permitted by applicable Federal Aviation Administration rules.</w:t>
      </w:r>
    </w:p>
    <w:p>
      <w:pPr>
        <w:spacing w:after="0" w:line="209" w:lineRule="exact"/>
        <w:rPr>
          <w:sz w:val="20"/>
          <w:szCs w:val="20"/>
          <w:color w:val="auto"/>
        </w:rPr>
      </w:pPr>
    </w:p>
    <w:p>
      <w:pPr>
        <w:ind w:left="1300" w:right="1320"/>
        <w:spacing w:after="0" w:line="228" w:lineRule="auto"/>
        <w:rPr>
          <w:sz w:val="20"/>
          <w:szCs w:val="20"/>
          <w:color w:val="auto"/>
        </w:rPr>
      </w:pPr>
      <w:r>
        <w:rPr>
          <w:rFonts w:ascii="Arial" w:cs="Arial" w:eastAsia="Arial" w:hAnsi="Arial"/>
          <w:sz w:val="15"/>
          <w:szCs w:val="15"/>
          <w:color w:val="231F20"/>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82550</wp:posOffset>
            </wp:positionV>
            <wp:extent cx="771525" cy="1028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95</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07" w:name="page108"/>
    <w:bookmarkEnd w:id="107"/>
    <w:p>
      <w:pPr>
        <w:ind w:left="3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sectPr>
      </w:pPr>
    </w:p>
    <w:p>
      <w:pPr>
        <w:spacing w:after="0" w:line="209" w:lineRule="exact"/>
        <w:rPr>
          <w:sz w:val="20"/>
          <w:szCs w:val="20"/>
          <w:color w:val="auto"/>
        </w:rPr>
      </w:pPr>
    </w:p>
    <w:p>
      <w:pPr>
        <w:ind w:left="320" w:right="580"/>
        <w:spacing w:after="0" w:line="230" w:lineRule="auto"/>
        <w:rPr>
          <w:sz w:val="20"/>
          <w:szCs w:val="20"/>
          <w:color w:val="auto"/>
        </w:rPr>
      </w:pPr>
      <w:r>
        <w:rPr>
          <w:rFonts w:ascii="Arial" w:cs="Arial" w:eastAsia="Arial" w:hAnsi="Arial"/>
          <w:sz w:val="15"/>
          <w:szCs w:val="15"/>
          <w:color w:val="231F20"/>
        </w:rPr>
        <w:t>The security policy also covers secure car transportation and on-site residential security at the primary residence for each of Drs. Schleifer and Yancopoulos. We calculate the incremental costs of the secure car transportation and on-site residential security services provided by Regeneron as the average fuel cost per mile times total miles traveled in connection with such services (if applicable) plus the contractor rate (if any) and salary, taxes, and benefits of drivers attributed to such services based on the number of personal hours expended for such services. Fixed lease costs and routine maintenance that would have been incurred in any event are not included.</w:t>
      </w:r>
    </w:p>
    <w:p>
      <w:pPr>
        <w:spacing w:after="0" w:line="142" w:lineRule="exact"/>
        <w:rPr>
          <w:sz w:val="20"/>
          <w:szCs w:val="20"/>
          <w:color w:val="auto"/>
        </w:rPr>
      </w:pPr>
    </w:p>
    <w:p>
      <w:pPr>
        <w:jc w:val="both"/>
        <w:ind w:left="320" w:right="380"/>
        <w:spacing w:after="0" w:line="235" w:lineRule="auto"/>
        <w:rPr>
          <w:sz w:val="20"/>
          <w:szCs w:val="20"/>
          <w:color w:val="auto"/>
        </w:rPr>
      </w:pPr>
      <w:r>
        <w:rPr>
          <w:rFonts w:ascii="Arial" w:cs="Arial" w:eastAsia="Arial" w:hAnsi="Arial"/>
          <w:sz w:val="15"/>
          <w:szCs w:val="15"/>
          <w:color w:val="231F20"/>
        </w:rPr>
        <w:t>Amounts associated with personal or guest Company-provided air and secure car transportation/security services are imputed as income to the NEOs to the extent required by applicable tax regulations. The NEOs do not receive a tax gross-up from us to cover their personal income tax obligations in respect of any such imputed income.</w:t>
      </w:r>
    </w:p>
    <w:p>
      <w:pPr>
        <w:spacing w:after="0" w:line="141" w:lineRule="exact"/>
        <w:rPr>
          <w:sz w:val="20"/>
          <w:szCs w:val="20"/>
          <w:color w:val="auto"/>
        </w:rPr>
      </w:pPr>
    </w:p>
    <w:p>
      <w:pPr>
        <w:ind w:left="320" w:right="400"/>
        <w:spacing w:after="0" w:line="233" w:lineRule="auto"/>
        <w:rPr>
          <w:sz w:val="20"/>
          <w:szCs w:val="20"/>
          <w:color w:val="auto"/>
        </w:rPr>
      </w:pPr>
      <w:r>
        <w:rPr>
          <w:rFonts w:ascii="Arial" w:cs="Arial" w:eastAsia="Arial" w:hAnsi="Arial"/>
          <w:sz w:val="15"/>
          <w:szCs w:val="15"/>
          <w:color w:val="231F20"/>
        </w:rPr>
        <w:t>The amounts disclosed in the “All other compensation” column of the Summary Compensation Table relating to personal and guest use of Company-provided air and secure car transportation/security services in accordance with our security policy attributable to Drs. Schleifer and Yancopoulos are based on the incremental cost resulting from such transportation/services as described above.</w:t>
      </w:r>
    </w:p>
    <w:p>
      <w:pPr>
        <w:spacing w:after="0" w:line="140" w:lineRule="exact"/>
        <w:rPr>
          <w:sz w:val="20"/>
          <w:szCs w:val="20"/>
          <w:color w:val="auto"/>
        </w:rPr>
      </w:pPr>
    </w:p>
    <w:p>
      <w:pPr>
        <w:ind w:left="320" w:right="540"/>
        <w:spacing w:after="0" w:line="242" w:lineRule="auto"/>
        <w:rPr>
          <w:sz w:val="20"/>
          <w:szCs w:val="20"/>
          <w:color w:val="auto"/>
        </w:rPr>
      </w:pPr>
      <w:r>
        <w:rPr>
          <w:rFonts w:ascii="Arial" w:cs="Arial" w:eastAsia="Arial" w:hAnsi="Arial"/>
          <w:sz w:val="15"/>
          <w:szCs w:val="15"/>
          <w:color w:val="231F20"/>
        </w:rPr>
        <w:t>The Corporate Governance and Compliance Committee monitors business and any personal or guest Company-provided air travel on a periodic basis.</w:t>
      </w:r>
    </w:p>
    <w:p>
      <w:pPr>
        <w:spacing w:after="0" w:line="138" w:lineRule="exact"/>
        <w:rPr>
          <w:sz w:val="20"/>
          <w:szCs w:val="20"/>
          <w:color w:val="auto"/>
        </w:rPr>
      </w:pPr>
    </w:p>
    <w:p>
      <w:pPr>
        <w:ind w:left="320" w:right="620"/>
        <w:spacing w:after="0" w:line="242" w:lineRule="auto"/>
        <w:rPr>
          <w:sz w:val="20"/>
          <w:szCs w:val="20"/>
          <w:color w:val="auto"/>
        </w:rPr>
      </w:pPr>
      <w:r>
        <w:rPr>
          <w:rFonts w:ascii="Arial" w:cs="Arial" w:eastAsia="Arial" w:hAnsi="Arial"/>
          <w:sz w:val="15"/>
          <w:szCs w:val="15"/>
          <w:color w:val="231F20"/>
        </w:rPr>
        <w:t>Additional information regarding perquisites and other personal benefits provided to our NEOs in, or with respect to, 2019 is given in the applicable footnotes to the Summary Compensation Table included in this proxy statement.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C04C57"/>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54864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Except for Dr. Vagelos, outstanding stock option award agreements for all employees, as well as outstanding RSA and PSU</w:t>
      </w:r>
    </w:p>
    <w:p>
      <w:pPr>
        <w:ind w:left="320" w:right="620"/>
        <w:spacing w:after="0" w:line="211" w:lineRule="auto"/>
        <w:rPr>
          <w:sz w:val="20"/>
          <w:szCs w:val="20"/>
          <w:color w:val="auto"/>
        </w:rPr>
      </w:pPr>
      <w:r>
        <w:rPr>
          <w:rFonts w:ascii="Arial" w:cs="Arial" w:eastAsia="Arial" w:hAnsi="Arial"/>
          <w:sz w:val="15"/>
          <w:szCs w:val="15"/>
          <w:color w:val="231F20"/>
        </w:rPr>
        <w:t>award agreements,</w:t>
      </w:r>
      <w:r>
        <w:rPr>
          <w:rFonts w:ascii="Arial" w:cs="Arial" w:eastAsia="Arial" w:hAnsi="Arial"/>
          <w:sz w:val="25"/>
          <w:szCs w:val="25"/>
          <w:color w:val="231F20"/>
          <w:vertAlign w:val="superscript"/>
        </w:rPr>
        <w:t>11</w:t>
      </w:r>
      <w:r>
        <w:rPr>
          <w:rFonts w:ascii="Arial" w:cs="Arial" w:eastAsia="Arial" w:hAnsi="Arial"/>
          <w:sz w:val="15"/>
          <w:szCs w:val="15"/>
          <w:color w:val="231F20"/>
        </w:rPr>
        <w:t xml:space="preserve"> include a “double trigger” provision for the acceleration of vesting of unvested stock options, RSAs, or PSUs upon a termination by the Company without cause or by the employee for good reason within two years following a change in control. Dr. Vagelos’s stock option and PSU awards contain change-of-control provisions consistent with those applicable to the non-employee director equity awards, as described under “Corporate Governance – Compensation of Directors” above.</w:t>
      </w:r>
    </w:p>
    <w:p>
      <w:pPr>
        <w:spacing w:after="0" w:line="144" w:lineRule="exact"/>
        <w:rPr>
          <w:sz w:val="20"/>
          <w:szCs w:val="20"/>
          <w:color w:val="auto"/>
        </w:rPr>
      </w:pPr>
    </w:p>
    <w:p>
      <w:pPr>
        <w:ind w:left="320" w:right="320"/>
        <w:spacing w:after="0" w:line="228" w:lineRule="auto"/>
        <w:rPr>
          <w:sz w:val="20"/>
          <w:szCs w:val="20"/>
          <w:color w:val="auto"/>
        </w:rPr>
      </w:pPr>
      <w:r>
        <w:rPr>
          <w:rFonts w:ascii="Arial" w:cs="Arial" w:eastAsia="Arial" w:hAnsi="Arial"/>
          <w:sz w:val="15"/>
          <w:szCs w:val="15"/>
          <w:color w:val="231F20"/>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granted since December 2015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“2019 Compensation Tables—Post-Employment Compensation.”</w:t>
      </w:r>
    </w:p>
    <w:p>
      <w:pPr>
        <w:spacing w:after="0" w:line="145" w:lineRule="exact"/>
        <w:rPr>
          <w:sz w:val="20"/>
          <w:szCs w:val="20"/>
          <w:color w:val="auto"/>
        </w:rPr>
      </w:pPr>
    </w:p>
    <w:p>
      <w:pPr>
        <w:ind w:left="320" w:right="320"/>
        <w:spacing w:after="0" w:line="228" w:lineRule="auto"/>
        <w:rPr>
          <w:sz w:val="20"/>
          <w:szCs w:val="20"/>
          <w:color w:val="auto"/>
        </w:rPr>
      </w:pPr>
      <w:r>
        <w:rPr>
          <w:rFonts w:ascii="Arial" w:cs="Arial" w:eastAsia="Arial" w:hAnsi="Arial"/>
          <w:sz w:val="15"/>
          <w:szCs w:val="15"/>
          <w:color w:val="231F20"/>
        </w:rPr>
        <w:t>Our NEOs will forfeit any unvested time-based stock options or RSAs upon the termination of their employment for any reason (including disability or retirement) other than death, except as provided in our employment agreement with our CEO, in our change in control severance plan, and in certain stock option agreements with our CSO. In the event of the death of an employee, any unvested stock options held by such employee become immediately exercisable, and any shares subject to RSAs/RSUs will become fully vested. In the case of PSU awards to our CEO and CSO (as well as Dr. Vagelos, as described under “Corporate Governance – Compensation of Directors” above), upon a termination of employment due to death (or retirement when “retirement eligible,” as discussed below),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2019, see the subsection “2019 Compensation Tables—Post-Employment Compensation” under “Value of Accelerated Stock Options/PSUs” in the table entitled “Potential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48895</wp:posOffset>
            </wp:positionV>
            <wp:extent cx="54864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640" w:right="420" w:hanging="316"/>
        <w:spacing w:after="0" w:line="247" w:lineRule="auto"/>
        <w:tabs>
          <w:tab w:leader="none" w:pos="640" w:val="left"/>
        </w:tabs>
        <w:numPr>
          <w:ilvl w:val="0"/>
          <w:numId w:val="205"/>
        </w:numPr>
        <w:rPr>
          <w:rFonts w:ascii="Arial" w:cs="Arial" w:eastAsia="Arial" w:hAnsi="Arial"/>
          <w:sz w:val="14"/>
          <w:szCs w:val="14"/>
          <w:b w:val="1"/>
          <w:bCs w:val="1"/>
          <w:color w:val="2952A4"/>
        </w:rPr>
      </w:pPr>
      <w:r>
        <w:rPr>
          <w:rFonts w:ascii="Arial" w:cs="Arial" w:eastAsia="Arial" w:hAnsi="Arial"/>
          <w:sz w:val="14"/>
          <w:szCs w:val="14"/>
          <w:color w:val="231F20"/>
        </w:rPr>
        <w:t>In the case of PSUs, if any PSUs vest upon a change of control (as a result of performance exceeding the relevant TSR goal for the period from the date of grant to the date of the change of control), the shares earned will be delivered upon the earlier of (a) a termination by the Company without cause or by the employee for good reason within two years following the change in control and (b) the fifth year anniversary of the date of grant.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96  </w:t>
      </w:r>
      <w:r>
        <w:rPr>
          <w:rFonts w:ascii="Arial" w:cs="Arial" w:eastAsia="Arial" w:hAnsi="Arial"/>
          <w:sz w:val="14"/>
          <w:szCs w:val="14"/>
          <w:color w:val="00A5EC"/>
        </w:rPr>
        <w:t xml:space="preserve">/ </w:t>
      </w:r>
      <w:r>
        <w:rPr>
          <w:sz w:val="1"/>
          <w:szCs w:val="1"/>
          <w:color w:val="auto"/>
        </w:rPr>
        <w:drawing>
          <wp:inline distT="0" distB="0" distL="0" distR="0">
            <wp:extent cx="771525" cy="10287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1525" cy="10287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13232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280"/>
          </w:cols>
          <w:pgMar w:left="1300" w:top="405" w:right="1319" w:bottom="1440" w:gutter="0" w:footer="0" w:header="0"/>
          <w:type w:val="continuous"/>
        </w:sectPr>
      </w:pPr>
    </w:p>
    <w:bookmarkStart w:id="108" w:name="page109"/>
    <w:bookmarkEnd w:id="108"/>
    <w:p>
      <w:pPr>
        <w:ind w:left="44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D41B5D"/>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9" w:lineRule="exact"/>
        <w:rPr>
          <w:sz w:val="20"/>
          <w:szCs w:val="20"/>
          <w:color w:val="auto"/>
        </w:rPr>
      </w:pPr>
    </w:p>
    <w:p>
      <w:pPr>
        <w:ind w:left="1300" w:right="1520"/>
        <w:spacing w:after="0" w:line="242" w:lineRule="auto"/>
        <w:rPr>
          <w:sz w:val="20"/>
          <w:szCs w:val="20"/>
          <w:color w:val="auto"/>
        </w:rPr>
      </w:pPr>
      <w:r>
        <w:rPr>
          <w:rFonts w:ascii="Arial" w:cs="Arial" w:eastAsia="Arial" w:hAnsi="Arial"/>
          <w:sz w:val="15"/>
          <w:szCs w:val="15"/>
          <w:color w:val="231F20"/>
        </w:rPr>
        <w:t>under Dr. Schleifer’s Employment Agreement” (for our CEO) and under “Value of Accelerated Stock Options/RSAs/ PSUs” in the table entitled “Potential Payments under Change in Control Severance Plan” (for other NEOs).</w:t>
      </w:r>
    </w:p>
    <w:p>
      <w:pPr>
        <w:spacing w:after="0" w:line="138" w:lineRule="exact"/>
        <w:rPr>
          <w:sz w:val="20"/>
          <w:szCs w:val="20"/>
          <w:color w:val="auto"/>
        </w:rPr>
      </w:pPr>
    </w:p>
    <w:p>
      <w:pPr>
        <w:ind w:left="1300" w:right="1400"/>
        <w:spacing w:after="0" w:line="229" w:lineRule="auto"/>
        <w:rPr>
          <w:sz w:val="20"/>
          <w:szCs w:val="20"/>
          <w:color w:val="auto"/>
        </w:rPr>
      </w:pPr>
      <w:r>
        <w:rPr>
          <w:rFonts w:ascii="Arial" w:cs="Arial" w:eastAsia="Arial" w:hAnsi="Arial"/>
          <w:sz w:val="15"/>
          <w:szCs w:val="15"/>
          <w:color w:val="231F20"/>
        </w:rPr>
        <w:t>When employees (other than our CEO and, with respect to stock option awards commencing in December 2018 and PSU awards, our CSO and Dr. Vagelos) retire, they forfeit all unvested time-based stock options, RSAs, and PSUs. An employee considered “retirement eligible” upon separation under our employee policies as in effect from time to time has the remaining life of the 10-year stock option term to exercise stock options that are vested as of the date of his or her retirement. In addition, the award agreements with our CSO and Dr. Vagelos relating to their 2018 and 2019 stock option awards and 2019 PSU awards provide that their respective awards will continue to vest in accordance with the terms of the applicable award agreement so long as they are “retirement eligible” upon separation.</w:t>
      </w:r>
    </w:p>
    <w:p>
      <w:pPr>
        <w:spacing w:after="0" w:line="144" w:lineRule="exact"/>
        <w:rPr>
          <w:sz w:val="20"/>
          <w:szCs w:val="20"/>
          <w:color w:val="auto"/>
        </w:rPr>
      </w:pPr>
    </w:p>
    <w:p>
      <w:pPr>
        <w:jc w:val="both"/>
        <w:ind w:left="1300" w:right="1440"/>
        <w:spacing w:after="0" w:line="233" w:lineRule="auto"/>
        <w:rPr>
          <w:sz w:val="20"/>
          <w:szCs w:val="20"/>
          <w:color w:val="auto"/>
        </w:rPr>
      </w:pPr>
      <w:r>
        <w:rPr>
          <w:rFonts w:ascii="Arial" w:cs="Arial" w:eastAsia="Arial" w:hAnsi="Arial"/>
          <w:sz w:val="15"/>
          <w:szCs w:val="15"/>
          <w:color w:val="231F20"/>
        </w:rPr>
        <w:t>The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 severance benefits were established following a review of comparable practices at the Company’s peer companies and with the advice of the Compensation Committee’s consultant.</w:t>
      </w:r>
    </w:p>
    <w:p>
      <w:pPr>
        <w:spacing w:after="0" w:line="140" w:lineRule="exact"/>
        <w:rPr>
          <w:sz w:val="20"/>
          <w:szCs w:val="20"/>
          <w:color w:val="auto"/>
        </w:rPr>
      </w:pPr>
    </w:p>
    <w:p>
      <w:pPr>
        <w:ind w:left="1300" w:right="1480"/>
        <w:spacing w:after="0" w:line="242" w:lineRule="auto"/>
        <w:rPr>
          <w:sz w:val="20"/>
          <w:szCs w:val="20"/>
          <w:color w:val="auto"/>
        </w:rPr>
      </w:pPr>
      <w:r>
        <w:rPr>
          <w:rFonts w:ascii="Arial" w:cs="Arial" w:eastAsia="Arial" w:hAnsi="Arial"/>
          <w:sz w:val="15"/>
          <w:szCs w:val="15"/>
          <w:color w:val="231F20"/>
        </w:rPr>
        <w:t>We have no pension, deferred compensation, or retirement plans applicable to our NEOs, other than our 401(k) Savings Plan described above.</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04C57"/>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96" w:lineRule="exact"/>
        <w:rPr>
          <w:sz w:val="20"/>
          <w:szCs w:val="20"/>
          <w:color w:val="auto"/>
        </w:rPr>
      </w:pPr>
    </w:p>
    <w:p>
      <w:pPr>
        <w:ind w:left="1300" w:right="1440"/>
        <w:spacing w:after="0" w:line="233" w:lineRule="auto"/>
        <w:rPr>
          <w:sz w:val="20"/>
          <w:szCs w:val="20"/>
          <w:color w:val="auto"/>
        </w:rPr>
      </w:pPr>
      <w:r>
        <w:rPr>
          <w:rFonts w:ascii="Arial" w:cs="Arial" w:eastAsia="Arial" w:hAnsi="Arial"/>
          <w:sz w:val="15"/>
          <w:szCs w:val="15"/>
          <w:color w:val="231F20"/>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spacing w:after="0" w:line="140" w:lineRule="exact"/>
        <w:rPr>
          <w:sz w:val="20"/>
          <w:szCs w:val="20"/>
          <w:color w:val="auto"/>
        </w:rPr>
      </w:pPr>
    </w:p>
    <w:p>
      <w:pPr>
        <w:ind w:left="1300" w:right="1400"/>
        <w:spacing w:after="0" w:line="233" w:lineRule="auto"/>
        <w:rPr>
          <w:sz w:val="20"/>
          <w:szCs w:val="20"/>
          <w:color w:val="auto"/>
        </w:rPr>
      </w:pPr>
      <w:r>
        <w:rPr>
          <w:rFonts w:ascii="Arial" w:cs="Arial" w:eastAsia="Arial" w:hAnsi="Arial"/>
          <w:sz w:val="15"/>
          <w:szCs w:val="15"/>
          <w:color w:val="231F20"/>
        </w:rPr>
        <w:t>We have determined the total compensation of our median employee (based on the 2019 annual total compensation of our employees, excluding Dr. Schleifer) to be $139,055. The total 2019 compensation of Dr. Schleifer, as reported in the Summary Compensation Table above, was $21,455,117. Accordingly, the ratio of the 2019 annual total compensation of Dr. Schleifer to the median of the 2019 annual total compensation of our employees was approximately 154 to 1.</w:t>
      </w:r>
    </w:p>
    <w:p>
      <w:pPr>
        <w:spacing w:after="0" w:line="140" w:lineRule="exact"/>
        <w:rPr>
          <w:sz w:val="20"/>
          <w:szCs w:val="20"/>
          <w:color w:val="auto"/>
        </w:rPr>
      </w:pPr>
    </w:p>
    <w:p>
      <w:pPr>
        <w:ind w:left="1300" w:right="1480"/>
        <w:spacing w:after="0" w:line="229" w:lineRule="auto"/>
        <w:rPr>
          <w:sz w:val="20"/>
          <w:szCs w:val="20"/>
          <w:color w:val="auto"/>
        </w:rPr>
      </w:pPr>
      <w:r>
        <w:rPr>
          <w:rFonts w:ascii="Arial" w:cs="Arial" w:eastAsia="Arial" w:hAnsi="Arial"/>
          <w:sz w:val="15"/>
          <w:szCs w:val="15"/>
          <w:color w:val="231F20"/>
        </w:rPr>
        <w:t>Consistent with our process for identifying the median employee for 2017 and 2018, for 2019 we identified the median employee as of December 31, 2019 by (i) aggregating for each applicable employee (a) annual base salary for salaried employees (or wages plus overtime, based on annual work schedule, for permanent hourly employees), (b) the annual cash incentive, and (c) the grant date fair value of any equity awards granted during 2019,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2019 average exchange rate.</w:t>
      </w:r>
    </w:p>
    <w:p>
      <w:pPr>
        <w:spacing w:after="0" w:line="144" w:lineRule="exact"/>
        <w:rPr>
          <w:sz w:val="20"/>
          <w:szCs w:val="20"/>
          <w:color w:val="auto"/>
        </w:rPr>
      </w:pPr>
    </w:p>
    <w:p>
      <w:pPr>
        <w:ind w:left="1300" w:right="1320"/>
        <w:spacing w:after="0" w:line="229" w:lineRule="auto"/>
        <w:rPr>
          <w:sz w:val="20"/>
          <w:szCs w:val="20"/>
          <w:color w:val="auto"/>
        </w:rPr>
      </w:pPr>
      <w:r>
        <w:rPr>
          <w:rFonts w:ascii="Arial" w:cs="Arial" w:eastAsia="Arial" w:hAnsi="Arial"/>
          <w:sz w:val="15"/>
          <w:szCs w:val="15"/>
          <w:color w:val="231F20"/>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85090</wp:posOffset>
            </wp:positionV>
            <wp:extent cx="771525" cy="1028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4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97</w:t>
            </w:r>
          </w:p>
        </w:tc>
      </w:tr>
      <w:tr>
        <w:trPr>
          <w:trHeight w:val="262"/>
        </w:trPr>
        <w:tc>
          <w:tcPr>
            <w:tcW w:w="8000" w:type="dxa"/>
            <w:vAlign w:val="bottom"/>
            <w:tcBorders>
              <w:bottom w:val="single" w:sz="8" w:color="C0C0C0"/>
            </w:tcBorders>
          </w:tcPr>
          <w:p>
            <w:pPr>
              <w:spacing w:after="0"/>
              <w:rPr>
                <w:sz w:val="22"/>
                <w:szCs w:val="22"/>
                <w:color w:val="auto"/>
              </w:rPr>
            </w:pPr>
          </w:p>
        </w:tc>
        <w:tc>
          <w:tcPr>
            <w:tcW w:w="32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90868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08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FFFFFF"/>
        </w:rPr>
        <w:t>PROPOSAL</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2"/>
          <w:szCs w:val="162"/>
          <w:b w:val="1"/>
          <w:bCs w:val="1"/>
          <w:color w:val="FFFFFF"/>
        </w:rPr>
        <w:t>03</w:t>
      </w:r>
    </w:p>
    <w:p>
      <w:pPr>
        <w:ind w:left="1260" w:right="999"/>
        <w:spacing w:after="0" w:line="244" w:lineRule="auto"/>
        <w:rPr>
          <w:sz w:val="20"/>
          <w:szCs w:val="20"/>
          <w:color w:val="auto"/>
        </w:rPr>
      </w:pPr>
      <w:r>
        <w:rPr>
          <w:rFonts w:ascii="Arial" w:cs="Arial" w:eastAsia="Arial" w:hAnsi="Arial"/>
          <w:sz w:val="53"/>
          <w:szCs w:val="53"/>
          <w:b w:val="1"/>
          <w:bCs w:val="1"/>
          <w:color w:val="FFFFFF"/>
        </w:rPr>
        <w:t>APPROVAL OF SECOND AMENDMENT AND RESTATEMENT OF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60" w:right="1819"/>
        <w:spacing w:after="0" w:line="261" w:lineRule="auto"/>
        <w:rPr>
          <w:sz w:val="20"/>
          <w:szCs w:val="20"/>
          <w:color w:val="auto"/>
        </w:rPr>
      </w:pPr>
      <w:r>
        <w:rPr>
          <w:rFonts w:ascii="Arial" w:cs="Arial" w:eastAsia="Arial" w:hAnsi="Arial"/>
          <w:sz w:val="23"/>
          <w:szCs w:val="23"/>
          <w:color w:val="FFFFFF"/>
        </w:rPr>
        <w:t xml:space="preserve">The Board of Directors Unanimously Recommends a Vote </w:t>
      </w:r>
      <w:r>
        <w:rPr>
          <w:rFonts w:ascii="Arial" w:cs="Arial" w:eastAsia="Arial" w:hAnsi="Arial"/>
          <w:sz w:val="23"/>
          <w:szCs w:val="23"/>
          <w:b w:val="1"/>
          <w:bCs w:val="1"/>
          <w:color w:val="FFFFFF"/>
        </w:rPr>
        <w:t>FOR</w:t>
      </w:r>
      <w:r>
        <w:rPr>
          <w:rFonts w:ascii="Arial" w:cs="Arial" w:eastAsia="Arial" w:hAnsi="Arial"/>
          <w:sz w:val="23"/>
          <w:szCs w:val="23"/>
          <w:color w:val="FFFFFF"/>
        </w:rPr>
        <w:t xml:space="preserve"> Approval of the Second Amended and Restated Regeneron Pharmaceuticals, Inc. 2014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tabs>
          <w:tab w:leader="none" w:pos="4060" w:val="left"/>
        </w:tabs>
        <w:rPr>
          <w:sz w:val="20"/>
          <w:szCs w:val="20"/>
          <w:color w:val="auto"/>
        </w:rPr>
      </w:pPr>
      <w:r>
        <w:rPr>
          <w:rFonts w:ascii="Arial" w:cs="Arial" w:eastAsia="Arial" w:hAnsi="Arial"/>
          <w:sz w:val="14"/>
          <w:szCs w:val="14"/>
          <w:b w:val="1"/>
          <w:bCs w:val="1"/>
          <w:color w:val="FFFFFF"/>
        </w:rPr>
        <w:t xml:space="preserve">98  </w:t>
      </w:r>
      <w:r>
        <w:rPr>
          <w:rFonts w:ascii="Arial" w:cs="Arial" w:eastAsia="Arial" w:hAnsi="Arial"/>
          <w:sz w:val="14"/>
          <w:szCs w:val="14"/>
          <w:color w:val="FFFFFF"/>
        </w:rPr>
        <w:t>/</w:t>
      </w:r>
      <w:r>
        <w:rPr>
          <w:sz w:val="20"/>
          <w:szCs w:val="20"/>
          <w:color w:val="auto"/>
        </w:rPr>
        <w:tab/>
      </w:r>
      <w:r>
        <w:rPr>
          <w:rFonts w:ascii="Arial" w:cs="Arial" w:eastAsia="Arial" w:hAnsi="Arial"/>
          <w:sz w:val="12"/>
          <w:szCs w:val="12"/>
          <w:b w:val="1"/>
          <w:bCs w:val="1"/>
          <w:color w:val="FFFFFF"/>
        </w:rPr>
        <w:t>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591820</wp:posOffset>
            </wp:positionV>
            <wp:extent cx="713232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ind w:left="1220"/>
        <w:spacing w:after="0"/>
        <w:rPr>
          <w:sz w:val="20"/>
          <w:szCs w:val="20"/>
          <w:color w:val="auto"/>
        </w:rPr>
      </w:pPr>
      <w:r>
        <w:rPr>
          <w:rFonts w:ascii="Arial" w:cs="Arial" w:eastAsia="Arial" w:hAnsi="Arial"/>
          <w:sz w:val="16"/>
          <w:szCs w:val="16"/>
          <w:b w:val="1"/>
          <w:bCs w:val="1"/>
          <w:color w:val="2952A4"/>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143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00" cy="8143875"/>
                    </a:xfrm>
                    <a:prstGeom prst="rect">
                      <a:avLst/>
                    </a:prstGeom>
                    <a:noFill/>
                  </pic:spPr>
                </pic:pic>
              </a:graphicData>
            </a:graphic>
          </wp:anchor>
        </w:drawing>
        <w:t>PROPOSAL 03: APPROVAL OF SECOND AMENDMENT AND RESTATEMENT OF LONG-TERM INCENTIVE PLAN</w:t>
      </w:r>
    </w:p>
    <w:p>
      <w:pPr>
        <w:sectPr>
          <w:pgSz w:w="11900" w:h="16838" w:orient="portrait"/>
          <w:cols w:equalWidth="0" w:num="1">
            <w:col w:w="11240"/>
          </w:cols>
          <w:pgMar w:left="320" w:top="823" w:right="339" w:bottom="1440" w:gutter="0" w:footer="0" w:header="0"/>
        </w:sectPr>
      </w:pPr>
    </w:p>
    <w:p>
      <w:pPr>
        <w:spacing w:after="0" w:line="348" w:lineRule="exact"/>
        <w:rPr>
          <w:sz w:val="20"/>
          <w:szCs w:val="20"/>
          <w:color w:val="auto"/>
        </w:rPr>
      </w:pPr>
    </w:p>
    <w:p>
      <w:pPr>
        <w:ind w:left="1480"/>
        <w:spacing w:after="0"/>
        <w:rPr>
          <w:sz w:val="20"/>
          <w:szCs w:val="20"/>
          <w:color w:val="auto"/>
        </w:rPr>
      </w:pPr>
      <w:r>
        <w:rPr>
          <w:rFonts w:ascii="Arial" w:cs="Arial" w:eastAsia="Arial" w:hAnsi="Arial"/>
          <w:sz w:val="29"/>
          <w:szCs w:val="29"/>
          <w:b w:val="1"/>
          <w:bCs w:val="1"/>
          <w:color w:val="C24D5C"/>
        </w:rPr>
        <w:t>INTRODUCTION</w:t>
      </w:r>
    </w:p>
    <w:p>
      <w:pPr>
        <w:spacing w:after="0" w:line="54" w:lineRule="exact"/>
        <w:rPr>
          <w:sz w:val="20"/>
          <w:szCs w:val="20"/>
          <w:color w:val="auto"/>
        </w:rPr>
      </w:pPr>
    </w:p>
    <w:p>
      <w:pPr>
        <w:ind w:left="1480" w:right="1540"/>
        <w:spacing w:after="0" w:line="226" w:lineRule="auto"/>
        <w:rPr>
          <w:sz w:val="20"/>
          <w:szCs w:val="20"/>
          <w:color w:val="auto"/>
        </w:rPr>
      </w:pPr>
      <w:r>
        <w:rPr>
          <w:rFonts w:ascii="Arial" w:cs="Arial" w:eastAsia="Arial" w:hAnsi="Arial"/>
          <w:sz w:val="15"/>
          <w:szCs w:val="15"/>
          <w:color w:val="231F20"/>
        </w:rPr>
        <w:t xml:space="preserve">It would be difficult to overstate the importance of this proposal to the Company and its core strategy. Using equity awards to motivate, reward, and retain all of our employees has been a key part of Regeneron’s strategy and compensation philosophy since the Company’s inception. We firmly believe that this compensation model, including the use of equity awards as a primary long-term employee incentive, directly supports Regeneron’s core strategy to create and advance a high-quality, internally developed product pipeline and has helped us establish a culture where employees focus on our mission and drug discovery and development. A primary underpinning of our pay philosophy is to award equity-based pay to </w:t>
      </w:r>
      <w:r>
        <w:rPr>
          <w:rFonts w:ascii="Arial" w:cs="Arial" w:eastAsia="Arial" w:hAnsi="Arial"/>
          <w:sz w:val="15"/>
          <w:szCs w:val="15"/>
          <w:u w:val="single" w:color="auto"/>
          <w:color w:val="231F20"/>
        </w:rPr>
        <w:t>all</w:t>
      </w:r>
      <w:r>
        <w:rPr>
          <w:rFonts w:ascii="Arial" w:cs="Arial" w:eastAsia="Arial" w:hAnsi="Arial"/>
          <w:sz w:val="15"/>
          <w:szCs w:val="15"/>
          <w:color w:val="231F20"/>
        </w:rPr>
        <w:t xml:space="preserve"> employees, not just senior executives, to ensure that when we deliver for patients and for shareholders, everyone shares in the potential upside growth. In each of the last five years, approximately 90% of the employee equity grants (both based on grant date fair value and number of underlying shares) were awarded to our employees other than our</w:t>
      </w:r>
    </w:p>
    <w:p>
      <w:pPr>
        <w:spacing w:after="0" w:line="6" w:lineRule="exact"/>
        <w:rPr>
          <w:sz w:val="20"/>
          <w:szCs w:val="20"/>
          <w:color w:val="auto"/>
        </w:rPr>
      </w:pPr>
    </w:p>
    <w:p>
      <w:pPr>
        <w:ind w:left="1480" w:right="1940"/>
        <w:spacing w:after="0" w:line="196" w:lineRule="auto"/>
        <w:rPr>
          <w:sz w:val="20"/>
          <w:szCs w:val="20"/>
          <w:color w:val="auto"/>
        </w:rPr>
      </w:pPr>
      <w:r>
        <w:rPr>
          <w:rFonts w:ascii="Arial" w:cs="Arial" w:eastAsia="Arial" w:hAnsi="Arial"/>
          <w:sz w:val="15"/>
          <w:szCs w:val="15"/>
          <w:color w:val="231F20"/>
        </w:rPr>
        <w:t>NEOs</w:t>
      </w:r>
      <w:r>
        <w:rPr>
          <w:rFonts w:ascii="Arial" w:cs="Arial" w:eastAsia="Arial" w:hAnsi="Arial"/>
          <w:sz w:val="25"/>
          <w:szCs w:val="25"/>
          <w:color w:val="231F20"/>
          <w:vertAlign w:val="superscript"/>
        </w:rPr>
        <w:t>12</w:t>
      </w:r>
      <w:r>
        <w:rPr>
          <w:rFonts w:ascii="Arial" w:cs="Arial" w:eastAsia="Arial" w:hAnsi="Arial"/>
          <w:sz w:val="15"/>
          <w:szCs w:val="15"/>
          <w:color w:val="231F20"/>
        </w:rPr>
        <w:t>. We believe that our broad-based equity program, which ensures that all employees can share in our future potential in the same way as executives, represents one of our competitive advantages.</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7"/>
          <w:szCs w:val="17"/>
          <w:b w:val="1"/>
          <w:bCs w:val="1"/>
          <w:color w:val="2952A4"/>
        </w:rPr>
        <w:t>Key Takeaways</w:t>
      </w:r>
    </w:p>
    <w:p>
      <w:pPr>
        <w:spacing w:after="0" w:line="178" w:lineRule="exact"/>
        <w:rPr>
          <w:sz w:val="20"/>
          <w:szCs w:val="20"/>
          <w:color w:val="auto"/>
        </w:rPr>
      </w:pPr>
    </w:p>
    <w:p>
      <w:pPr>
        <w:ind w:left="1920" w:right="1800" w:hanging="315"/>
        <w:spacing w:after="0" w:line="242" w:lineRule="auto"/>
        <w:tabs>
          <w:tab w:leader="none" w:pos="1920" w:val="left"/>
        </w:tabs>
        <w:numPr>
          <w:ilvl w:val="0"/>
          <w:numId w:val="206"/>
        </w:numPr>
        <w:rPr>
          <w:rFonts w:ascii="Arial" w:cs="Arial" w:eastAsia="Arial" w:hAnsi="Arial"/>
          <w:sz w:val="15"/>
          <w:szCs w:val="15"/>
          <w:b w:val="1"/>
          <w:bCs w:val="1"/>
          <w:color w:val="2952A4"/>
        </w:rPr>
      </w:pPr>
      <w:r>
        <w:rPr>
          <w:rFonts w:ascii="Arial" w:cs="Arial" w:eastAsia="Arial" w:hAnsi="Arial"/>
          <w:sz w:val="15"/>
          <w:szCs w:val="15"/>
          <w:color w:val="231F20"/>
        </w:rPr>
        <w:t>Our equity compensation program supports all of our employees, not just our NEOs, with approximately 90% of recent annual equity grants awarded to employees other than our NEOs.</w:t>
      </w:r>
    </w:p>
    <w:p>
      <w:pPr>
        <w:spacing w:after="0" w:line="138" w:lineRule="exact"/>
        <w:rPr>
          <w:sz w:val="20"/>
          <w:szCs w:val="20"/>
          <w:color w:val="auto"/>
        </w:rPr>
      </w:pPr>
    </w:p>
    <w:p>
      <w:pPr>
        <w:ind w:left="1920" w:right="2040" w:hanging="315"/>
        <w:spacing w:after="0" w:line="242" w:lineRule="auto"/>
        <w:tabs>
          <w:tab w:leader="none" w:pos="1920" w:val="left"/>
        </w:tabs>
        <w:numPr>
          <w:ilvl w:val="0"/>
          <w:numId w:val="207"/>
        </w:numPr>
        <w:rPr>
          <w:rFonts w:ascii="Arial" w:cs="Arial" w:eastAsia="Arial" w:hAnsi="Arial"/>
          <w:sz w:val="15"/>
          <w:szCs w:val="15"/>
          <w:b w:val="1"/>
          <w:bCs w:val="1"/>
          <w:color w:val="2952A4"/>
        </w:rPr>
      </w:pPr>
      <w:r>
        <w:rPr>
          <w:rFonts w:ascii="Arial" w:cs="Arial" w:eastAsia="Arial" w:hAnsi="Arial"/>
          <w:sz w:val="15"/>
          <w:szCs w:val="15"/>
          <w:color w:val="231F20"/>
        </w:rPr>
        <w:t>We granted PSUs to our CEO and CSO as a component of their 2019 annual equity awards. This and other carefully calibrated changes to our compensation program were based on investor feedback.</w:t>
      </w:r>
    </w:p>
    <w:p>
      <w:pPr>
        <w:spacing w:after="0" w:line="138" w:lineRule="exact"/>
        <w:rPr>
          <w:sz w:val="20"/>
          <w:szCs w:val="20"/>
          <w:color w:val="auto"/>
        </w:rPr>
      </w:pPr>
    </w:p>
    <w:p>
      <w:pPr>
        <w:ind w:left="1920" w:right="2120" w:hanging="315"/>
        <w:spacing w:after="0" w:line="242" w:lineRule="auto"/>
        <w:tabs>
          <w:tab w:leader="none" w:pos="1920" w:val="left"/>
        </w:tabs>
        <w:numPr>
          <w:ilvl w:val="0"/>
          <w:numId w:val="208"/>
        </w:numPr>
        <w:rPr>
          <w:rFonts w:ascii="Arial" w:cs="Arial" w:eastAsia="Arial" w:hAnsi="Arial"/>
          <w:sz w:val="15"/>
          <w:szCs w:val="15"/>
          <w:b w:val="1"/>
          <w:bCs w:val="1"/>
          <w:color w:val="2952A4"/>
        </w:rPr>
      </w:pPr>
      <w:r>
        <w:rPr>
          <w:rFonts w:ascii="Arial" w:cs="Arial" w:eastAsia="Arial" w:hAnsi="Arial"/>
          <w:sz w:val="15"/>
          <w:szCs w:val="15"/>
          <w:color w:val="231F20"/>
        </w:rPr>
        <w:t>Our 2019 burn rate was at the lowest level in the last seven years due to specific steps we took to manage dilution from equity compensation.</w:t>
      </w:r>
    </w:p>
    <w:p>
      <w:pPr>
        <w:spacing w:after="0" w:line="138" w:lineRule="exact"/>
        <w:rPr>
          <w:sz w:val="20"/>
          <w:szCs w:val="20"/>
          <w:color w:val="auto"/>
        </w:rPr>
      </w:pPr>
    </w:p>
    <w:p>
      <w:pPr>
        <w:ind w:left="1920" w:right="2080" w:hanging="315"/>
        <w:spacing w:after="0" w:line="235" w:lineRule="auto"/>
        <w:tabs>
          <w:tab w:leader="none" w:pos="1920" w:val="left"/>
        </w:tabs>
        <w:numPr>
          <w:ilvl w:val="0"/>
          <w:numId w:val="209"/>
        </w:numPr>
        <w:rPr>
          <w:rFonts w:ascii="Arial" w:cs="Arial" w:eastAsia="Arial" w:hAnsi="Arial"/>
          <w:sz w:val="15"/>
          <w:szCs w:val="15"/>
          <w:b w:val="1"/>
          <w:bCs w:val="1"/>
          <w:color w:val="2952A4"/>
        </w:rPr>
      </w:pPr>
      <w:r>
        <w:rPr>
          <w:rFonts w:ascii="Arial" w:cs="Arial" w:eastAsia="Arial" w:hAnsi="Arial"/>
          <w:sz w:val="15"/>
          <w:szCs w:val="15"/>
          <w:color w:val="231F20"/>
        </w:rPr>
        <w:t>We are asking our shareholders to approve the same number of shares for equity grants that we requested previously and are committed to ensuring that shares available under our long-term incentive plan will be sufficient for at least three years.</w:t>
      </w:r>
    </w:p>
    <w:p>
      <w:pPr>
        <w:spacing w:after="0" w:line="141" w:lineRule="exact"/>
        <w:rPr>
          <w:sz w:val="20"/>
          <w:szCs w:val="20"/>
          <w:color w:val="auto"/>
        </w:rPr>
      </w:pPr>
    </w:p>
    <w:p>
      <w:pPr>
        <w:ind w:left="1920" w:right="1860" w:hanging="315"/>
        <w:spacing w:after="0" w:line="235" w:lineRule="auto"/>
        <w:tabs>
          <w:tab w:leader="none" w:pos="1920" w:val="left"/>
        </w:tabs>
        <w:numPr>
          <w:ilvl w:val="0"/>
          <w:numId w:val="210"/>
        </w:numPr>
        <w:rPr>
          <w:rFonts w:ascii="Arial" w:cs="Arial" w:eastAsia="Arial" w:hAnsi="Arial"/>
          <w:sz w:val="15"/>
          <w:szCs w:val="15"/>
          <w:b w:val="1"/>
          <w:bCs w:val="1"/>
          <w:color w:val="2952A4"/>
        </w:rPr>
      </w:pPr>
      <w:r>
        <w:rPr>
          <w:rFonts w:ascii="Arial" w:cs="Arial" w:eastAsia="Arial" w:hAnsi="Arial"/>
          <w:sz w:val="15"/>
          <w:szCs w:val="15"/>
          <w:color w:val="231F20"/>
        </w:rPr>
        <w:t>Our compensation model underpins our strategy of creating and advancing a high-quality, internally developed product pipeline, which delivered six important medicines and eight additional key indications for these products in the past decade.</w:t>
      </w:r>
    </w:p>
    <w:p>
      <w:pPr>
        <w:spacing w:after="0" w:line="263" w:lineRule="exact"/>
        <w:rPr>
          <w:sz w:val="20"/>
          <w:szCs w:val="20"/>
          <w:color w:val="auto"/>
        </w:rPr>
      </w:pPr>
    </w:p>
    <w:p>
      <w:pPr>
        <w:ind w:left="1480" w:right="1580"/>
        <w:spacing w:after="0" w:line="242" w:lineRule="auto"/>
        <w:rPr>
          <w:sz w:val="20"/>
          <w:szCs w:val="20"/>
          <w:color w:val="auto"/>
        </w:rPr>
      </w:pPr>
      <w:r>
        <w:rPr>
          <w:rFonts w:ascii="Arial" w:cs="Arial" w:eastAsia="Arial" w:hAnsi="Arial"/>
          <w:sz w:val="15"/>
          <w:szCs w:val="15"/>
          <w:color w:val="231F20"/>
        </w:rPr>
        <w:t>A breakdown of employee equity grants in 2019 (when approximately 92% of such grants were awarded to non-NEOs) is provided below.</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D41B5D"/>
        </w:rPr>
        <w:t>2019 Employee Equity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80" w:right="1640"/>
        <w:spacing w:after="0" w:line="227" w:lineRule="auto"/>
        <w:rPr>
          <w:sz w:val="20"/>
          <w:szCs w:val="20"/>
          <w:color w:val="auto"/>
        </w:rPr>
      </w:pPr>
      <w:r>
        <w:rPr>
          <w:rFonts w:ascii="Arial" w:cs="Arial" w:eastAsia="Arial" w:hAnsi="Arial"/>
          <w:sz w:val="15"/>
          <w:szCs w:val="15"/>
          <w:color w:val="231F20"/>
        </w:rPr>
        <w:t>We will not be able to execute our strategy without shareholder support of our equity compensation plans and this proposal. We are making this request after a rigorous assessment of our strategy and goals and after taking affirmative steps to manage our burn rate and dilution without compromising our all-employee equity compensation model. These steps include a significant reduction in the number of shares underlying the annual equity awards of our eligible employees, including our CEO, by nearly 60% between 2012 and 2019; and the addition of full-value awards (RSAs and RSUs) to the annual long-term incentive mix for our employees and thereby reducing the number of shares required for</w:t>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5"/>
          <w:szCs w:val="15"/>
          <w:color w:val="231F20"/>
        </w:rPr>
        <w:t>these awards. The results of these efforts are illustrated by the chart below.</w:t>
      </w:r>
      <w:r>
        <w:rPr>
          <w:rFonts w:ascii="Arial" w:cs="Arial" w:eastAsia="Arial" w:hAnsi="Arial"/>
          <w:sz w:val="25"/>
          <w:szCs w:val="25"/>
          <w:color w:val="231F20"/>
          <w:vertAlign w:val="superscript"/>
        </w:rPr>
        <w:t>13</w:t>
      </w:r>
    </w:p>
    <w:p>
      <w:pPr>
        <w:spacing w:after="0" w:line="166" w:lineRule="exact"/>
        <w:rPr>
          <w:sz w:val="20"/>
          <w:szCs w:val="20"/>
          <w:color w:val="auto"/>
        </w:rPr>
      </w:pPr>
    </w:p>
    <w:p>
      <w:pPr>
        <w:ind w:left="1660" w:right="2020" w:hanging="174"/>
        <w:spacing w:after="0" w:line="285" w:lineRule="auto"/>
        <w:rPr>
          <w:sz w:val="20"/>
          <w:szCs w:val="20"/>
          <w:color w:val="auto"/>
        </w:rPr>
      </w:pPr>
      <w:r>
        <w:rPr>
          <w:rFonts w:ascii="Arial" w:cs="Arial" w:eastAsia="Arial" w:hAnsi="Arial"/>
          <w:sz w:val="14"/>
          <w:szCs w:val="14"/>
          <w:b w:val="1"/>
          <w:bCs w:val="1"/>
          <w:color w:val="2952A4"/>
        </w:rPr>
        <w:t>12</w:t>
      </w:r>
      <w:r>
        <w:rPr>
          <w:rFonts w:ascii="Arial" w:cs="Arial" w:eastAsia="Arial" w:hAnsi="Arial"/>
          <w:sz w:val="14"/>
          <w:szCs w:val="14"/>
          <w:color w:val="231F20"/>
        </w:rPr>
        <w:t>See the list of our “Named Executive Officers” or “NEOs” in the “Compensation Discussion and Analysis” section of this</w:t>
      </w:r>
      <w:r>
        <w:rPr>
          <w:rFonts w:ascii="Arial" w:cs="Arial" w:eastAsia="Arial" w:hAnsi="Arial"/>
          <w:sz w:val="14"/>
          <w:szCs w:val="14"/>
          <w:b w:val="1"/>
          <w:bCs w:val="1"/>
          <w:color w:val="2952A4"/>
        </w:rPr>
        <w:t xml:space="preserve"> </w:t>
      </w:r>
      <w:r>
        <w:rPr>
          <w:rFonts w:ascii="Arial" w:cs="Arial" w:eastAsia="Arial" w:hAnsi="Arial"/>
          <w:sz w:val="14"/>
          <w:szCs w:val="14"/>
          <w:color w:val="231F20"/>
        </w:rPr>
        <w:t>proxy statement.</w:t>
      </w:r>
    </w:p>
    <w:p>
      <w:pPr>
        <w:spacing w:after="0" w:line="3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2952A4"/>
        </w:rPr>
        <w:t>13</w:t>
      </w:r>
      <w:r>
        <w:rPr>
          <w:rFonts w:ascii="Arial" w:cs="Arial" w:eastAsia="Arial" w:hAnsi="Arial"/>
          <w:sz w:val="14"/>
          <w:szCs w:val="14"/>
          <w:color w:val="231F20"/>
        </w:rPr>
        <w:t>Further information regarding our burn rate is provided in the subsection “Key Equity Metrics”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20" w:type="dxa"/>
            <w:vAlign w:val="bottom"/>
          </w:tcPr>
          <w:p>
            <w:pPr>
              <w:jc w:val="right"/>
              <w:ind w:right="10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99</w:t>
            </w:r>
          </w:p>
        </w:tc>
      </w:tr>
      <w:tr>
        <w:trPr>
          <w:trHeight w:val="451"/>
        </w:trPr>
        <w:tc>
          <w:tcPr>
            <w:tcW w:w="8020" w:type="dxa"/>
            <w:vAlign w:val="bottom"/>
            <w:tcBorders>
              <w:bottom w:val="single" w:sz="8" w:color="C0C0C0"/>
            </w:tcBorders>
          </w:tcPr>
          <w:p>
            <w:pPr>
              <w:spacing w:after="0"/>
              <w:rPr>
                <w:sz w:val="24"/>
                <w:szCs w:val="24"/>
                <w:color w:val="auto"/>
              </w:rPr>
            </w:pPr>
          </w:p>
        </w:tc>
        <w:tc>
          <w:tcPr>
            <w:tcW w:w="32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111" w:name="page112"/>
    <w:bookmarkEnd w:id="111"/>
    <w:p>
      <w:pPr>
        <w:ind w:left="360"/>
        <w:spacing w:after="0"/>
        <w:rPr>
          <w:sz w:val="20"/>
          <w:szCs w:val="20"/>
          <w:color w:val="auto"/>
        </w:rPr>
      </w:pPr>
      <w:r>
        <w:rPr>
          <w:rFonts w:ascii="Arial" w:cs="Arial" w:eastAsia="Arial" w:hAnsi="Arial"/>
          <w:sz w:val="16"/>
          <w:szCs w:val="16"/>
          <w:b w:val="1"/>
          <w:bCs w:val="1"/>
          <w:color w:val="2952A4"/>
        </w:rPr>
        <w:t>PROPOSAL 03: APPROVAL OF SECOND AMENDMENT AND RESTATEMENT OF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17659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00" cy="1765935"/>
                    </a:xfrm>
                    <a:prstGeom prst="rect">
                      <a:avLst/>
                    </a:prstGeom>
                    <a:noFill/>
                  </pic:spPr>
                </pic:pic>
              </a:graphicData>
            </a:graphic>
          </wp:anchor>
        </w:drawing>
      </w:r>
    </w:p>
    <w:p>
      <w:pPr>
        <w:spacing w:after="0" w:line="265"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D41B5D"/>
        </w:rPr>
        <w:t>Regeneron Stock Utilization vs.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1659255</wp:posOffset>
            </wp:positionV>
            <wp:extent cx="51435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0" w:right="599" w:hanging="236"/>
        <w:spacing w:after="0" w:line="245" w:lineRule="auto"/>
        <w:tabs>
          <w:tab w:leader="none" w:pos="600" w:val="left"/>
        </w:tabs>
        <w:numPr>
          <w:ilvl w:val="0"/>
          <w:numId w:val="211"/>
        </w:numPr>
        <w:rPr>
          <w:rFonts w:ascii="Arial" w:cs="Arial" w:eastAsia="Arial" w:hAnsi="Arial"/>
          <w:sz w:val="14"/>
          <w:szCs w:val="14"/>
          <w:color w:val="231F20"/>
        </w:rPr>
      </w:pPr>
      <w:r>
        <w:rPr>
          <w:rFonts w:ascii="Arial" w:cs="Arial" w:eastAsia="Arial" w:hAnsi="Arial"/>
          <w:sz w:val="14"/>
          <w:szCs w:val="14"/>
          <w:color w:val="231F20"/>
        </w:rPr>
        <w:t>Burn rate calculated by dividing the number of shares subject to equity awards (stock options, RSAs, and RSUs) granted during the year by the basic weighted-average number of shares of common stock and Class A stock outstanding during the year. PSUs are to be reflected in the burn rate calculation for the year in which they are earned and, therefore, do not impact the burn rate shown in the chart. Headcount numbers based on the number of employees as of December 31 of the applicable year.</w:t>
      </w:r>
    </w:p>
    <w:p>
      <w:pPr>
        <w:spacing w:after="0" w:line="142" w:lineRule="exact"/>
        <w:rPr>
          <w:sz w:val="20"/>
          <w:szCs w:val="20"/>
          <w:color w:val="auto"/>
        </w:rPr>
      </w:pPr>
    </w:p>
    <w:p>
      <w:pPr>
        <w:ind w:left="360" w:right="379"/>
        <w:spacing w:after="0" w:line="228" w:lineRule="auto"/>
        <w:rPr>
          <w:sz w:val="20"/>
          <w:szCs w:val="20"/>
          <w:color w:val="auto"/>
        </w:rPr>
      </w:pPr>
      <w:r>
        <w:rPr>
          <w:rFonts w:ascii="Arial" w:cs="Arial" w:eastAsia="Arial" w:hAnsi="Arial"/>
          <w:sz w:val="15"/>
          <w:szCs w:val="15"/>
          <w:color w:val="231F20"/>
        </w:rPr>
        <w:t>In the last decade, we sought shareholder approval of additional shares for our long-term incentive plans three times: 2011, 2014, and 2017. Each time, we requested the same number of shares – 12 million – and lived up to our commitment not to seek additional shares earlier than three years following approval. We have been able to keep the same size of share requests while maintaining our all-employee equity compensation model and increasing the number of our employees to support our growth (by almost 700% in the last 10 years) because we took the steps to manage our burn rate and dilution discussed above. Once again, we are asking shareholders to approve 12 million additional shares for equity grants and are committed to ensuring that these additional shares (together with the shares currently available under the Current Plan or that may otherwise become available under the New Plan (each as defined below)) will satisfy the Company’s compensation and recruiting needs for no less than three years.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5"/>
          <w:szCs w:val="15"/>
          <w:color w:val="231F20"/>
        </w:rPr>
        <w:t>Our pay philosophy and equity compensation strategy are discussed further in the CD&amp;A section of this proxy statement.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5"/>
          <w:szCs w:val="15"/>
          <w:color w:val="231F20"/>
        </w:rPr>
        <w:t>We appreciate your support of this important proposal.</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C24D5C"/>
        </w:rPr>
        <w:t>SUMMARY OF PROPOSAL AND KEY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526351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72" w:lineRule="exact"/>
        <w:rPr>
          <w:sz w:val="20"/>
          <w:szCs w:val="20"/>
          <w:color w:val="auto"/>
        </w:rPr>
      </w:pPr>
    </w:p>
    <w:p>
      <w:pPr>
        <w:ind w:left="360" w:right="419"/>
        <w:spacing w:after="0" w:line="229" w:lineRule="auto"/>
        <w:rPr>
          <w:sz w:val="20"/>
          <w:szCs w:val="20"/>
          <w:color w:val="auto"/>
        </w:rPr>
      </w:pPr>
      <w:r>
        <w:rPr>
          <w:rFonts w:ascii="Arial" w:cs="Arial" w:eastAsia="Arial" w:hAnsi="Arial"/>
          <w:sz w:val="15"/>
          <w:szCs w:val="15"/>
          <w:color w:val="231F20"/>
        </w:rPr>
        <w:t>We currently use one equity incentive plan—the Amended and Restated Regeneron Pharmaceuticals, Inc. 2014 Long-Term Incentive Plan (the “Current Plan”)—to grant equity awards to our directors, executive officers, and other employees. The Current Plan was approved by our shareholders in 2017; it amended and restated the equity incentive plan that was approved by our shareholders in 2014. On April 3, 2020, the board of directors, upon the recommendation of the Compensation Committee (made following the Committee’s consultation with its independent compensation consultant), and subject to shareholder approval, adopted the Second Amended and Restated Regeneron Pharmaceuticals, Inc. 2014 Long-Term Incentive Plan in the form attached as Appendix B to this proxy statement, which amends and restates the Current Plan (the “New Plan”). Among other things, the New Plan:</w:t>
      </w:r>
    </w:p>
    <w:p>
      <w:pPr>
        <w:spacing w:after="0" w:line="141" w:lineRule="exact"/>
        <w:rPr>
          <w:sz w:val="20"/>
          <w:szCs w:val="20"/>
          <w:color w:val="auto"/>
        </w:rPr>
      </w:pPr>
    </w:p>
    <w:p>
      <w:pPr>
        <w:ind w:left="600" w:hanging="236"/>
        <w:spacing w:after="0"/>
        <w:tabs>
          <w:tab w:leader="none" w:pos="600" w:val="left"/>
        </w:tabs>
        <w:numPr>
          <w:ilvl w:val="0"/>
          <w:numId w:val="212"/>
        </w:numPr>
        <w:rPr>
          <w:rFonts w:ascii="Arial" w:cs="Arial" w:eastAsia="Arial" w:hAnsi="Arial"/>
          <w:sz w:val="15"/>
          <w:szCs w:val="15"/>
          <w:color w:val="2952A4"/>
        </w:rPr>
      </w:pPr>
      <w:r>
        <w:rPr>
          <w:rFonts w:ascii="Arial" w:cs="Arial" w:eastAsia="Arial" w:hAnsi="Arial"/>
          <w:sz w:val="15"/>
          <w:szCs w:val="15"/>
          <w:color w:val="231F20"/>
        </w:rPr>
        <w:t>increases the number of shares of our common stock available for issuance thereunder by 12 million;</w:t>
      </w:r>
    </w:p>
    <w:p>
      <w:pPr>
        <w:spacing w:after="0" w:line="151" w:lineRule="exact"/>
        <w:rPr>
          <w:rFonts w:ascii="Arial" w:cs="Arial" w:eastAsia="Arial" w:hAnsi="Arial"/>
          <w:sz w:val="15"/>
          <w:szCs w:val="15"/>
          <w:color w:val="2952A4"/>
        </w:rPr>
      </w:pPr>
    </w:p>
    <w:p>
      <w:pPr>
        <w:ind w:left="600" w:hanging="236"/>
        <w:spacing w:after="0"/>
        <w:tabs>
          <w:tab w:leader="none" w:pos="600" w:val="left"/>
        </w:tabs>
        <w:numPr>
          <w:ilvl w:val="0"/>
          <w:numId w:val="212"/>
        </w:numPr>
        <w:rPr>
          <w:rFonts w:ascii="Arial" w:cs="Arial" w:eastAsia="Arial" w:hAnsi="Arial"/>
          <w:sz w:val="15"/>
          <w:szCs w:val="15"/>
          <w:color w:val="2952A4"/>
        </w:rPr>
      </w:pPr>
      <w:r>
        <w:rPr>
          <w:rFonts w:ascii="Arial" w:cs="Arial" w:eastAsia="Arial" w:hAnsi="Arial"/>
          <w:sz w:val="15"/>
          <w:szCs w:val="15"/>
          <w:color w:val="231F20"/>
        </w:rPr>
        <w:t>extends the period during which awards can be granted to 2030; and</w:t>
      </w:r>
    </w:p>
    <w:p>
      <w:pPr>
        <w:spacing w:after="0" w:line="151" w:lineRule="exact"/>
        <w:rPr>
          <w:rFonts w:ascii="Arial" w:cs="Arial" w:eastAsia="Arial" w:hAnsi="Arial"/>
          <w:sz w:val="15"/>
          <w:szCs w:val="15"/>
          <w:color w:val="2952A4"/>
        </w:rPr>
      </w:pPr>
    </w:p>
    <w:p>
      <w:pPr>
        <w:ind w:left="600" w:right="619" w:hanging="236"/>
        <w:spacing w:after="0" w:line="242" w:lineRule="auto"/>
        <w:tabs>
          <w:tab w:leader="none" w:pos="600" w:val="left"/>
        </w:tabs>
        <w:numPr>
          <w:ilvl w:val="0"/>
          <w:numId w:val="212"/>
        </w:numPr>
        <w:rPr>
          <w:rFonts w:ascii="Arial" w:cs="Arial" w:eastAsia="Arial" w:hAnsi="Arial"/>
          <w:sz w:val="15"/>
          <w:szCs w:val="15"/>
          <w:color w:val="2952A4"/>
        </w:rPr>
      </w:pPr>
      <w:r>
        <w:rPr>
          <w:rFonts w:ascii="Arial" w:cs="Arial" w:eastAsia="Arial" w:hAnsi="Arial"/>
          <w:sz w:val="15"/>
          <w:szCs w:val="15"/>
          <w:color w:val="231F20"/>
        </w:rPr>
        <w:t>incorporates new annual limits on the equity awards to our non-employee directors and the current Chairman of the Board as required by the Settlement (as defined and described below).</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A5EC"/>
        </w:rPr>
        <w:t xml:space="preserve">100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281305</wp:posOffset>
            </wp:positionV>
            <wp:extent cx="713232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12" w:name="page113"/>
    <w:bookmarkEnd w:id="112"/>
    <w:p>
      <w:pPr>
        <w:ind w:left="1220"/>
        <w:spacing w:after="0"/>
        <w:rPr>
          <w:sz w:val="20"/>
          <w:szCs w:val="20"/>
          <w:color w:val="auto"/>
        </w:rPr>
      </w:pPr>
      <w:r>
        <w:rPr>
          <w:rFonts w:ascii="Arial" w:cs="Arial" w:eastAsia="Arial" w:hAnsi="Arial"/>
          <w:sz w:val="16"/>
          <w:szCs w:val="16"/>
          <w:b w:val="1"/>
          <w:bCs w:val="1"/>
          <w:color w:val="2952A4"/>
        </w:rPr>
        <w:t>PROPOSAL 03: APPROVAL OF SECOND AMENDMENT AND RESTATEMENT OF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05" w:lineRule="exact"/>
        <w:rPr>
          <w:sz w:val="20"/>
          <w:szCs w:val="20"/>
          <w:color w:val="auto"/>
        </w:rPr>
      </w:pPr>
    </w:p>
    <w:p>
      <w:pPr>
        <w:ind w:left="1480" w:right="1900"/>
        <w:spacing w:after="0" w:line="254" w:lineRule="auto"/>
        <w:rPr>
          <w:sz w:val="20"/>
          <w:szCs w:val="20"/>
          <w:color w:val="auto"/>
        </w:rPr>
      </w:pPr>
      <w:r>
        <w:rPr>
          <w:rFonts w:ascii="Arial" w:cs="Arial" w:eastAsia="Arial" w:hAnsi="Arial"/>
          <w:sz w:val="29"/>
          <w:szCs w:val="29"/>
          <w:b w:val="1"/>
          <w:bCs w:val="1"/>
          <w:color w:val="C24D5C"/>
        </w:rPr>
        <w:t>CORPORATE GOVERNANCE ASPECTS OF THE SECOND AMENDED AND RESTATED REGENERON PHARMACEUTICALS, INC. 2014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-13335</wp:posOffset>
            </wp:positionV>
            <wp:extent cx="52635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130" w:lineRule="exact"/>
        <w:rPr>
          <w:sz w:val="20"/>
          <w:szCs w:val="20"/>
          <w:color w:val="auto"/>
        </w:rPr>
      </w:pPr>
    </w:p>
    <w:p>
      <w:pPr>
        <w:ind w:left="1480" w:right="1680"/>
        <w:spacing w:after="0" w:line="235" w:lineRule="auto"/>
        <w:rPr>
          <w:sz w:val="20"/>
          <w:szCs w:val="20"/>
          <w:color w:val="auto"/>
        </w:rPr>
      </w:pPr>
      <w:r>
        <w:rPr>
          <w:rFonts w:ascii="Arial" w:cs="Arial" w:eastAsia="Arial" w:hAnsi="Arial"/>
          <w:sz w:val="15"/>
          <w:szCs w:val="15"/>
          <w:color w:val="231F20"/>
        </w:rPr>
        <w:t>Similar to the Current Plan, the New Plan was designed to promote best practices by reinforcing the alignment between equity compensation arrangements for employees and non-employee directors and the interests of shareholders. The provisions that promote such best practices include:</w:t>
      </w:r>
    </w:p>
    <w:p>
      <w:pPr>
        <w:spacing w:after="0" w:line="187" w:lineRule="exact"/>
        <w:rPr>
          <w:sz w:val="20"/>
          <w:szCs w:val="20"/>
          <w:color w:val="auto"/>
        </w:rPr>
      </w:pPr>
    </w:p>
    <w:tbl>
      <w:tblPr>
        <w:tblLayout w:type="fixed"/>
        <w:tblInd w:w="1480" w:type="dxa"/>
        <w:tblCellMar>
          <w:top w:w="0" w:type="dxa"/>
          <w:left w:w="0" w:type="dxa"/>
          <w:bottom w:w="0" w:type="dxa"/>
          <w:right w:w="0" w:type="dxa"/>
        </w:tblCellMar>
      </w:tblPr>
      <w:tr>
        <w:trPr>
          <w:trHeight w:val="154"/>
        </w:trPr>
        <w:tc>
          <w:tcPr>
            <w:tcW w:w="1780" w:type="dxa"/>
            <w:vAlign w:val="bottom"/>
          </w:tcPr>
          <w:p>
            <w:pPr>
              <w:ind w:left="60"/>
              <w:spacing w:after="0"/>
              <w:rPr>
                <w:sz w:val="20"/>
                <w:szCs w:val="20"/>
                <w:color w:val="auto"/>
              </w:rPr>
            </w:pPr>
            <w:r>
              <w:rPr>
                <w:rFonts w:ascii="Arial" w:cs="Arial" w:eastAsia="Arial" w:hAnsi="Arial"/>
                <w:sz w:val="12"/>
                <w:szCs w:val="12"/>
                <w:b w:val="1"/>
                <w:bCs w:val="1"/>
                <w:color w:val="2952A4"/>
              </w:rPr>
              <w:t>Provision</w:t>
            </w:r>
          </w:p>
        </w:tc>
        <w:tc>
          <w:tcPr>
            <w:tcW w:w="6320" w:type="dxa"/>
            <w:vAlign w:val="bottom"/>
          </w:tcPr>
          <w:p>
            <w:pPr>
              <w:ind w:left="60"/>
              <w:spacing w:after="0"/>
              <w:rPr>
                <w:sz w:val="20"/>
                <w:szCs w:val="20"/>
                <w:color w:val="auto"/>
              </w:rPr>
            </w:pPr>
            <w:r>
              <w:rPr>
                <w:rFonts w:ascii="Arial" w:cs="Arial" w:eastAsia="Arial" w:hAnsi="Arial"/>
                <w:sz w:val="12"/>
                <w:szCs w:val="12"/>
                <w:b w:val="1"/>
                <w:bCs w:val="1"/>
                <w:color w:val="2952A4"/>
              </w:rPr>
              <w:t>Description</w:t>
            </w:r>
          </w:p>
        </w:tc>
      </w:tr>
      <w:tr>
        <w:trPr>
          <w:trHeight w:val="47"/>
        </w:trPr>
        <w:tc>
          <w:tcPr>
            <w:tcW w:w="1780" w:type="dxa"/>
            <w:vAlign w:val="bottom"/>
            <w:tcBorders>
              <w:bottom w:val="single" w:sz="8" w:color="2952A4"/>
            </w:tcBorders>
          </w:tcPr>
          <w:p>
            <w:pPr>
              <w:spacing w:after="0"/>
              <w:rPr>
                <w:sz w:val="4"/>
                <w:szCs w:val="4"/>
                <w:color w:val="auto"/>
              </w:rPr>
            </w:pPr>
          </w:p>
        </w:tc>
        <w:tc>
          <w:tcPr>
            <w:tcW w:w="6320" w:type="dxa"/>
            <w:vAlign w:val="bottom"/>
            <w:tcBorders>
              <w:bottom w:val="single" w:sz="8" w:color="2952A4"/>
            </w:tcBorders>
          </w:tcPr>
          <w:p>
            <w:pPr>
              <w:spacing w:after="0"/>
              <w:rPr>
                <w:sz w:val="4"/>
                <w:szCs w:val="4"/>
                <w:color w:val="auto"/>
              </w:rPr>
            </w:pPr>
          </w:p>
        </w:tc>
      </w:tr>
      <w:tr>
        <w:trPr>
          <w:trHeight w:val="179"/>
        </w:trPr>
        <w:tc>
          <w:tcPr>
            <w:tcW w:w="1780" w:type="dxa"/>
            <w:vAlign w:val="bottom"/>
          </w:tcPr>
          <w:p>
            <w:pPr>
              <w:ind w:left="60"/>
              <w:spacing w:after="0"/>
              <w:rPr>
                <w:sz w:val="20"/>
                <w:szCs w:val="20"/>
                <w:color w:val="auto"/>
              </w:rPr>
            </w:pPr>
            <w:r>
              <w:rPr>
                <w:rFonts w:ascii="Arial" w:cs="Arial" w:eastAsia="Arial" w:hAnsi="Arial"/>
                <w:sz w:val="13"/>
                <w:szCs w:val="13"/>
                <w:b w:val="1"/>
                <w:bCs w:val="1"/>
                <w:color w:val="231F20"/>
              </w:rPr>
              <w:t>No Discounted Stock</w:t>
            </w:r>
          </w:p>
        </w:tc>
        <w:tc>
          <w:tcPr>
            <w:tcW w:w="6320" w:type="dxa"/>
            <w:vAlign w:val="bottom"/>
          </w:tcPr>
          <w:p>
            <w:pPr>
              <w:ind w:left="60"/>
              <w:spacing w:after="0"/>
              <w:rPr>
                <w:sz w:val="20"/>
                <w:szCs w:val="20"/>
                <w:color w:val="auto"/>
              </w:rPr>
            </w:pPr>
            <w:r>
              <w:rPr>
                <w:rFonts w:ascii="Arial" w:cs="Arial" w:eastAsia="Arial" w:hAnsi="Arial"/>
                <w:sz w:val="13"/>
                <w:szCs w:val="13"/>
                <w:color w:val="231F20"/>
              </w:rPr>
              <w:t>Stock options and stock appreciation rights are not granted with an exercise or base price less than the</w:t>
            </w:r>
          </w:p>
        </w:tc>
      </w:tr>
      <w:tr>
        <w:trPr>
          <w:trHeight w:val="148"/>
        </w:trPr>
        <w:tc>
          <w:tcPr>
            <w:tcW w:w="1780" w:type="dxa"/>
            <w:vAlign w:val="bottom"/>
          </w:tcPr>
          <w:p>
            <w:pPr>
              <w:ind w:left="60"/>
              <w:spacing w:after="0"/>
              <w:rPr>
                <w:sz w:val="20"/>
                <w:szCs w:val="20"/>
                <w:color w:val="auto"/>
              </w:rPr>
            </w:pPr>
            <w:r>
              <w:rPr>
                <w:rFonts w:ascii="Arial" w:cs="Arial" w:eastAsia="Arial" w:hAnsi="Arial"/>
                <w:sz w:val="13"/>
                <w:szCs w:val="13"/>
                <w:b w:val="1"/>
                <w:bCs w:val="1"/>
                <w:color w:val="231F20"/>
              </w:rPr>
              <w:t>Options or Stock</w:t>
            </w:r>
          </w:p>
        </w:tc>
        <w:tc>
          <w:tcPr>
            <w:tcW w:w="6320" w:type="dxa"/>
            <w:vAlign w:val="bottom"/>
          </w:tcPr>
          <w:p>
            <w:pPr>
              <w:ind w:left="60"/>
              <w:spacing w:after="0"/>
              <w:rPr>
                <w:sz w:val="20"/>
                <w:szCs w:val="20"/>
                <w:color w:val="auto"/>
              </w:rPr>
            </w:pPr>
            <w:r>
              <w:rPr>
                <w:rFonts w:ascii="Arial" w:cs="Arial" w:eastAsia="Arial" w:hAnsi="Arial"/>
                <w:sz w:val="13"/>
                <w:szCs w:val="13"/>
                <w:color w:val="231F20"/>
              </w:rPr>
              <w:t>fair market value of common stock (as defined in the New Plan) on the date of grant.</w:t>
            </w:r>
          </w:p>
        </w:tc>
      </w:tr>
      <w:tr>
        <w:trPr>
          <w:trHeight w:val="178"/>
        </w:trPr>
        <w:tc>
          <w:tcPr>
            <w:tcW w:w="1780" w:type="dxa"/>
            <w:vAlign w:val="bottom"/>
          </w:tcPr>
          <w:p>
            <w:pPr>
              <w:ind w:left="60"/>
              <w:spacing w:after="0"/>
              <w:rPr>
                <w:sz w:val="20"/>
                <w:szCs w:val="20"/>
                <w:color w:val="auto"/>
              </w:rPr>
            </w:pPr>
            <w:r>
              <w:rPr>
                <w:rFonts w:ascii="Arial" w:cs="Arial" w:eastAsia="Arial" w:hAnsi="Arial"/>
                <w:sz w:val="13"/>
                <w:szCs w:val="13"/>
                <w:b w:val="1"/>
                <w:bCs w:val="1"/>
                <w:color w:val="231F20"/>
              </w:rPr>
              <w:t>Appreciation Rights</w:t>
            </w:r>
          </w:p>
        </w:tc>
        <w:tc>
          <w:tcPr>
            <w:tcW w:w="6320" w:type="dxa"/>
            <w:vAlign w:val="bottom"/>
          </w:tcPr>
          <w:p>
            <w:pPr>
              <w:spacing w:after="0"/>
              <w:rPr>
                <w:sz w:val="15"/>
                <w:szCs w:val="15"/>
                <w:color w:val="auto"/>
              </w:rPr>
            </w:pPr>
          </w:p>
        </w:tc>
      </w:tr>
      <w:tr>
        <w:trPr>
          <w:trHeight w:val="41"/>
        </w:trPr>
        <w:tc>
          <w:tcPr>
            <w:tcW w:w="1780" w:type="dxa"/>
            <w:vAlign w:val="bottom"/>
            <w:tcBorders>
              <w:bottom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r>
      <w:tr>
        <w:trPr>
          <w:trHeight w:val="179"/>
        </w:trPr>
        <w:tc>
          <w:tcPr>
            <w:tcW w:w="1780" w:type="dxa"/>
            <w:vAlign w:val="bottom"/>
            <w:shd w:val="clear" w:color="auto" w:fill="EAEAEC"/>
          </w:tcPr>
          <w:p>
            <w:pPr>
              <w:ind w:left="60"/>
              <w:spacing w:after="0"/>
              <w:rPr>
                <w:sz w:val="20"/>
                <w:szCs w:val="20"/>
                <w:color w:val="auto"/>
              </w:rPr>
            </w:pPr>
            <w:r>
              <w:rPr>
                <w:rFonts w:ascii="Arial" w:cs="Arial" w:eastAsia="Arial" w:hAnsi="Arial"/>
                <w:sz w:val="13"/>
                <w:szCs w:val="13"/>
                <w:b w:val="1"/>
                <w:bCs w:val="1"/>
                <w:color w:val="231F20"/>
              </w:rPr>
              <w:t>No Stock Option or Stock</w:t>
            </w: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Except for equitable adjustments in connection with specific corporate transactions (such as stock</w:t>
            </w:r>
          </w:p>
        </w:tc>
      </w:tr>
      <w:tr>
        <w:trPr>
          <w:trHeight w:val="148"/>
        </w:trPr>
        <w:tc>
          <w:tcPr>
            <w:tcW w:w="1780" w:type="dxa"/>
            <w:vAlign w:val="bottom"/>
            <w:shd w:val="clear" w:color="auto" w:fill="EAEAEC"/>
          </w:tcPr>
          <w:p>
            <w:pPr>
              <w:ind w:left="60"/>
              <w:spacing w:after="0"/>
              <w:rPr>
                <w:sz w:val="20"/>
                <w:szCs w:val="20"/>
                <w:color w:val="auto"/>
              </w:rPr>
            </w:pPr>
            <w:r>
              <w:rPr>
                <w:rFonts w:ascii="Arial" w:cs="Arial" w:eastAsia="Arial" w:hAnsi="Arial"/>
                <w:sz w:val="13"/>
                <w:szCs w:val="13"/>
                <w:b w:val="1"/>
                <w:bCs w:val="1"/>
                <w:color w:val="231F20"/>
              </w:rPr>
              <w:t>Appreciation Right Re-</w:t>
            </w: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splits, recapitalizations, reorganizations, mergers, consolidations, and similar transactions), the New</w:t>
            </w:r>
          </w:p>
        </w:tc>
      </w:tr>
      <w:tr>
        <w:trPr>
          <w:trHeight w:val="164"/>
        </w:trPr>
        <w:tc>
          <w:tcPr>
            <w:tcW w:w="1780" w:type="dxa"/>
            <w:vAlign w:val="bottom"/>
            <w:shd w:val="clear" w:color="auto" w:fill="EAEAEC"/>
          </w:tcPr>
          <w:p>
            <w:pPr>
              <w:ind w:left="60"/>
              <w:spacing w:after="0"/>
              <w:rPr>
                <w:sz w:val="20"/>
                <w:szCs w:val="20"/>
                <w:color w:val="auto"/>
              </w:rPr>
            </w:pPr>
            <w:r>
              <w:rPr>
                <w:rFonts w:ascii="Arial" w:cs="Arial" w:eastAsia="Arial" w:hAnsi="Arial"/>
                <w:sz w:val="13"/>
                <w:szCs w:val="13"/>
                <w:b w:val="1"/>
                <w:bCs w:val="1"/>
                <w:color w:val="231F20"/>
              </w:rPr>
              <w:t>pricing or Exchange</w:t>
            </w: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Plan does not permit a decrease in the exercise price or base price of a stock option or stock</w:t>
            </w:r>
          </w:p>
        </w:tc>
      </w:tr>
      <w:tr>
        <w:trPr>
          <w:trHeight w:val="148"/>
        </w:trPr>
        <w:tc>
          <w:tcPr>
            <w:tcW w:w="1780" w:type="dxa"/>
            <w:vAlign w:val="bottom"/>
            <w:shd w:val="clear" w:color="auto" w:fill="EAEAEC"/>
          </w:tcPr>
          <w:p>
            <w:pPr>
              <w:spacing w:after="0"/>
              <w:rPr>
                <w:sz w:val="12"/>
                <w:szCs w:val="12"/>
                <w:color w:val="auto"/>
              </w:rPr>
            </w:pP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appreciation right granted under the New Plan through settlement, cancellation, forfeiture, exchange,</w:t>
            </w:r>
          </w:p>
        </w:tc>
      </w:tr>
      <w:tr>
        <w:trPr>
          <w:trHeight w:val="148"/>
        </w:trPr>
        <w:tc>
          <w:tcPr>
            <w:tcW w:w="1780" w:type="dxa"/>
            <w:vAlign w:val="bottom"/>
            <w:shd w:val="clear" w:color="auto" w:fill="EAEAEC"/>
          </w:tcPr>
          <w:p>
            <w:pPr>
              <w:spacing w:after="0"/>
              <w:rPr>
                <w:sz w:val="12"/>
                <w:szCs w:val="12"/>
                <w:color w:val="auto"/>
              </w:rPr>
            </w:pP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surrender, or otherwise below the fair market value of common stock (as defined in the New Plan) on</w:t>
            </w:r>
          </w:p>
        </w:tc>
      </w:tr>
      <w:tr>
        <w:trPr>
          <w:trHeight w:val="208"/>
        </w:trPr>
        <w:tc>
          <w:tcPr>
            <w:tcW w:w="1780" w:type="dxa"/>
            <w:vAlign w:val="bottom"/>
            <w:tcBorders>
              <w:bottom w:val="single" w:sz="8" w:color="EAEAEC"/>
            </w:tcBorders>
            <w:shd w:val="clear" w:color="auto" w:fill="EAEAEC"/>
          </w:tcPr>
          <w:p>
            <w:pPr>
              <w:spacing w:after="0"/>
              <w:rPr>
                <w:sz w:val="17"/>
                <w:szCs w:val="17"/>
                <w:color w:val="auto"/>
              </w:rPr>
            </w:pPr>
          </w:p>
        </w:tc>
        <w:tc>
          <w:tcPr>
            <w:tcW w:w="6320" w:type="dxa"/>
            <w:vAlign w:val="bottom"/>
            <w:tcBorders>
              <w:bottom w:val="single" w:sz="8" w:color="EAEAEC"/>
            </w:tcBorders>
            <w:shd w:val="clear" w:color="auto" w:fill="EAEAEC"/>
          </w:tcPr>
          <w:p>
            <w:pPr>
              <w:ind w:left="60"/>
              <w:spacing w:after="0"/>
              <w:rPr>
                <w:sz w:val="20"/>
                <w:szCs w:val="20"/>
                <w:color w:val="auto"/>
              </w:rPr>
            </w:pPr>
            <w:r>
              <w:rPr>
                <w:rFonts w:ascii="Arial" w:cs="Arial" w:eastAsia="Arial" w:hAnsi="Arial"/>
                <w:sz w:val="13"/>
                <w:szCs w:val="13"/>
                <w:color w:val="231F20"/>
              </w:rPr>
              <w:t>the date of grant.</w:t>
            </w:r>
          </w:p>
        </w:tc>
      </w:tr>
      <w:tr>
        <w:trPr>
          <w:trHeight w:val="179"/>
        </w:trPr>
        <w:tc>
          <w:tcPr>
            <w:tcW w:w="178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231F20"/>
              </w:rPr>
              <w:t>Recoupment (Clawback)</w:t>
            </w: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231F20"/>
              </w:rPr>
              <w:t>Awards granted to our officers and other employees under the New Plan are subject to recoupment or</w:t>
            </w:r>
          </w:p>
        </w:tc>
      </w:tr>
      <w:tr>
        <w:trPr>
          <w:trHeight w:val="165"/>
        </w:trPr>
        <w:tc>
          <w:tcPr>
            <w:tcW w:w="1780" w:type="dxa"/>
            <w:vAlign w:val="bottom"/>
          </w:tcPr>
          <w:p>
            <w:pPr>
              <w:ind w:left="60"/>
              <w:spacing w:after="0"/>
              <w:rPr>
                <w:sz w:val="20"/>
                <w:szCs w:val="20"/>
                <w:color w:val="auto"/>
              </w:rPr>
            </w:pPr>
            <w:r>
              <w:rPr>
                <w:rFonts w:ascii="Arial" w:cs="Arial" w:eastAsia="Arial" w:hAnsi="Arial"/>
                <w:sz w:val="13"/>
                <w:szCs w:val="13"/>
                <w:b w:val="1"/>
                <w:bCs w:val="1"/>
                <w:color w:val="231F20"/>
              </w:rPr>
              <w:t>Policy</w:t>
            </w:r>
          </w:p>
        </w:tc>
        <w:tc>
          <w:tcPr>
            <w:tcW w:w="6320" w:type="dxa"/>
            <w:vAlign w:val="bottom"/>
          </w:tcPr>
          <w:p>
            <w:pPr>
              <w:ind w:left="60"/>
              <w:spacing w:after="0"/>
              <w:rPr>
                <w:sz w:val="20"/>
                <w:szCs w:val="20"/>
                <w:color w:val="auto"/>
              </w:rPr>
            </w:pPr>
            <w:r>
              <w:rPr>
                <w:rFonts w:ascii="Arial" w:cs="Arial" w:eastAsia="Arial" w:hAnsi="Arial"/>
                <w:sz w:val="13"/>
                <w:szCs w:val="13"/>
                <w:color w:val="231F20"/>
              </w:rPr>
              <w:t>reduction in accordance with the terms of our policy regarding recoupment or reduction of incentive</w:t>
            </w:r>
          </w:p>
        </w:tc>
      </w:tr>
      <w:tr>
        <w:trPr>
          <w:trHeight w:val="162"/>
        </w:trPr>
        <w:tc>
          <w:tcPr>
            <w:tcW w:w="1780" w:type="dxa"/>
            <w:vAlign w:val="bottom"/>
          </w:tcPr>
          <w:p>
            <w:pPr>
              <w:spacing w:after="0"/>
              <w:rPr>
                <w:sz w:val="14"/>
                <w:szCs w:val="14"/>
                <w:color w:val="auto"/>
              </w:rPr>
            </w:pPr>
          </w:p>
        </w:tc>
        <w:tc>
          <w:tcPr>
            <w:tcW w:w="6320" w:type="dxa"/>
            <w:vAlign w:val="bottom"/>
          </w:tcPr>
          <w:p>
            <w:pPr>
              <w:ind w:left="60"/>
              <w:spacing w:after="0"/>
              <w:rPr>
                <w:sz w:val="20"/>
                <w:szCs w:val="20"/>
                <w:color w:val="auto"/>
              </w:rPr>
            </w:pPr>
            <w:r>
              <w:rPr>
                <w:rFonts w:ascii="Arial" w:cs="Arial" w:eastAsia="Arial" w:hAnsi="Arial"/>
                <w:sz w:val="13"/>
                <w:szCs w:val="13"/>
                <w:color w:val="231F20"/>
              </w:rPr>
              <w:t>compensation (sometimes referred to as our “clawback policy”).</w:t>
            </w:r>
          </w:p>
        </w:tc>
      </w:tr>
      <w:tr>
        <w:trPr>
          <w:trHeight w:val="41"/>
        </w:trPr>
        <w:tc>
          <w:tcPr>
            <w:tcW w:w="1780" w:type="dxa"/>
            <w:vAlign w:val="bottom"/>
            <w:tcBorders>
              <w:bottom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r>
      <w:tr>
        <w:trPr>
          <w:trHeight w:val="179"/>
        </w:trPr>
        <w:tc>
          <w:tcPr>
            <w:tcW w:w="1780" w:type="dxa"/>
            <w:vAlign w:val="bottom"/>
            <w:shd w:val="clear" w:color="auto" w:fill="EAEAEC"/>
          </w:tcPr>
          <w:p>
            <w:pPr>
              <w:ind w:left="60"/>
              <w:spacing w:after="0"/>
              <w:rPr>
                <w:sz w:val="20"/>
                <w:szCs w:val="20"/>
                <w:color w:val="auto"/>
              </w:rPr>
            </w:pPr>
            <w:r>
              <w:rPr>
                <w:rFonts w:ascii="Arial" w:cs="Arial" w:eastAsia="Arial" w:hAnsi="Arial"/>
                <w:sz w:val="13"/>
                <w:szCs w:val="13"/>
                <w:b w:val="1"/>
                <w:bCs w:val="1"/>
                <w:color w:val="231F20"/>
              </w:rPr>
              <w:t>Independent</w:t>
            </w: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The New Plan is administered by the Compensation Committee, which is intended to be comprised</w:t>
            </w:r>
          </w:p>
        </w:tc>
      </w:tr>
      <w:tr>
        <w:trPr>
          <w:trHeight w:val="164"/>
        </w:trPr>
        <w:tc>
          <w:tcPr>
            <w:tcW w:w="1780" w:type="dxa"/>
            <w:vAlign w:val="bottom"/>
            <w:shd w:val="clear" w:color="auto" w:fill="EAEAEC"/>
          </w:tcPr>
          <w:p>
            <w:pPr>
              <w:ind w:left="60"/>
              <w:spacing w:after="0"/>
              <w:rPr>
                <w:sz w:val="20"/>
                <w:szCs w:val="20"/>
                <w:color w:val="auto"/>
              </w:rPr>
            </w:pPr>
            <w:r>
              <w:rPr>
                <w:rFonts w:ascii="Arial" w:cs="Arial" w:eastAsia="Arial" w:hAnsi="Arial"/>
                <w:sz w:val="13"/>
                <w:szCs w:val="13"/>
                <w:b w:val="1"/>
                <w:bCs w:val="1"/>
                <w:color w:val="231F20"/>
              </w:rPr>
              <w:t>Administration</w:t>
            </w: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solely of non-employee directors each of whom meets the additional independence criteria applicable to</w:t>
            </w:r>
          </w:p>
        </w:tc>
      </w:tr>
      <w:tr>
        <w:trPr>
          <w:trHeight w:val="148"/>
        </w:trPr>
        <w:tc>
          <w:tcPr>
            <w:tcW w:w="1780" w:type="dxa"/>
            <w:vAlign w:val="bottom"/>
            <w:shd w:val="clear" w:color="auto" w:fill="EAEAEC"/>
          </w:tcPr>
          <w:p>
            <w:pPr>
              <w:spacing w:after="0"/>
              <w:rPr>
                <w:sz w:val="12"/>
                <w:szCs w:val="12"/>
                <w:color w:val="auto"/>
              </w:rPr>
            </w:pPr>
          </w:p>
        </w:tc>
        <w:tc>
          <w:tcPr>
            <w:tcW w:w="63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compensation committee members under the listing standards of The NASDAQ Stock Market LLC and</w:t>
            </w:r>
          </w:p>
        </w:tc>
      </w:tr>
      <w:tr>
        <w:trPr>
          <w:trHeight w:val="208"/>
        </w:trPr>
        <w:tc>
          <w:tcPr>
            <w:tcW w:w="1780" w:type="dxa"/>
            <w:vAlign w:val="bottom"/>
            <w:tcBorders>
              <w:bottom w:val="single" w:sz="8" w:color="EAEAEC"/>
            </w:tcBorders>
            <w:shd w:val="clear" w:color="auto" w:fill="EAEAEC"/>
          </w:tcPr>
          <w:p>
            <w:pPr>
              <w:spacing w:after="0"/>
              <w:rPr>
                <w:sz w:val="17"/>
                <w:szCs w:val="17"/>
                <w:color w:val="auto"/>
              </w:rPr>
            </w:pPr>
          </w:p>
        </w:tc>
        <w:tc>
          <w:tcPr>
            <w:tcW w:w="6320" w:type="dxa"/>
            <w:vAlign w:val="bottom"/>
            <w:tcBorders>
              <w:bottom w:val="single" w:sz="8" w:color="EAEAEC"/>
            </w:tcBorders>
            <w:shd w:val="clear" w:color="auto" w:fill="EAEAEC"/>
          </w:tcPr>
          <w:p>
            <w:pPr>
              <w:ind w:left="60"/>
              <w:spacing w:after="0"/>
              <w:rPr>
                <w:sz w:val="20"/>
                <w:szCs w:val="20"/>
                <w:color w:val="auto"/>
              </w:rPr>
            </w:pPr>
            <w:r>
              <w:rPr>
                <w:rFonts w:ascii="Arial" w:cs="Arial" w:eastAsia="Arial" w:hAnsi="Arial"/>
                <w:sz w:val="13"/>
                <w:szCs w:val="13"/>
                <w:color w:val="231F20"/>
              </w:rPr>
              <w:t>qualifies as a “Non-Employee Director” pursuant to Rule 16b-3 under the Exchange Act.</w:t>
            </w:r>
          </w:p>
        </w:tc>
      </w:tr>
      <w:tr>
        <w:trPr>
          <w:trHeight w:val="195"/>
        </w:trPr>
        <w:tc>
          <w:tcPr>
            <w:tcW w:w="178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231F20"/>
              </w:rPr>
              <w:t>No “Evergreen” Provision</w:t>
            </w: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231F20"/>
              </w:rPr>
              <w:t>The New Plan does not contain an “evergreen” feature pursuant to which the shares authorized for</w:t>
            </w:r>
          </w:p>
        </w:tc>
      </w:tr>
      <w:tr>
        <w:trPr>
          <w:trHeight w:val="162"/>
        </w:trPr>
        <w:tc>
          <w:tcPr>
            <w:tcW w:w="1780" w:type="dxa"/>
            <w:vAlign w:val="bottom"/>
          </w:tcPr>
          <w:p>
            <w:pPr>
              <w:spacing w:after="0"/>
              <w:rPr>
                <w:sz w:val="14"/>
                <w:szCs w:val="14"/>
                <w:color w:val="auto"/>
              </w:rPr>
            </w:pPr>
          </w:p>
        </w:tc>
        <w:tc>
          <w:tcPr>
            <w:tcW w:w="6320" w:type="dxa"/>
            <w:vAlign w:val="bottom"/>
          </w:tcPr>
          <w:p>
            <w:pPr>
              <w:ind w:left="60"/>
              <w:spacing w:after="0"/>
              <w:rPr>
                <w:sz w:val="20"/>
                <w:szCs w:val="20"/>
                <w:color w:val="auto"/>
              </w:rPr>
            </w:pPr>
            <w:r>
              <w:rPr>
                <w:rFonts w:ascii="Arial" w:cs="Arial" w:eastAsia="Arial" w:hAnsi="Arial"/>
                <w:sz w:val="13"/>
                <w:szCs w:val="13"/>
                <w:color w:val="231F20"/>
              </w:rPr>
              <w:t>issuance thereunder can be automatically replenished.</w:t>
            </w:r>
          </w:p>
        </w:tc>
      </w:tr>
      <w:tr>
        <w:trPr>
          <w:trHeight w:val="41"/>
        </w:trPr>
        <w:tc>
          <w:tcPr>
            <w:tcW w:w="1780" w:type="dxa"/>
            <w:vAlign w:val="bottom"/>
          </w:tcPr>
          <w:p>
            <w:pPr>
              <w:spacing w:after="0"/>
              <w:rPr>
                <w:sz w:val="3"/>
                <w:szCs w:val="3"/>
                <w:color w:val="auto"/>
              </w:rPr>
            </w:pPr>
          </w:p>
        </w:tc>
        <w:tc>
          <w:tcPr>
            <w:tcW w:w="6320" w:type="dxa"/>
            <w:vAlign w:val="bottom"/>
          </w:tcPr>
          <w:p>
            <w:pPr>
              <w:spacing w:after="0"/>
              <w:rPr>
                <w:sz w:val="3"/>
                <w:szCs w:val="3"/>
                <w:color w:val="auto"/>
              </w:rPr>
            </w:pPr>
          </w:p>
        </w:tc>
      </w:tr>
      <w:tr>
        <w:trPr>
          <w:trHeight w:val="237"/>
        </w:trPr>
        <w:tc>
          <w:tcPr>
            <w:tcW w:w="1780" w:type="dxa"/>
            <w:vAlign w:val="bottom"/>
            <w:tcBorders>
              <w:bottom w:val="single" w:sz="8" w:color="EAEAEC"/>
            </w:tcBorders>
            <w:shd w:val="clear" w:color="auto" w:fill="EAEAEC"/>
          </w:tcPr>
          <w:p>
            <w:pPr>
              <w:ind w:left="60"/>
              <w:spacing w:after="0"/>
              <w:rPr>
                <w:sz w:val="20"/>
                <w:szCs w:val="20"/>
                <w:color w:val="auto"/>
              </w:rPr>
            </w:pPr>
            <w:r>
              <w:rPr>
                <w:rFonts w:ascii="Arial" w:cs="Arial" w:eastAsia="Arial" w:hAnsi="Arial"/>
                <w:sz w:val="13"/>
                <w:szCs w:val="13"/>
                <w:b w:val="1"/>
                <w:bCs w:val="1"/>
                <w:color w:val="231F20"/>
              </w:rPr>
              <w:t>No Tax Gross-ups</w:t>
            </w:r>
          </w:p>
        </w:tc>
        <w:tc>
          <w:tcPr>
            <w:tcW w:w="6320" w:type="dxa"/>
            <w:vAlign w:val="bottom"/>
            <w:tcBorders>
              <w:bottom w:val="single" w:sz="8" w:color="EAEAEC"/>
            </w:tcBorders>
            <w:shd w:val="clear" w:color="auto" w:fill="EAEAEC"/>
          </w:tcPr>
          <w:p>
            <w:pPr>
              <w:ind w:left="60"/>
              <w:spacing w:after="0"/>
              <w:rPr>
                <w:sz w:val="20"/>
                <w:szCs w:val="20"/>
                <w:color w:val="auto"/>
              </w:rPr>
            </w:pPr>
            <w:r>
              <w:rPr>
                <w:rFonts w:ascii="Arial" w:cs="Arial" w:eastAsia="Arial" w:hAnsi="Arial"/>
                <w:sz w:val="13"/>
                <w:szCs w:val="13"/>
                <w:color w:val="231F20"/>
              </w:rPr>
              <w:t>The New Plan does not provide for any tax gross-ups.</w:t>
            </w:r>
          </w:p>
        </w:tc>
      </w:tr>
      <w:tr>
        <w:trPr>
          <w:trHeight w:val="20"/>
        </w:trPr>
        <w:tc>
          <w:tcPr>
            <w:tcW w:w="1780" w:type="dxa"/>
            <w:vAlign w:val="bottom"/>
            <w:shd w:val="clear" w:color="auto" w:fill="2952A4"/>
          </w:tcPr>
          <w:p>
            <w:pPr>
              <w:spacing w:after="0" w:line="20" w:lineRule="exact"/>
              <w:rPr>
                <w:sz w:val="1"/>
                <w:szCs w:val="1"/>
                <w:color w:val="auto"/>
              </w:rPr>
            </w:pPr>
          </w:p>
        </w:tc>
        <w:tc>
          <w:tcPr>
            <w:tcW w:w="6320" w:type="dxa"/>
            <w:vAlign w:val="bottom"/>
            <w:shd w:val="clear" w:color="auto" w:fill="2952A4"/>
          </w:tcPr>
          <w:p>
            <w:pPr>
              <w:spacing w:after="0" w:line="20" w:lineRule="exact"/>
              <w:rPr>
                <w:sz w:val="1"/>
                <w:szCs w:val="1"/>
                <w:color w:val="auto"/>
              </w:rPr>
            </w:pPr>
          </w:p>
        </w:tc>
      </w:tr>
    </w:tbl>
    <w:p>
      <w:pPr>
        <w:spacing w:after="0" w:line="122" w:lineRule="exact"/>
        <w:rPr>
          <w:sz w:val="20"/>
          <w:szCs w:val="20"/>
          <w:color w:val="auto"/>
        </w:rPr>
      </w:pPr>
    </w:p>
    <w:p>
      <w:pPr>
        <w:ind w:left="1480"/>
        <w:spacing w:after="0"/>
        <w:rPr>
          <w:sz w:val="20"/>
          <w:szCs w:val="20"/>
          <w:color w:val="auto"/>
        </w:rPr>
      </w:pPr>
      <w:r>
        <w:rPr>
          <w:rFonts w:ascii="Arial" w:cs="Arial" w:eastAsia="Arial" w:hAnsi="Arial"/>
          <w:sz w:val="29"/>
          <w:szCs w:val="29"/>
          <w:b w:val="1"/>
          <w:bCs w:val="1"/>
          <w:color w:val="C24D5C"/>
        </w:rPr>
        <w:t>KEY EQUITY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27940</wp:posOffset>
            </wp:positionV>
            <wp:extent cx="526351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196" w:lineRule="exact"/>
        <w:rPr>
          <w:sz w:val="20"/>
          <w:szCs w:val="20"/>
          <w:color w:val="auto"/>
        </w:rPr>
      </w:pPr>
    </w:p>
    <w:p>
      <w:pPr>
        <w:ind w:left="1480" w:right="1640"/>
        <w:spacing w:after="0" w:line="233" w:lineRule="auto"/>
        <w:rPr>
          <w:sz w:val="20"/>
          <w:szCs w:val="20"/>
          <w:color w:val="auto"/>
        </w:rPr>
      </w:pPr>
      <w:r>
        <w:rPr>
          <w:rFonts w:ascii="Arial" w:cs="Arial" w:eastAsia="Arial" w:hAnsi="Arial"/>
          <w:sz w:val="15"/>
          <w:szCs w:val="15"/>
          <w:color w:val="231F20"/>
        </w:rPr>
        <w:t>The following table summarizes some key metrics relating to the equity component of our compensation program. When evaluating the information below, it is important to keep in mind the 50% increase in the number of our employees from 2017 to 2019 and our all-employee equity award strategy encompassing initial equity grants to all new hires as well as a comprehensive annual equity program covering all levels of employees:</w:t>
      </w:r>
    </w:p>
    <w:p>
      <w:pPr>
        <w:spacing w:after="0" w:line="159" w:lineRule="exact"/>
        <w:rPr>
          <w:sz w:val="20"/>
          <w:szCs w:val="20"/>
          <w:color w:val="auto"/>
        </w:rPr>
      </w:pPr>
    </w:p>
    <w:tbl>
      <w:tblPr>
        <w:tblLayout w:type="fixed"/>
        <w:tblInd w:w="1480" w:type="dxa"/>
        <w:tblCellMar>
          <w:top w:w="0" w:type="dxa"/>
          <w:left w:w="0" w:type="dxa"/>
          <w:bottom w:w="0" w:type="dxa"/>
          <w:right w:w="0" w:type="dxa"/>
        </w:tblCellMar>
      </w:tblPr>
      <w:tr>
        <w:trPr>
          <w:trHeight w:val="167"/>
        </w:trPr>
        <w:tc>
          <w:tcPr>
            <w:tcW w:w="3360" w:type="dxa"/>
            <w:vAlign w:val="bottom"/>
            <w:tcBorders>
              <w:bottom w:val="single" w:sz="8" w:color="2952A4"/>
            </w:tcBorders>
          </w:tcPr>
          <w:p>
            <w:pPr>
              <w:spacing w:after="0"/>
              <w:rPr>
                <w:sz w:val="14"/>
                <w:szCs w:val="14"/>
                <w:color w:val="auto"/>
              </w:rPr>
            </w:pPr>
          </w:p>
        </w:tc>
        <w:tc>
          <w:tcPr>
            <w:tcW w:w="2640" w:type="dxa"/>
            <w:vAlign w:val="bottom"/>
            <w:tcBorders>
              <w:bottom w:val="single" w:sz="8" w:color="2952A4"/>
            </w:tcBorders>
          </w:tcPr>
          <w:p>
            <w:pPr>
              <w:jc w:val="right"/>
              <w:ind w:right="314"/>
              <w:spacing w:after="0"/>
              <w:rPr>
                <w:sz w:val="20"/>
                <w:szCs w:val="20"/>
                <w:color w:val="auto"/>
              </w:rPr>
            </w:pPr>
            <w:r>
              <w:rPr>
                <w:rFonts w:ascii="Arial" w:cs="Arial" w:eastAsia="Arial" w:hAnsi="Arial"/>
                <w:sz w:val="12"/>
                <w:szCs w:val="12"/>
                <w:b w:val="1"/>
                <w:bCs w:val="1"/>
                <w:color w:val="2952A4"/>
              </w:rPr>
              <w:t>2019</w:t>
            </w:r>
          </w:p>
        </w:tc>
        <w:tc>
          <w:tcPr>
            <w:tcW w:w="1220" w:type="dxa"/>
            <w:vAlign w:val="bottom"/>
            <w:tcBorders>
              <w:bottom w:val="single" w:sz="8" w:color="2952A4"/>
            </w:tcBorders>
          </w:tcPr>
          <w:p>
            <w:pPr>
              <w:jc w:val="right"/>
              <w:ind w:right="314"/>
              <w:spacing w:after="0"/>
              <w:rPr>
                <w:sz w:val="20"/>
                <w:szCs w:val="20"/>
                <w:color w:val="auto"/>
              </w:rPr>
            </w:pPr>
            <w:r>
              <w:rPr>
                <w:rFonts w:ascii="Arial" w:cs="Arial" w:eastAsia="Arial" w:hAnsi="Arial"/>
                <w:sz w:val="12"/>
                <w:szCs w:val="12"/>
                <w:b w:val="1"/>
                <w:bCs w:val="1"/>
                <w:color w:val="2952A4"/>
              </w:rPr>
              <w:t>2018</w:t>
            </w:r>
          </w:p>
        </w:tc>
        <w:tc>
          <w:tcPr>
            <w:tcW w:w="880" w:type="dxa"/>
            <w:vAlign w:val="bottom"/>
            <w:tcBorders>
              <w:bottom w:val="single" w:sz="8" w:color="2952A4"/>
            </w:tcBorders>
          </w:tcPr>
          <w:p>
            <w:pPr>
              <w:jc w:val="right"/>
              <w:spacing w:after="0"/>
              <w:rPr>
                <w:sz w:val="20"/>
                <w:szCs w:val="20"/>
                <w:color w:val="auto"/>
              </w:rPr>
            </w:pPr>
            <w:r>
              <w:rPr>
                <w:rFonts w:ascii="Arial" w:cs="Arial" w:eastAsia="Arial" w:hAnsi="Arial"/>
                <w:sz w:val="12"/>
                <w:szCs w:val="12"/>
                <w:b w:val="1"/>
                <w:bCs w:val="1"/>
                <w:color w:val="2952A4"/>
              </w:rPr>
              <w:t>2017</w:t>
            </w:r>
          </w:p>
        </w:tc>
      </w:tr>
      <w:tr>
        <w:trPr>
          <w:trHeight w:val="262"/>
        </w:trPr>
        <w:tc>
          <w:tcPr>
            <w:tcW w:w="3360" w:type="dxa"/>
            <w:vAlign w:val="bottom"/>
          </w:tcPr>
          <w:p>
            <w:pPr>
              <w:ind w:left="60"/>
              <w:spacing w:after="0"/>
              <w:rPr>
                <w:sz w:val="20"/>
                <w:szCs w:val="20"/>
                <w:color w:val="auto"/>
              </w:rPr>
            </w:pPr>
            <w:r>
              <w:rPr>
                <w:rFonts w:ascii="Arial" w:cs="Arial" w:eastAsia="Arial" w:hAnsi="Arial"/>
                <w:sz w:val="13"/>
                <w:szCs w:val="13"/>
                <w:b w:val="1"/>
                <w:bCs w:val="1"/>
                <w:color w:val="231F20"/>
              </w:rPr>
              <w:t>Unadjusted Burn Rate</w:t>
            </w:r>
            <w:r>
              <w:rPr>
                <w:rFonts w:ascii="Arial" w:cs="Arial" w:eastAsia="Arial" w:hAnsi="Arial"/>
                <w:sz w:val="22"/>
                <w:szCs w:val="22"/>
                <w:b w:val="1"/>
                <w:bCs w:val="1"/>
                <w:color w:val="231F20"/>
                <w:vertAlign w:val="superscript"/>
              </w:rPr>
              <w:t>1</w:t>
            </w:r>
          </w:p>
        </w:tc>
        <w:tc>
          <w:tcPr>
            <w:tcW w:w="2640" w:type="dxa"/>
            <w:vAlign w:val="bottom"/>
          </w:tcPr>
          <w:p>
            <w:pPr>
              <w:jc w:val="right"/>
              <w:ind w:right="314"/>
              <w:spacing w:after="0"/>
              <w:rPr>
                <w:sz w:val="20"/>
                <w:szCs w:val="20"/>
                <w:color w:val="auto"/>
              </w:rPr>
            </w:pPr>
            <w:r>
              <w:rPr>
                <w:rFonts w:ascii="Arial" w:cs="Arial" w:eastAsia="Arial" w:hAnsi="Arial"/>
                <w:sz w:val="13"/>
                <w:szCs w:val="13"/>
                <w:color w:val="231F20"/>
              </w:rPr>
              <w:t>3.58%</w:t>
            </w:r>
          </w:p>
        </w:tc>
        <w:tc>
          <w:tcPr>
            <w:tcW w:w="1220" w:type="dxa"/>
            <w:vAlign w:val="bottom"/>
          </w:tcPr>
          <w:p>
            <w:pPr>
              <w:jc w:val="right"/>
              <w:ind w:right="314"/>
              <w:spacing w:after="0"/>
              <w:rPr>
                <w:sz w:val="20"/>
                <w:szCs w:val="20"/>
                <w:color w:val="auto"/>
              </w:rPr>
            </w:pPr>
            <w:r>
              <w:rPr>
                <w:rFonts w:ascii="Arial" w:cs="Arial" w:eastAsia="Arial" w:hAnsi="Arial"/>
                <w:sz w:val="13"/>
                <w:szCs w:val="13"/>
                <w:color w:val="231F20"/>
              </w:rPr>
              <w:t>4.68%</w:t>
            </w:r>
          </w:p>
        </w:tc>
        <w:tc>
          <w:tcPr>
            <w:tcW w:w="880" w:type="dxa"/>
            <w:vAlign w:val="bottom"/>
          </w:tcPr>
          <w:p>
            <w:pPr>
              <w:jc w:val="right"/>
              <w:spacing w:after="0"/>
              <w:rPr>
                <w:sz w:val="20"/>
                <w:szCs w:val="20"/>
                <w:color w:val="auto"/>
              </w:rPr>
            </w:pPr>
            <w:r>
              <w:rPr>
                <w:rFonts w:ascii="Arial" w:cs="Arial" w:eastAsia="Arial" w:hAnsi="Arial"/>
                <w:sz w:val="13"/>
                <w:szCs w:val="13"/>
                <w:color w:val="231F20"/>
              </w:rPr>
              <w:t>4.04%</w:t>
            </w:r>
          </w:p>
        </w:tc>
      </w:tr>
      <w:tr>
        <w:trPr>
          <w:trHeight w:val="224"/>
        </w:trPr>
        <w:tc>
          <w:tcPr>
            <w:tcW w:w="3360" w:type="dxa"/>
            <w:vAlign w:val="bottom"/>
            <w:tcBorders>
              <w:bottom w:val="single" w:sz="8" w:color="auto"/>
            </w:tcBorders>
          </w:tcPr>
          <w:p>
            <w:pPr>
              <w:ind w:left="60"/>
              <w:spacing w:after="0" w:line="224" w:lineRule="exact"/>
              <w:rPr>
                <w:sz w:val="20"/>
                <w:szCs w:val="20"/>
                <w:color w:val="auto"/>
              </w:rPr>
            </w:pPr>
            <w:r>
              <w:rPr>
                <w:rFonts w:ascii="Arial" w:cs="Arial" w:eastAsia="Arial" w:hAnsi="Arial"/>
                <w:sz w:val="13"/>
                <w:szCs w:val="13"/>
                <w:b w:val="1"/>
                <w:bCs w:val="1"/>
                <w:color w:val="231F20"/>
              </w:rPr>
              <w:t>Adjusted Burn Rate</w:t>
            </w:r>
            <w:r>
              <w:rPr>
                <w:rFonts w:ascii="Arial" w:cs="Arial" w:eastAsia="Arial" w:hAnsi="Arial"/>
                <w:sz w:val="22"/>
                <w:szCs w:val="22"/>
                <w:b w:val="1"/>
                <w:bCs w:val="1"/>
                <w:color w:val="231F20"/>
                <w:vertAlign w:val="superscript"/>
              </w:rPr>
              <w:t>1</w:t>
            </w:r>
          </w:p>
        </w:tc>
        <w:tc>
          <w:tcPr>
            <w:tcW w:w="26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231F20"/>
              </w:rPr>
              <w:t>4.46%</w:t>
            </w: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231F20"/>
              </w:rPr>
              <w:t>5.20%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4.13%</w:t>
            </w:r>
          </w:p>
        </w:tc>
      </w:tr>
      <w:tr>
        <w:trPr>
          <w:trHeight w:val="237"/>
        </w:trPr>
        <w:tc>
          <w:tcPr>
            <w:tcW w:w="3360" w:type="dxa"/>
            <w:vAlign w:val="bottom"/>
            <w:tcBorders>
              <w:bottom w:val="single" w:sz="8" w:color="auto"/>
            </w:tcBorders>
            <w:shd w:val="clear" w:color="auto" w:fill="EAEAEC"/>
          </w:tcPr>
          <w:p>
            <w:pPr>
              <w:ind w:left="60"/>
              <w:spacing w:after="0" w:line="237" w:lineRule="exact"/>
              <w:rPr>
                <w:sz w:val="20"/>
                <w:szCs w:val="20"/>
                <w:color w:val="auto"/>
              </w:rPr>
            </w:pPr>
            <w:r>
              <w:rPr>
                <w:rFonts w:ascii="Arial" w:cs="Arial" w:eastAsia="Arial" w:hAnsi="Arial"/>
                <w:sz w:val="13"/>
                <w:szCs w:val="13"/>
                <w:b w:val="1"/>
                <w:bCs w:val="1"/>
                <w:color w:val="231F20"/>
              </w:rPr>
              <w:t>Overhang</w:t>
            </w:r>
            <w:r>
              <w:rPr>
                <w:rFonts w:ascii="Arial" w:cs="Arial" w:eastAsia="Arial" w:hAnsi="Arial"/>
                <w:sz w:val="22"/>
                <w:szCs w:val="22"/>
                <w:b w:val="1"/>
                <w:bCs w:val="1"/>
                <w:color w:val="231F20"/>
                <w:vertAlign w:val="superscript"/>
              </w:rPr>
              <w:t>2</w:t>
            </w:r>
          </w:p>
        </w:tc>
        <w:tc>
          <w:tcPr>
            <w:tcW w:w="2640" w:type="dxa"/>
            <w:vAlign w:val="bottom"/>
            <w:tcBorders>
              <w:bottom w:val="single" w:sz="8" w:color="auto"/>
            </w:tcBorders>
            <w:shd w:val="clear" w:color="auto" w:fill="EAEAEC"/>
          </w:tcPr>
          <w:p>
            <w:pPr>
              <w:jc w:val="right"/>
              <w:ind w:right="314"/>
              <w:spacing w:after="0"/>
              <w:rPr>
                <w:sz w:val="20"/>
                <w:szCs w:val="20"/>
                <w:color w:val="auto"/>
              </w:rPr>
            </w:pPr>
            <w:r>
              <w:rPr>
                <w:rFonts w:ascii="Arial" w:cs="Arial" w:eastAsia="Arial" w:hAnsi="Arial"/>
                <w:sz w:val="13"/>
                <w:szCs w:val="13"/>
                <w:color w:val="231F20"/>
              </w:rPr>
              <w:t>26.47%</w:t>
            </w:r>
          </w:p>
        </w:tc>
        <w:tc>
          <w:tcPr>
            <w:tcW w:w="1220" w:type="dxa"/>
            <w:vAlign w:val="bottom"/>
            <w:tcBorders>
              <w:bottom w:val="single" w:sz="8" w:color="auto"/>
            </w:tcBorders>
            <w:shd w:val="clear" w:color="auto" w:fill="EAEAEC"/>
          </w:tcPr>
          <w:p>
            <w:pPr>
              <w:jc w:val="right"/>
              <w:ind w:right="314"/>
              <w:spacing w:after="0"/>
              <w:rPr>
                <w:sz w:val="20"/>
                <w:szCs w:val="20"/>
                <w:color w:val="auto"/>
              </w:rPr>
            </w:pPr>
            <w:r>
              <w:rPr>
                <w:rFonts w:ascii="Arial" w:cs="Arial" w:eastAsia="Arial" w:hAnsi="Arial"/>
                <w:sz w:val="13"/>
                <w:szCs w:val="13"/>
                <w:color w:val="231F20"/>
              </w:rPr>
              <w:t>27.35%</w:t>
            </w:r>
          </w:p>
        </w:tc>
        <w:tc>
          <w:tcPr>
            <w:tcW w:w="880" w:type="dxa"/>
            <w:vAlign w:val="bottom"/>
            <w:tcBorders>
              <w:bottom w:val="single" w:sz="8" w:color="auto"/>
            </w:tcBorders>
            <w:shd w:val="clear" w:color="auto" w:fill="EAEAEC"/>
          </w:tcPr>
          <w:p>
            <w:pPr>
              <w:jc w:val="right"/>
              <w:spacing w:after="0"/>
              <w:rPr>
                <w:sz w:val="20"/>
                <w:szCs w:val="20"/>
                <w:color w:val="auto"/>
              </w:rPr>
            </w:pPr>
            <w:r>
              <w:rPr>
                <w:rFonts w:ascii="Arial" w:cs="Arial" w:eastAsia="Arial" w:hAnsi="Arial"/>
                <w:sz w:val="13"/>
                <w:szCs w:val="13"/>
                <w:color w:val="231F20"/>
              </w:rPr>
              <w:t>28.13%</w:t>
            </w:r>
          </w:p>
        </w:tc>
      </w:tr>
      <w:tr>
        <w:trPr>
          <w:trHeight w:val="237"/>
        </w:trPr>
        <w:tc>
          <w:tcPr>
            <w:tcW w:w="3360" w:type="dxa"/>
            <w:vAlign w:val="bottom"/>
            <w:tcBorders>
              <w:bottom w:val="single" w:sz="8" w:color="2952A4"/>
            </w:tcBorders>
          </w:tcPr>
          <w:p>
            <w:pPr>
              <w:ind w:left="60"/>
              <w:spacing w:after="0" w:line="237" w:lineRule="exact"/>
              <w:rPr>
                <w:sz w:val="20"/>
                <w:szCs w:val="20"/>
                <w:color w:val="auto"/>
              </w:rPr>
            </w:pPr>
            <w:r>
              <w:rPr>
                <w:rFonts w:ascii="Arial" w:cs="Arial" w:eastAsia="Arial" w:hAnsi="Arial"/>
                <w:sz w:val="13"/>
                <w:szCs w:val="13"/>
                <w:b w:val="1"/>
                <w:bCs w:val="1"/>
                <w:color w:val="231F20"/>
              </w:rPr>
              <w:t>Dilution</w:t>
            </w:r>
            <w:r>
              <w:rPr>
                <w:rFonts w:ascii="Arial" w:cs="Arial" w:eastAsia="Arial" w:hAnsi="Arial"/>
                <w:sz w:val="22"/>
                <w:szCs w:val="22"/>
                <w:b w:val="1"/>
                <w:bCs w:val="1"/>
                <w:color w:val="231F20"/>
                <w:vertAlign w:val="superscript"/>
              </w:rPr>
              <w:t>3</w:t>
            </w:r>
          </w:p>
        </w:tc>
        <w:tc>
          <w:tcPr>
            <w:tcW w:w="2640" w:type="dxa"/>
            <w:vAlign w:val="bottom"/>
            <w:tcBorders>
              <w:bottom w:val="single" w:sz="8" w:color="2952A4"/>
            </w:tcBorders>
          </w:tcPr>
          <w:p>
            <w:pPr>
              <w:jc w:val="right"/>
              <w:ind w:right="314"/>
              <w:spacing w:after="0"/>
              <w:rPr>
                <w:sz w:val="20"/>
                <w:szCs w:val="20"/>
                <w:color w:val="auto"/>
              </w:rPr>
            </w:pPr>
            <w:r>
              <w:rPr>
                <w:rFonts w:ascii="Arial" w:cs="Arial" w:eastAsia="Arial" w:hAnsi="Arial"/>
                <w:sz w:val="13"/>
                <w:szCs w:val="13"/>
                <w:color w:val="231F20"/>
              </w:rPr>
              <w:t>21.42%</w:t>
            </w:r>
          </w:p>
        </w:tc>
        <w:tc>
          <w:tcPr>
            <w:tcW w:w="1220" w:type="dxa"/>
            <w:vAlign w:val="bottom"/>
            <w:tcBorders>
              <w:bottom w:val="single" w:sz="8" w:color="2952A4"/>
            </w:tcBorders>
          </w:tcPr>
          <w:p>
            <w:pPr>
              <w:jc w:val="right"/>
              <w:ind w:right="314"/>
              <w:spacing w:after="0"/>
              <w:rPr>
                <w:sz w:val="20"/>
                <w:szCs w:val="20"/>
                <w:color w:val="auto"/>
              </w:rPr>
            </w:pPr>
            <w:r>
              <w:rPr>
                <w:rFonts w:ascii="Arial" w:cs="Arial" w:eastAsia="Arial" w:hAnsi="Arial"/>
                <w:sz w:val="13"/>
                <w:szCs w:val="13"/>
                <w:color w:val="231F20"/>
              </w:rPr>
              <w:t>20.94%</w:t>
            </w:r>
          </w:p>
        </w:tc>
        <w:tc>
          <w:tcPr>
            <w:tcW w:w="880" w:type="dxa"/>
            <w:vAlign w:val="bottom"/>
            <w:tcBorders>
              <w:bottom w:val="single" w:sz="8" w:color="2952A4"/>
            </w:tcBorders>
          </w:tcPr>
          <w:p>
            <w:pPr>
              <w:jc w:val="right"/>
              <w:spacing w:after="0"/>
              <w:rPr>
                <w:sz w:val="20"/>
                <w:szCs w:val="20"/>
                <w:color w:val="auto"/>
              </w:rPr>
            </w:pPr>
            <w:r>
              <w:rPr>
                <w:rFonts w:ascii="Arial" w:cs="Arial" w:eastAsia="Arial" w:hAnsi="Arial"/>
                <w:sz w:val="13"/>
                <w:szCs w:val="13"/>
                <w:color w:val="231F20"/>
              </w:rPr>
              <w:t>19.66%</w:t>
            </w:r>
          </w:p>
        </w:tc>
      </w:tr>
    </w:tbl>
    <w:p>
      <w:pPr>
        <w:spacing w:after="0" w:line="153" w:lineRule="exact"/>
        <w:rPr>
          <w:sz w:val="20"/>
          <w:szCs w:val="20"/>
          <w:color w:val="auto"/>
        </w:rPr>
      </w:pPr>
    </w:p>
    <w:p>
      <w:pPr>
        <w:ind w:left="1660" w:right="1760" w:hanging="176"/>
        <w:spacing w:after="0" w:line="247" w:lineRule="auto"/>
        <w:tabs>
          <w:tab w:leader="none" w:pos="1660" w:val="left"/>
        </w:tabs>
        <w:numPr>
          <w:ilvl w:val="0"/>
          <w:numId w:val="213"/>
        </w:numPr>
        <w:rPr>
          <w:rFonts w:ascii="Arial" w:cs="Arial" w:eastAsia="Arial" w:hAnsi="Arial"/>
          <w:sz w:val="14"/>
          <w:szCs w:val="14"/>
          <w:b w:val="1"/>
          <w:bCs w:val="1"/>
          <w:color w:val="2952A4"/>
        </w:rPr>
      </w:pPr>
      <w:r>
        <w:rPr>
          <w:rFonts w:ascii="Arial" w:cs="Arial" w:eastAsia="Arial" w:hAnsi="Arial"/>
          <w:sz w:val="14"/>
          <w:szCs w:val="14"/>
          <w:color w:val="231F20"/>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p>
      <w:pPr>
        <w:spacing w:after="0" w:line="299" w:lineRule="exact"/>
        <w:rPr>
          <w:sz w:val="20"/>
          <w:szCs w:val="20"/>
          <w:color w:val="auto"/>
        </w:rPr>
      </w:pPr>
    </w:p>
    <w:p>
      <w:pPr>
        <w:ind w:left="1660" w:right="1660" w:hanging="176"/>
        <w:spacing w:after="0" w:line="244" w:lineRule="auto"/>
        <w:tabs>
          <w:tab w:leader="none" w:pos="1660" w:val="left"/>
        </w:tabs>
        <w:numPr>
          <w:ilvl w:val="0"/>
          <w:numId w:val="214"/>
        </w:numPr>
        <w:rPr>
          <w:rFonts w:ascii="Arial" w:cs="Arial" w:eastAsia="Arial" w:hAnsi="Arial"/>
          <w:sz w:val="14"/>
          <w:szCs w:val="14"/>
          <w:b w:val="1"/>
          <w:bCs w:val="1"/>
          <w:color w:val="2952A4"/>
        </w:rPr>
      </w:pPr>
      <w:r>
        <w:rPr>
          <w:rFonts w:ascii="Arial" w:cs="Arial" w:eastAsia="Arial" w:hAnsi="Arial"/>
          <w:sz w:val="14"/>
          <w:szCs w:val="14"/>
          <w:color w:val="231F20"/>
        </w:rPr>
        <w:t>Calculated by dividing (a) the sum of (i) the number of shares subject to equity awards (stock options and unvested RSAs, RSUs, and PSUs (assuming maximum payouts earned)) outstanding at the end of the year and (ii) the number of shares available for future grants under the Current Plan at the end of the year, by (b) the sum of (i) the number of shares of common stock and Class A stock outstanding at the end of the year, (ii) the shares subject to equity awards (stock options and unvested RSAs, RSUs, and PSUs (assuming maximum payouts earned)) outstanding at the end of the year, and (iii) the number of shares available for future grants under the Current Plan at the end of the year.</w:t>
      </w:r>
    </w:p>
    <w:p>
      <w:pPr>
        <w:spacing w:after="0" w:line="138" w:lineRule="exact"/>
        <w:rPr>
          <w:sz w:val="20"/>
          <w:szCs w:val="20"/>
          <w:color w:val="auto"/>
        </w:rPr>
      </w:pPr>
    </w:p>
    <w:p>
      <w:pPr>
        <w:ind w:left="1660" w:right="1720" w:hanging="176"/>
        <w:spacing w:after="0" w:line="247" w:lineRule="auto"/>
        <w:tabs>
          <w:tab w:leader="none" w:pos="1660" w:val="left"/>
        </w:tabs>
        <w:numPr>
          <w:ilvl w:val="0"/>
          <w:numId w:val="215"/>
        </w:numPr>
        <w:rPr>
          <w:rFonts w:ascii="Arial" w:cs="Arial" w:eastAsia="Arial" w:hAnsi="Arial"/>
          <w:sz w:val="14"/>
          <w:szCs w:val="14"/>
          <w:b w:val="1"/>
          <w:bCs w:val="1"/>
          <w:color w:val="2952A4"/>
        </w:rPr>
      </w:pPr>
      <w:r>
        <w:rPr>
          <w:rFonts w:ascii="Arial" w:cs="Arial" w:eastAsia="Arial" w:hAnsi="Arial"/>
          <w:sz w:val="14"/>
          <w:szCs w:val="14"/>
          <w:color w:val="231F20"/>
        </w:rPr>
        <w:t>Calculated by dividing the number of shares subject to equity awards (stock options and unvested RSAs, RSUs, and PSUs (assuming maximum payouts earned)) outstanding at the end of the year by the sum of (i) the number of shares of common stock and Class A stock outstanding at the end of the year and (ii) the shares subject to equity awards (stock options and unvested RSAs, RSUs, and PSUs (assuming maximum payouts earned)) outstanding at the end of the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60" w:type="dxa"/>
            <w:vAlign w:val="bottom"/>
          </w:tcPr>
          <w:p>
            <w:pPr>
              <w:jc w:val="right"/>
              <w:ind w:right="10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101</w:t>
            </w:r>
          </w:p>
        </w:tc>
      </w:tr>
      <w:tr>
        <w:trPr>
          <w:trHeight w:val="451"/>
        </w:trPr>
        <w:tc>
          <w:tcPr>
            <w:tcW w:w="7980" w:type="dxa"/>
            <w:vAlign w:val="bottom"/>
            <w:tcBorders>
              <w:bottom w:val="single" w:sz="8" w:color="C0C0C0"/>
            </w:tcBorders>
          </w:tcPr>
          <w:p>
            <w:pPr>
              <w:spacing w:after="0"/>
              <w:rPr>
                <w:sz w:val="24"/>
                <w:szCs w:val="24"/>
                <w:color w:val="auto"/>
              </w:rPr>
            </w:pPr>
          </w:p>
        </w:tc>
        <w:tc>
          <w:tcPr>
            <w:tcW w:w="3260" w:type="dxa"/>
            <w:vAlign w:val="bottom"/>
            <w:tcBorders>
              <w:bottom w:val="single" w:sz="8" w:color="C0C0C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-410845</wp:posOffset>
            </wp:positionV>
            <wp:extent cx="746125" cy="857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13" w:name="page114"/>
    <w:bookmarkEnd w:id="113"/>
    <w:p>
      <w:pPr>
        <w:ind w:left="500"/>
        <w:spacing w:after="0"/>
        <w:rPr>
          <w:sz w:val="20"/>
          <w:szCs w:val="20"/>
          <w:color w:val="auto"/>
        </w:rPr>
      </w:pPr>
      <w:r>
        <w:rPr>
          <w:rFonts w:ascii="Arial" w:cs="Arial" w:eastAsia="Arial" w:hAnsi="Arial"/>
          <w:sz w:val="16"/>
          <w:szCs w:val="16"/>
          <w:b w:val="1"/>
          <w:bCs w:val="1"/>
          <w:color w:val="2952A4"/>
        </w:rPr>
        <w:t>PROPOSAL 03: APPROVAL OF SECOND AMENDMENT AND RESTATEMENT OF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247" w:lineRule="exact"/>
        <w:rPr>
          <w:sz w:val="20"/>
          <w:szCs w:val="20"/>
          <w:color w:val="auto"/>
        </w:rPr>
      </w:pPr>
    </w:p>
    <w:p>
      <w:pPr>
        <w:ind w:left="500" w:right="899"/>
        <w:spacing w:after="0" w:line="278" w:lineRule="auto"/>
        <w:rPr>
          <w:sz w:val="20"/>
          <w:szCs w:val="20"/>
          <w:color w:val="auto"/>
        </w:rPr>
      </w:pPr>
      <w:r>
        <w:rPr>
          <w:rFonts w:ascii="Arial" w:cs="Arial" w:eastAsia="Arial" w:hAnsi="Arial"/>
          <w:sz w:val="29"/>
          <w:szCs w:val="29"/>
          <w:b w:val="1"/>
          <w:bCs w:val="1"/>
          <w:color w:val="C24D5C"/>
        </w:rPr>
        <w:t>MATERIAL TERMS OF THE NEW PLAN SUBMITTED FOR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-35560</wp:posOffset>
            </wp:positionV>
            <wp:extent cx="526351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70" w:lineRule="exact"/>
        <w:rPr>
          <w:sz w:val="20"/>
          <w:szCs w:val="20"/>
          <w:color w:val="auto"/>
        </w:rPr>
      </w:pPr>
    </w:p>
    <w:p>
      <w:pPr>
        <w:ind w:left="500" w:right="1099"/>
        <w:spacing w:after="0" w:line="242" w:lineRule="auto"/>
        <w:rPr>
          <w:sz w:val="20"/>
          <w:szCs w:val="20"/>
          <w:color w:val="auto"/>
        </w:rPr>
      </w:pPr>
      <w:r>
        <w:rPr>
          <w:rFonts w:ascii="Arial" w:cs="Arial" w:eastAsia="Arial" w:hAnsi="Arial"/>
          <w:sz w:val="15"/>
          <w:szCs w:val="15"/>
          <w:color w:val="231F20"/>
        </w:rPr>
        <w:t>The following description of the material terms of the New Plan is qualified in its entirety by the terms of the plan document, which is attached as Appendix B to this proxy statement.</w:t>
      </w:r>
    </w:p>
    <w:p>
      <w:pPr>
        <w:spacing w:after="0" w:line="120" w:lineRule="exact"/>
        <w:rPr>
          <w:sz w:val="20"/>
          <w:szCs w:val="20"/>
          <w:color w:val="auto"/>
        </w:rPr>
      </w:pPr>
    </w:p>
    <w:p>
      <w:pPr>
        <w:ind w:left="500" w:right="459"/>
        <w:spacing w:after="0" w:line="227" w:lineRule="auto"/>
        <w:rPr>
          <w:sz w:val="20"/>
          <w:szCs w:val="20"/>
          <w:color w:val="auto"/>
        </w:rPr>
      </w:pPr>
      <w:r>
        <w:rPr>
          <w:rFonts w:ascii="Arial" w:cs="Arial" w:eastAsia="Arial" w:hAnsi="Arial"/>
          <w:sz w:val="15"/>
          <w:szCs w:val="15"/>
          <w:b w:val="1"/>
          <w:bCs w:val="1"/>
          <w:color w:val="231F20"/>
        </w:rPr>
        <w:t xml:space="preserve">Available Shares. </w:t>
      </w:r>
      <w:r>
        <w:rPr>
          <w:rFonts w:ascii="Arial" w:cs="Arial" w:eastAsia="Arial" w:hAnsi="Arial"/>
          <w:sz w:val="15"/>
          <w:szCs w:val="15"/>
          <w:color w:val="231F20"/>
        </w:rPr>
        <w:t>As of April 14, 2020, the record date for this meeting, there were 10,150,052 shares of common stock</w:t>
      </w:r>
      <w:r>
        <w:rPr>
          <w:rFonts w:ascii="Arial" w:cs="Arial" w:eastAsia="Arial" w:hAnsi="Arial"/>
          <w:sz w:val="15"/>
          <w:szCs w:val="15"/>
          <w:b w:val="1"/>
          <w:bCs w:val="1"/>
          <w:color w:val="231F20"/>
        </w:rPr>
        <w:t xml:space="preserve"> </w:t>
      </w:r>
      <w:r>
        <w:rPr>
          <w:rFonts w:ascii="Arial" w:cs="Arial" w:eastAsia="Arial" w:hAnsi="Arial"/>
          <w:sz w:val="15"/>
          <w:szCs w:val="15"/>
          <w:color w:val="231F20"/>
        </w:rPr>
        <w:t>remaining available for issuance under the Current Plan. Utilizing management’s projections, which are based on past practices and projected headcount, the Compensation Committee has determined that the 12 million shares newly authorized under New Plan being submitted for shareholder approval (along with the remaining 10,150,052 shares authorized under the Current Plan) should satisfy the Company’s equity compensation needs for at least the next three years. If the New Plan is not approved by shareholders, to achieve our equity compensation objectives we will only be able to utilize the remaining 10,150,052 shares of common stock (as of the record date for this meeting) available under the Current Plan (plus any shares subject to awards which are returned to the plan upon the expiration, forfeiture, surrender, exchange, cancellation, or termination of previously granted awards). We believe that the current share pool would be insufficient to satisfy our expected recruiting and compensation needs. If the New Plan is approved by shareholders, an aggregate of 22,150,052 shares will be available for grants under the New Plan. Shares of common stock underlying or issued pursuant to equity awards previously granted under the Current Plan, the Regeneron Pharmaceuticals, Inc. 2014 Long-Term Incentive Plan (the “2014 Plan”), or the Regeneron Pharmaceuticals, Inc. Second Amended and Restated 2000 Long-Term Incentive Plan (the “2000 Plan”) that would otherwise have again become available under the Current Plan, the 2014 Plan, or the 2000 Plan upon the expiration, forfeiture, surrender, exchange, cancellation, or termination of such previously granted awards, in whole or in part, for any reason, including the surrender of shares to pay the exercise price or satisfy withholding tax obligations in connection with the grant, exercise, or vesting of all or part of an award will be added to the pool of shares available for grant under the New Plan. As of the record date for this meeting, there were 26,047,513 shares subject to outstanding awards (stock options, RSAs, RSUs, and PSUs) previously issued under the Current Plan, the 2014 Plan, and the 2000 Plan. All of the shares reserved and available for issuance under the New Plan, the various limits set forth in the New Plan, and the awards made thereunder will generally be subject to equitable adjustment upon the occurrence of any stock dividend or other distribution, recapitalization, stock split, subdivision, reorganization, merger, consolidation, combination, repurchase, or share exchange, or other similar corporate transaction or event. Shares issued pursuant to awards that are assumed by us in corporate transactions will not count against the shares available under the New Plan.</w:t>
      </w:r>
    </w:p>
    <w:p>
      <w:pPr>
        <w:spacing w:after="0" w:line="133" w:lineRule="exact"/>
        <w:rPr>
          <w:sz w:val="20"/>
          <w:szCs w:val="20"/>
          <w:color w:val="auto"/>
        </w:rPr>
      </w:pPr>
    </w:p>
    <w:p>
      <w:pPr>
        <w:ind w:left="500" w:right="979"/>
        <w:spacing w:after="0" w:line="267" w:lineRule="auto"/>
        <w:rPr>
          <w:sz w:val="20"/>
          <w:szCs w:val="20"/>
          <w:color w:val="auto"/>
        </w:rPr>
      </w:pPr>
      <w:r>
        <w:rPr>
          <w:rFonts w:ascii="Arial" w:cs="Arial" w:eastAsia="Arial" w:hAnsi="Arial"/>
          <w:sz w:val="15"/>
          <w:szCs w:val="15"/>
          <w:b w:val="1"/>
          <w:bCs w:val="1"/>
          <w:color w:val="231F20"/>
        </w:rPr>
        <w:t xml:space="preserve">Plan Term. </w:t>
      </w:r>
      <w:r>
        <w:rPr>
          <w:rFonts w:ascii="Arial" w:cs="Arial" w:eastAsia="Arial" w:hAnsi="Arial"/>
          <w:sz w:val="15"/>
          <w:szCs w:val="15"/>
          <w:color w:val="231F20"/>
        </w:rPr>
        <w:t>The term of the New Plan runs through April 3, 2030 (although awards granted prior to such date may</w:t>
      </w:r>
      <w:r>
        <w:rPr>
          <w:rFonts w:ascii="Arial" w:cs="Arial" w:eastAsia="Arial" w:hAnsi="Arial"/>
          <w:sz w:val="15"/>
          <w:szCs w:val="15"/>
          <w:b w:val="1"/>
          <w:bCs w:val="1"/>
          <w:color w:val="231F20"/>
        </w:rPr>
        <w:t xml:space="preserve"> </w:t>
      </w:r>
      <w:r>
        <w:rPr>
          <w:rFonts w:ascii="Arial" w:cs="Arial" w:eastAsia="Arial" w:hAnsi="Arial"/>
          <w:sz w:val="15"/>
          <w:szCs w:val="15"/>
          <w:color w:val="231F20"/>
        </w:rPr>
        <w:t>continue in effect beyond that date in accordance with their respective terms).</w:t>
      </w:r>
    </w:p>
    <w:p>
      <w:pPr>
        <w:spacing w:after="0" w:line="102" w:lineRule="exact"/>
        <w:rPr>
          <w:sz w:val="20"/>
          <w:szCs w:val="20"/>
          <w:color w:val="auto"/>
        </w:rPr>
      </w:pPr>
    </w:p>
    <w:p>
      <w:pPr>
        <w:ind w:left="500" w:right="439"/>
        <w:spacing w:after="0" w:line="234" w:lineRule="auto"/>
        <w:rPr>
          <w:sz w:val="20"/>
          <w:szCs w:val="20"/>
          <w:color w:val="auto"/>
        </w:rPr>
      </w:pPr>
      <w:r>
        <w:rPr>
          <w:rFonts w:ascii="Arial" w:cs="Arial" w:eastAsia="Arial" w:hAnsi="Arial"/>
          <w:sz w:val="15"/>
          <w:szCs w:val="15"/>
          <w:b w:val="1"/>
          <w:bCs w:val="1"/>
          <w:color w:val="231F20"/>
        </w:rPr>
        <w:t xml:space="preserve">Administration. </w:t>
      </w:r>
      <w:r>
        <w:rPr>
          <w:rFonts w:ascii="Arial" w:cs="Arial" w:eastAsia="Arial" w:hAnsi="Arial"/>
          <w:sz w:val="15"/>
          <w:szCs w:val="15"/>
          <w:color w:val="231F20"/>
        </w:rPr>
        <w:t>The New Plan is to be administered by the Compensation Committee of the board of directors. Each</w:t>
      </w:r>
      <w:r>
        <w:rPr>
          <w:rFonts w:ascii="Arial" w:cs="Arial" w:eastAsia="Arial" w:hAnsi="Arial"/>
          <w:sz w:val="15"/>
          <w:szCs w:val="15"/>
          <w:b w:val="1"/>
          <w:bCs w:val="1"/>
          <w:color w:val="231F20"/>
        </w:rPr>
        <w:t xml:space="preserve"> </w:t>
      </w:r>
      <w:r>
        <w:rPr>
          <w:rFonts w:ascii="Arial" w:cs="Arial" w:eastAsia="Arial" w:hAnsi="Arial"/>
          <w:sz w:val="15"/>
          <w:szCs w:val="15"/>
          <w:color w:val="231F20"/>
        </w:rPr>
        <w:t>member of the Compensation Committee is intended to be a “Non-Employee Director” (within the meaning of Rule 16b-3 under the Exchange Act) and to otherwise qualify as independent to the extent required under applicable law, regulations, and listing standards. The New Plan allows the Compensation Committee to delegate to one or more executive officers of the Company the authority to exercise any of the Compensation Committee’s responsibilities under the New Plan, including the authority to grant awards thereunder (subject to certain limitations set forth in the New Plan).</w:t>
      </w:r>
    </w:p>
    <w:p>
      <w:pPr>
        <w:spacing w:after="0" w:line="125" w:lineRule="exact"/>
        <w:rPr>
          <w:sz w:val="20"/>
          <w:szCs w:val="20"/>
          <w:color w:val="auto"/>
        </w:rPr>
      </w:pPr>
    </w:p>
    <w:p>
      <w:pPr>
        <w:ind w:left="500" w:right="679"/>
        <w:spacing w:after="0" w:line="246" w:lineRule="auto"/>
        <w:rPr>
          <w:sz w:val="20"/>
          <w:szCs w:val="20"/>
          <w:color w:val="auto"/>
        </w:rPr>
      </w:pPr>
      <w:r>
        <w:rPr>
          <w:rFonts w:ascii="Arial" w:cs="Arial" w:eastAsia="Arial" w:hAnsi="Arial"/>
          <w:sz w:val="15"/>
          <w:szCs w:val="15"/>
          <w:b w:val="1"/>
          <w:bCs w:val="1"/>
          <w:color w:val="231F20"/>
        </w:rPr>
        <w:t xml:space="preserve">Amendment; Term. </w:t>
      </w:r>
      <w:r>
        <w:rPr>
          <w:rFonts w:ascii="Arial" w:cs="Arial" w:eastAsia="Arial" w:hAnsi="Arial"/>
          <w:sz w:val="15"/>
          <w:szCs w:val="15"/>
          <w:color w:val="231F20"/>
        </w:rPr>
        <w:t>The New Plan may be amended by the board of directors, subject to shareholder approval where</w:t>
      </w:r>
      <w:r>
        <w:rPr>
          <w:rFonts w:ascii="Arial" w:cs="Arial" w:eastAsia="Arial" w:hAnsi="Arial"/>
          <w:sz w:val="15"/>
          <w:szCs w:val="15"/>
          <w:b w:val="1"/>
          <w:bCs w:val="1"/>
          <w:color w:val="231F20"/>
        </w:rPr>
        <w:t xml:space="preserve"> </w:t>
      </w:r>
      <w:r>
        <w:rPr>
          <w:rFonts w:ascii="Arial" w:cs="Arial" w:eastAsia="Arial" w:hAnsi="Arial"/>
          <w:sz w:val="15"/>
          <w:szCs w:val="15"/>
          <w:color w:val="231F20"/>
        </w:rPr>
        <w:t>necessary, to satisfy certain regulatory or legal requirements. The New Plan will terminate no later than April 3, 2030. However, awards granted before such termination will extend beyond that date in accordance with their terms.</w:t>
      </w:r>
    </w:p>
    <w:p>
      <w:pPr>
        <w:spacing w:after="0" w:line="118" w:lineRule="exact"/>
        <w:rPr>
          <w:sz w:val="20"/>
          <w:szCs w:val="20"/>
          <w:color w:val="auto"/>
        </w:rPr>
      </w:pPr>
    </w:p>
    <w:p>
      <w:pPr>
        <w:ind w:left="500" w:right="379"/>
        <w:spacing w:after="0" w:line="236" w:lineRule="auto"/>
        <w:rPr>
          <w:sz w:val="20"/>
          <w:szCs w:val="20"/>
          <w:color w:val="auto"/>
        </w:rPr>
      </w:pPr>
      <w:r>
        <w:rPr>
          <w:rFonts w:ascii="Arial" w:cs="Arial" w:eastAsia="Arial" w:hAnsi="Arial"/>
          <w:sz w:val="15"/>
          <w:szCs w:val="15"/>
          <w:b w:val="1"/>
          <w:bCs w:val="1"/>
          <w:color w:val="231F20"/>
        </w:rPr>
        <w:t xml:space="preserve">Participants. </w:t>
      </w:r>
      <w:r>
        <w:rPr>
          <w:rFonts w:ascii="Arial" w:cs="Arial" w:eastAsia="Arial" w:hAnsi="Arial"/>
          <w:sz w:val="15"/>
          <w:szCs w:val="15"/>
          <w:color w:val="231F20"/>
        </w:rPr>
        <w:t>Awards under the New Plan may be made to employees of the Company, including officers of the Company</w:t>
      </w:r>
      <w:r>
        <w:rPr>
          <w:rFonts w:ascii="Arial" w:cs="Arial" w:eastAsia="Arial" w:hAnsi="Arial"/>
          <w:sz w:val="15"/>
          <w:szCs w:val="15"/>
          <w:b w:val="1"/>
          <w:bCs w:val="1"/>
          <w:color w:val="231F20"/>
        </w:rPr>
        <w:t xml:space="preserve"> </w:t>
      </w:r>
      <w:r>
        <w:rPr>
          <w:rFonts w:ascii="Arial" w:cs="Arial" w:eastAsia="Arial" w:hAnsi="Arial"/>
          <w:sz w:val="15"/>
          <w:szCs w:val="15"/>
          <w:color w:val="231F20"/>
        </w:rPr>
        <w:t>(whether or not they are directors), and to non-employee directors and consultants. Non-employee directors receive grants subject to the limits described under “Non-Employee Director Awards” below. As of the record date for this meeting, we had 8,095 employees and nine non-employee directors, who would have been eligible to receive awards under the New Plan; as of that date, no consultants would have been eligible to receive awards thereunder.</w:t>
      </w:r>
    </w:p>
    <w:p>
      <w:pPr>
        <w:spacing w:after="0" w:line="124" w:lineRule="exact"/>
        <w:rPr>
          <w:sz w:val="20"/>
          <w:szCs w:val="20"/>
          <w:color w:val="auto"/>
        </w:rPr>
      </w:pPr>
    </w:p>
    <w:p>
      <w:pPr>
        <w:ind w:left="500" w:right="439"/>
        <w:spacing w:after="0" w:line="267" w:lineRule="auto"/>
        <w:rPr>
          <w:sz w:val="20"/>
          <w:szCs w:val="20"/>
          <w:color w:val="auto"/>
        </w:rPr>
      </w:pPr>
      <w:r>
        <w:rPr>
          <w:rFonts w:ascii="Arial" w:cs="Arial" w:eastAsia="Arial" w:hAnsi="Arial"/>
          <w:sz w:val="15"/>
          <w:szCs w:val="15"/>
          <w:b w:val="1"/>
          <w:bCs w:val="1"/>
          <w:color w:val="231F20"/>
        </w:rPr>
        <w:t xml:space="preserve">Awards. </w:t>
      </w:r>
      <w:r>
        <w:rPr>
          <w:rFonts w:ascii="Arial" w:cs="Arial" w:eastAsia="Arial" w:hAnsi="Arial"/>
          <w:sz w:val="15"/>
          <w:szCs w:val="15"/>
          <w:color w:val="231F20"/>
        </w:rPr>
        <w:t>There are generally five types of awards that may be granted under the New Plan: Stock Options (including both</w:t>
      </w:r>
      <w:r>
        <w:rPr>
          <w:rFonts w:ascii="Arial" w:cs="Arial" w:eastAsia="Arial" w:hAnsi="Arial"/>
          <w:sz w:val="15"/>
          <w:szCs w:val="15"/>
          <w:b w:val="1"/>
          <w:bCs w:val="1"/>
          <w:color w:val="231F20"/>
        </w:rPr>
        <w:t xml:space="preserve"> </w:t>
      </w:r>
      <w:r>
        <w:rPr>
          <w:rFonts w:ascii="Arial" w:cs="Arial" w:eastAsia="Arial" w:hAnsi="Arial"/>
          <w:sz w:val="15"/>
          <w:szCs w:val="15"/>
          <w:color w:val="231F20"/>
        </w:rPr>
        <w:t>incentive stock options (referred to as “ISOs”) within the meaning of Section 422 of the Internal Revenue Code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102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281305</wp:posOffset>
            </wp:positionV>
            <wp:extent cx="713232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sectPr>
      </w:pPr>
    </w:p>
    <w:bookmarkStart w:id="114" w:name="page115"/>
    <w:bookmarkEnd w:id="114"/>
    <w:p>
      <w:pPr>
        <w:ind w:left="1220"/>
        <w:spacing w:after="0"/>
        <w:rPr>
          <w:sz w:val="20"/>
          <w:szCs w:val="20"/>
          <w:color w:val="auto"/>
        </w:rPr>
      </w:pPr>
      <w:r>
        <w:rPr>
          <w:rFonts w:ascii="Arial" w:cs="Arial" w:eastAsia="Arial" w:hAnsi="Arial"/>
          <w:sz w:val="16"/>
          <w:szCs w:val="16"/>
          <w:b w:val="1"/>
          <w:bCs w:val="1"/>
          <w:color w:val="2952A4"/>
        </w:rPr>
        <w:t>PROPOSAL 03: APPROVAL OF SECOND AMENDMENT AND RESTATEMENT OF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41" w:lineRule="exact"/>
        <w:rPr>
          <w:sz w:val="20"/>
          <w:szCs w:val="20"/>
          <w:color w:val="auto"/>
        </w:rPr>
      </w:pPr>
    </w:p>
    <w:p>
      <w:pPr>
        <w:ind w:left="1480" w:right="1480"/>
        <w:spacing w:after="0" w:line="230" w:lineRule="auto"/>
        <w:rPr>
          <w:sz w:val="20"/>
          <w:szCs w:val="20"/>
          <w:color w:val="auto"/>
        </w:rPr>
      </w:pPr>
      <w:r>
        <w:rPr>
          <w:rFonts w:ascii="Arial" w:cs="Arial" w:eastAsia="Arial" w:hAnsi="Arial"/>
          <w:sz w:val="15"/>
          <w:szCs w:val="15"/>
          <w:color w:val="231F20"/>
        </w:rPr>
        <w:t>and nonqualified stock options (referred to as “NQSOs”), which are options that do not qualify as ISOs), Restricted Stock, Phantom Stock (including RSUs and PSUs (each as defined below)), Stock Appreciation Rights, and Stock Bonus awards. In addition, the Compensation Committee in its discretion may make other awards valued in whole or in part by reference to, or otherwise based on, shares of common stock. The maximum number of shares which may be made subject to grants of ISOs during the term of the New Plan is 22,150,052. While the New Plan will permit the issuance of ISOs, the Compensation Committee determined to stop using ISOs in November 2012 and has not authorized any ISOs since then.</w:t>
      </w:r>
    </w:p>
    <w:p>
      <w:pPr>
        <w:spacing w:after="0" w:line="124" w:lineRule="exact"/>
        <w:rPr>
          <w:sz w:val="20"/>
          <w:szCs w:val="20"/>
          <w:color w:val="auto"/>
        </w:rPr>
      </w:pPr>
    </w:p>
    <w:p>
      <w:pPr>
        <w:ind w:left="1480" w:right="1500"/>
        <w:spacing w:after="0" w:line="236" w:lineRule="auto"/>
        <w:rPr>
          <w:sz w:val="20"/>
          <w:szCs w:val="20"/>
          <w:color w:val="auto"/>
        </w:rPr>
      </w:pPr>
      <w:r>
        <w:rPr>
          <w:rFonts w:ascii="Arial" w:cs="Arial" w:eastAsia="Arial" w:hAnsi="Arial"/>
          <w:sz w:val="15"/>
          <w:szCs w:val="15"/>
          <w:b w:val="1"/>
          <w:bCs w:val="1"/>
          <w:color w:val="231F20"/>
        </w:rPr>
        <w:t xml:space="preserve">Vesting. </w:t>
      </w:r>
      <w:r>
        <w:rPr>
          <w:rFonts w:ascii="Arial" w:cs="Arial" w:eastAsia="Arial" w:hAnsi="Arial"/>
          <w:sz w:val="15"/>
          <w:szCs w:val="15"/>
          <w:color w:val="231F20"/>
        </w:rPr>
        <w:t>Awards become exercisable or otherwise vest at the times and upon the conditions that the Compensation</w:t>
      </w:r>
      <w:r>
        <w:rPr>
          <w:rFonts w:ascii="Arial" w:cs="Arial" w:eastAsia="Arial" w:hAnsi="Arial"/>
          <w:sz w:val="15"/>
          <w:szCs w:val="15"/>
          <w:b w:val="1"/>
          <w:bCs w:val="1"/>
          <w:color w:val="231F20"/>
        </w:rPr>
        <w:t xml:space="preserve"> </w:t>
      </w:r>
      <w:r>
        <w:rPr>
          <w:rFonts w:ascii="Arial" w:cs="Arial" w:eastAsia="Arial" w:hAnsi="Arial"/>
          <w:sz w:val="15"/>
          <w:szCs w:val="15"/>
          <w:color w:val="231F20"/>
        </w:rPr>
        <w:t>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New Plan).</w:t>
      </w:r>
    </w:p>
    <w:p>
      <w:pPr>
        <w:spacing w:after="0" w:line="124" w:lineRule="exact"/>
        <w:rPr>
          <w:sz w:val="20"/>
          <w:szCs w:val="20"/>
          <w:color w:val="auto"/>
        </w:rPr>
      </w:pPr>
    </w:p>
    <w:p>
      <w:pPr>
        <w:ind w:left="1480" w:right="1480"/>
        <w:spacing w:after="0" w:line="238" w:lineRule="auto"/>
        <w:rPr>
          <w:sz w:val="20"/>
          <w:szCs w:val="20"/>
          <w:color w:val="auto"/>
        </w:rPr>
      </w:pPr>
      <w:r>
        <w:rPr>
          <w:rFonts w:ascii="Arial" w:cs="Arial" w:eastAsia="Arial" w:hAnsi="Arial"/>
          <w:sz w:val="15"/>
          <w:szCs w:val="15"/>
          <w:b w:val="1"/>
          <w:bCs w:val="1"/>
          <w:color w:val="231F20"/>
        </w:rPr>
        <w:t xml:space="preserve">Stock Options. </w:t>
      </w:r>
      <w:r>
        <w:rPr>
          <w:rFonts w:ascii="Arial" w:cs="Arial" w:eastAsia="Arial" w:hAnsi="Arial"/>
          <w:sz w:val="15"/>
          <w:szCs w:val="15"/>
          <w:color w:val="231F20"/>
        </w:rPr>
        <w:t>Options entitle the holder to purchase shares of common stock during a specified period at the purchase</w:t>
      </w:r>
      <w:r>
        <w:rPr>
          <w:rFonts w:ascii="Arial" w:cs="Arial" w:eastAsia="Arial" w:hAnsi="Arial"/>
          <w:sz w:val="15"/>
          <w:szCs w:val="15"/>
          <w:b w:val="1"/>
          <w:bCs w:val="1"/>
          <w:color w:val="231F20"/>
        </w:rPr>
        <w:t xml:space="preserve"> </w:t>
      </w:r>
      <w:r>
        <w:rPr>
          <w:rFonts w:ascii="Arial" w:cs="Arial" w:eastAsia="Arial" w:hAnsi="Arial"/>
          <w:sz w:val="15"/>
          <w:szCs w:val="15"/>
          <w:color w:val="231F20"/>
        </w:rPr>
        <w:t>price specified by the Compensation Committee, which may not be less than 100% of the fair market value of the common stock on the day the option is granted (determined as (i) the average of the high and low sales price per share of common stock on the securities exchange or system on which such stock is principally traded on such date or, if such date is not a trading day, on the last preceding date on which there was a sale of such stock on such exchange or system, or (ii) if the shares of common stock are not then listed, or the value of such shares is not otherwise determinable, such value as determined by the Compensation Committee in good faith). Each option granted under the New Plan will be exercisable for a maximum period of 10 years from the date of grant (subject to early termination such as upon a termination of employment), or such lesser period as the Compensation Committee shall determine. Options may be exercised, in whole or in part, by the payment in cash of the full option price of the shares purchased, by tendering shares of common stock with a fair market value equal to the option price of the shares purchased, or by other methods in the discretion of the Compensation Committee. The vesting schedule for options to be granted under the New Plan will be determined by the Compensation Committee.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then outstanding and unexercisable options held by such participant shall become exercisable by the participant’s heirs or legal representatives. Options held by a participant upon termination from the Company’s service for cause shall immediately expire (whether or not then exercisable). Except in connection with specific corporate transactions (such as stock splits, recapitalizations, reorganizations, mergers, consolidations, and similar transactions), the New Plan does not permit a decrease in the exercise price of a stock option granted under the New Plan through settlement, cancellation, forfeiture, exchange, surrender, or otherwise below the fair market value of common stock (as defined in the New Plan and described above) on the date of grant.</w:t>
      </w:r>
    </w:p>
    <w:p>
      <w:pPr>
        <w:spacing w:after="0" w:line="134" w:lineRule="exact"/>
        <w:rPr>
          <w:sz w:val="20"/>
          <w:szCs w:val="20"/>
          <w:color w:val="auto"/>
        </w:rPr>
      </w:pPr>
    </w:p>
    <w:p>
      <w:pPr>
        <w:ind w:left="1480" w:right="1500"/>
        <w:spacing w:after="0" w:line="231" w:lineRule="auto"/>
        <w:rPr>
          <w:sz w:val="20"/>
          <w:szCs w:val="20"/>
          <w:color w:val="auto"/>
        </w:rPr>
      </w:pPr>
      <w:r>
        <w:rPr>
          <w:rFonts w:ascii="Arial" w:cs="Arial" w:eastAsia="Arial" w:hAnsi="Arial"/>
          <w:sz w:val="15"/>
          <w:szCs w:val="15"/>
          <w:b w:val="1"/>
          <w:bCs w:val="1"/>
          <w:color w:val="231F20"/>
        </w:rPr>
        <w:t xml:space="preserve">Restricted Stock. </w:t>
      </w:r>
      <w:r>
        <w:rPr>
          <w:rFonts w:ascii="Arial" w:cs="Arial" w:eastAsia="Arial" w:hAnsi="Arial"/>
          <w:sz w:val="15"/>
          <w:szCs w:val="15"/>
          <w:color w:val="231F20"/>
        </w:rPr>
        <w:t>Restricted stock awards (“RSAs”) consist of a grant of shares of restricted common stock.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Compensation Committee may determine the price, if any, to be paid by a participant for each share of restricted stock subject to an RSA. Unless otherwise provided in the applicable award agreement, an RSA holder may vote, and if the participant remains in the service of the Company until the applicable “Vesting Date” as defined in the New Plan, he or she may generally receive all dividends on, all shares subject to the RSA. However, such holder may not transfer such shares until the applicable Vesting Date. If for any reason before the applicable Vesting Date an RSA holder ceases to be in the employment or service of the Company, unless otherwise provided in the applicable award agreement or determined by the Compensation Committee, the holder shall be required to forfeit to the Company any such RSA together with any dividends paid thereon.</w:t>
      </w:r>
    </w:p>
    <w:p>
      <w:pPr>
        <w:spacing w:after="0" w:line="126" w:lineRule="exact"/>
        <w:rPr>
          <w:sz w:val="20"/>
          <w:szCs w:val="20"/>
          <w:color w:val="auto"/>
        </w:rPr>
      </w:pPr>
    </w:p>
    <w:p>
      <w:pPr>
        <w:ind w:left="1480" w:right="1480"/>
        <w:spacing w:after="0" w:line="232" w:lineRule="auto"/>
        <w:rPr>
          <w:sz w:val="20"/>
          <w:szCs w:val="20"/>
          <w:color w:val="auto"/>
        </w:rPr>
      </w:pPr>
      <w:r>
        <w:rPr>
          <w:rFonts w:ascii="Arial" w:cs="Arial" w:eastAsia="Arial" w:hAnsi="Arial"/>
          <w:sz w:val="15"/>
          <w:szCs w:val="15"/>
          <w:b w:val="1"/>
          <w:bCs w:val="1"/>
          <w:color w:val="231F20"/>
        </w:rPr>
        <w:t xml:space="preserve">Phantom Stock. </w:t>
      </w:r>
      <w:r>
        <w:rPr>
          <w:rFonts w:ascii="Arial" w:cs="Arial" w:eastAsia="Arial" w:hAnsi="Arial"/>
          <w:sz w:val="15"/>
          <w:szCs w:val="15"/>
          <w:color w:val="231F20"/>
        </w:rPr>
        <w:t>A phantom stock award is an award of the right to receive common stock or an amount of cash based on</w:t>
      </w:r>
      <w:r>
        <w:rPr>
          <w:rFonts w:ascii="Arial" w:cs="Arial" w:eastAsia="Arial" w:hAnsi="Arial"/>
          <w:sz w:val="15"/>
          <w:szCs w:val="15"/>
          <w:b w:val="1"/>
          <w:bCs w:val="1"/>
          <w:color w:val="231F20"/>
        </w:rPr>
        <w:t xml:space="preserve"> </w:t>
      </w:r>
      <w:r>
        <w:rPr>
          <w:rFonts w:ascii="Arial" w:cs="Arial" w:eastAsia="Arial" w:hAnsi="Arial"/>
          <w:sz w:val="15"/>
          <w:szCs w:val="15"/>
          <w:color w:val="231F20"/>
        </w:rPr>
        <w:t>the value of the common stock at a future date, subject to such restrictions, if any, as the Compensation Committee may impose at the date of grant or thereafter, which restrictions may lapse separately or in combination at such times, under such circumstances (including without limitation a specified period of employment or the achievement of certain performance goals), in such installments, or otherwise, as the Compensation Committee may determine. Time-based restricted stock units (“RSUs”) and performance-based restricted stock units (“PSUs”) are each a type of phantom stock award permitted under the New Plan. A phantom stock award settled in cash does not reduce the number of shares of common stock with respect to which awards may be granted under the New Plan.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60" w:type="dxa"/>
            <w:vAlign w:val="bottom"/>
          </w:tcPr>
          <w:p>
            <w:pPr>
              <w:jc w:val="right"/>
              <w:ind w:right="10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103</w:t>
            </w:r>
          </w:p>
        </w:tc>
      </w:tr>
      <w:tr>
        <w:trPr>
          <w:trHeight w:val="451"/>
        </w:trPr>
        <w:tc>
          <w:tcPr>
            <w:tcW w:w="7980" w:type="dxa"/>
            <w:vAlign w:val="bottom"/>
            <w:tcBorders>
              <w:bottom w:val="single" w:sz="8" w:color="C0C0C0"/>
            </w:tcBorders>
          </w:tcPr>
          <w:p>
            <w:pPr>
              <w:spacing w:after="0"/>
              <w:rPr>
                <w:sz w:val="24"/>
                <w:szCs w:val="24"/>
                <w:color w:val="auto"/>
              </w:rPr>
            </w:pPr>
          </w:p>
        </w:tc>
        <w:tc>
          <w:tcPr>
            <w:tcW w:w="3260" w:type="dxa"/>
            <w:vAlign w:val="bottom"/>
            <w:tcBorders>
              <w:bottom w:val="single" w:sz="8" w:color="C0C0C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-410845</wp:posOffset>
            </wp:positionV>
            <wp:extent cx="746125" cy="8572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15" w:name="page116"/>
    <w:bookmarkEnd w:id="115"/>
    <w:p>
      <w:pPr>
        <w:ind w:left="500"/>
        <w:spacing w:after="0"/>
        <w:rPr>
          <w:sz w:val="20"/>
          <w:szCs w:val="20"/>
          <w:color w:val="auto"/>
        </w:rPr>
      </w:pPr>
      <w:r>
        <w:rPr>
          <w:rFonts w:ascii="Arial" w:cs="Arial" w:eastAsia="Arial" w:hAnsi="Arial"/>
          <w:sz w:val="16"/>
          <w:szCs w:val="16"/>
          <w:b w:val="1"/>
          <w:bCs w:val="1"/>
          <w:color w:val="2952A4"/>
        </w:rPr>
        <w:t>PROPOSAL 03: APPROVAL OF SECOND AMENDMENT AND RESTATEMENT OF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265" w:lineRule="exact"/>
        <w:rPr>
          <w:sz w:val="20"/>
          <w:szCs w:val="20"/>
          <w:color w:val="auto"/>
        </w:rPr>
      </w:pPr>
    </w:p>
    <w:p>
      <w:pPr>
        <w:ind w:left="500" w:right="419"/>
        <w:spacing w:after="0"/>
        <w:rPr>
          <w:sz w:val="20"/>
          <w:szCs w:val="20"/>
          <w:color w:val="auto"/>
        </w:rPr>
      </w:pPr>
      <w:r>
        <w:rPr>
          <w:rFonts w:ascii="Arial" w:cs="Arial" w:eastAsia="Arial" w:hAnsi="Arial"/>
          <w:sz w:val="15"/>
          <w:szCs w:val="15"/>
          <w:b w:val="1"/>
          <w:bCs w:val="1"/>
          <w:color w:val="231F20"/>
        </w:rPr>
        <w:t xml:space="preserve">Stock Appreciation Rights. </w:t>
      </w:r>
      <w:r>
        <w:rPr>
          <w:rFonts w:ascii="Arial" w:cs="Arial" w:eastAsia="Arial" w:hAnsi="Arial"/>
          <w:sz w:val="15"/>
          <w:szCs w:val="15"/>
          <w:color w:val="231F20"/>
        </w:rPr>
        <w:t>Stock appreciation rights (“SARs”) entitle the holder to a payment (in cash or shares) equal</w:t>
      </w:r>
      <w:r>
        <w:rPr>
          <w:rFonts w:ascii="Arial" w:cs="Arial" w:eastAsia="Arial" w:hAnsi="Arial"/>
          <w:sz w:val="15"/>
          <w:szCs w:val="15"/>
          <w:b w:val="1"/>
          <w:bCs w:val="1"/>
          <w:color w:val="231F20"/>
        </w:rPr>
        <w:t xml:space="preserve"> </w:t>
      </w:r>
      <w:r>
        <w:rPr>
          <w:rFonts w:ascii="Arial" w:cs="Arial" w:eastAsia="Arial" w:hAnsi="Arial"/>
          <w:sz w:val="15"/>
          <w:szCs w:val="15"/>
          <w:color w:val="231F20"/>
        </w:rPr>
        <w:t>to the appreciation in the value of our common stock during a specified period above the base price specified by the Compensation Committee, which may not be less than 100% of the fair market value of the common stock (as defined in the New Plan and described above) on the day the SAR is granted. Each SAR granted under the New Plan will be exercisable for a maximum period of 10 years from the date of grant (subject to early termination such as upon a termination of employment), or such lesser period as the Compensation Committee shall determine. The vesting schedule for SARs to be granted under the New Plan will be determined by the Compensation Committee. SARs that are exercisable as of the date of a participant’s termination of service with the Company may be exercised after such date for the period set forth in the SAR agreement or as otherwise determined by the Compensation Committee. Except in connection with specific corporate transactions (such as stock splits, recapitalizations, reorganizations, mergers, consolidations, and similar transactions), the New Plan does not permit a decrease in the base price of a SAR granted under the New Plan through settlement, cancellation, forfeiture, exchange, surrender, or otherwise below the fair market value of common stock on the date of grant.</w:t>
      </w:r>
    </w:p>
    <w:p>
      <w:pPr>
        <w:spacing w:after="0" w:line="198" w:lineRule="exact"/>
        <w:rPr>
          <w:sz w:val="20"/>
          <w:szCs w:val="20"/>
          <w:color w:val="auto"/>
        </w:rPr>
      </w:pPr>
    </w:p>
    <w:p>
      <w:pPr>
        <w:ind w:left="500" w:right="479"/>
        <w:spacing w:after="0" w:line="246" w:lineRule="auto"/>
        <w:rPr>
          <w:sz w:val="20"/>
          <w:szCs w:val="20"/>
          <w:color w:val="auto"/>
        </w:rPr>
      </w:pPr>
      <w:r>
        <w:rPr>
          <w:rFonts w:ascii="Arial" w:cs="Arial" w:eastAsia="Arial" w:hAnsi="Arial"/>
          <w:sz w:val="15"/>
          <w:szCs w:val="15"/>
          <w:b w:val="1"/>
          <w:bCs w:val="1"/>
          <w:color w:val="231F20"/>
        </w:rPr>
        <w:t xml:space="preserve">Stock Bonus. </w:t>
      </w:r>
      <w:r>
        <w:rPr>
          <w:rFonts w:ascii="Arial" w:cs="Arial" w:eastAsia="Arial" w:hAnsi="Arial"/>
          <w:sz w:val="15"/>
          <w:szCs w:val="15"/>
          <w:color w:val="231F20"/>
        </w:rPr>
        <w:t>If the Compensation Committee grants a stock bonus award (which an award that is not subject to vesting</w:t>
      </w:r>
      <w:r>
        <w:rPr>
          <w:rFonts w:ascii="Arial" w:cs="Arial" w:eastAsia="Arial" w:hAnsi="Arial"/>
          <w:sz w:val="15"/>
          <w:szCs w:val="15"/>
          <w:b w:val="1"/>
          <w:bCs w:val="1"/>
          <w:color w:val="231F20"/>
        </w:rPr>
        <w:t xml:space="preserve"> </w:t>
      </w:r>
      <w:r>
        <w:rPr>
          <w:rFonts w:ascii="Arial" w:cs="Arial" w:eastAsia="Arial" w:hAnsi="Arial"/>
          <w:sz w:val="15"/>
          <w:szCs w:val="15"/>
          <w:color w:val="231F20"/>
        </w:rPr>
        <w:t>conditions), a certificate for the shares of common stock consisting of such stock bonus is issued in the name of the participant to whom such grant was made.</w:t>
      </w:r>
    </w:p>
    <w:p>
      <w:pPr>
        <w:spacing w:after="0" w:line="118" w:lineRule="exact"/>
        <w:rPr>
          <w:sz w:val="20"/>
          <w:szCs w:val="20"/>
          <w:color w:val="auto"/>
        </w:rPr>
      </w:pPr>
    </w:p>
    <w:p>
      <w:pPr>
        <w:ind w:left="500" w:right="739"/>
        <w:spacing w:after="0" w:line="246" w:lineRule="auto"/>
        <w:rPr>
          <w:sz w:val="20"/>
          <w:szCs w:val="20"/>
          <w:color w:val="auto"/>
        </w:rPr>
      </w:pPr>
      <w:r>
        <w:rPr>
          <w:rFonts w:ascii="Arial" w:cs="Arial" w:eastAsia="Arial" w:hAnsi="Arial"/>
          <w:sz w:val="15"/>
          <w:szCs w:val="15"/>
          <w:b w:val="1"/>
          <w:bCs w:val="1"/>
          <w:color w:val="231F20"/>
        </w:rPr>
        <w:t xml:space="preserve">Recoupment (Clawback). </w:t>
      </w:r>
      <w:r>
        <w:rPr>
          <w:rFonts w:ascii="Arial" w:cs="Arial" w:eastAsia="Arial" w:hAnsi="Arial"/>
          <w:sz w:val="15"/>
          <w:szCs w:val="15"/>
          <w:color w:val="231F20"/>
        </w:rPr>
        <w:t>Awards granted to our officers and other employees under the New Plan will be subject to</w:t>
      </w:r>
      <w:r>
        <w:rPr>
          <w:rFonts w:ascii="Arial" w:cs="Arial" w:eastAsia="Arial" w:hAnsi="Arial"/>
          <w:sz w:val="15"/>
          <w:szCs w:val="15"/>
          <w:b w:val="1"/>
          <w:bCs w:val="1"/>
          <w:color w:val="231F20"/>
        </w:rPr>
        <w:t xml:space="preserve"> </w:t>
      </w:r>
      <w:r>
        <w:rPr>
          <w:rFonts w:ascii="Arial" w:cs="Arial" w:eastAsia="Arial" w:hAnsi="Arial"/>
          <w:sz w:val="15"/>
          <w:szCs w:val="15"/>
          <w:color w:val="231F20"/>
        </w:rPr>
        <w:t>recoupment or reduction in accordance with the terms of our policy regarding recoupment or reduction of incentive compensation (clawback policy).</w:t>
      </w:r>
    </w:p>
    <w:p>
      <w:pPr>
        <w:spacing w:after="0" w:line="118" w:lineRule="exact"/>
        <w:rPr>
          <w:sz w:val="20"/>
          <w:szCs w:val="20"/>
          <w:color w:val="auto"/>
        </w:rPr>
      </w:pPr>
    </w:p>
    <w:p>
      <w:pPr>
        <w:ind w:left="500" w:right="439"/>
        <w:spacing w:after="0" w:line="229" w:lineRule="auto"/>
        <w:rPr>
          <w:sz w:val="20"/>
          <w:szCs w:val="20"/>
          <w:color w:val="auto"/>
        </w:rPr>
      </w:pPr>
      <w:r>
        <w:rPr>
          <w:rFonts w:ascii="Arial" w:cs="Arial" w:eastAsia="Arial" w:hAnsi="Arial"/>
          <w:sz w:val="15"/>
          <w:szCs w:val="15"/>
          <w:b w:val="1"/>
          <w:bCs w:val="1"/>
          <w:color w:val="231F20"/>
        </w:rPr>
        <w:t xml:space="preserve">Non-Employee Director Awards; Non-Employee Director Compensation Limit. </w:t>
      </w:r>
      <w:r>
        <w:rPr>
          <w:rFonts w:ascii="Arial" w:cs="Arial" w:eastAsia="Arial" w:hAnsi="Arial"/>
          <w:sz w:val="15"/>
          <w:szCs w:val="15"/>
          <w:color w:val="231F20"/>
        </w:rPr>
        <w:t>Non-employee directors of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 xml:space="preserve">Company are generally eligible to receive awards under the Plan (other than ISOs) under such terms and conditions as the Compensation Committee may determine. During any calendar year, the aggregate number of shares subject to one or more awards granted to a non-employee director in a year may not exceed 12,750 shares, except that during the first calendar year in which a non-employee director serves on the board of directors, such limit will be 34,000 shares; </w:t>
      </w:r>
      <w:r>
        <w:rPr>
          <w:rFonts w:ascii="Arial" w:cs="Arial" w:eastAsia="Arial" w:hAnsi="Arial"/>
          <w:sz w:val="15"/>
          <w:szCs w:val="15"/>
          <w:i w:val="1"/>
          <w:iCs w:val="1"/>
          <w:color w:val="231F20"/>
        </w:rPr>
        <w:t>provided, however</w:t>
      </w:r>
      <w:r>
        <w:rPr>
          <w:rFonts w:ascii="Arial" w:cs="Arial" w:eastAsia="Arial" w:hAnsi="Arial"/>
          <w:sz w:val="15"/>
          <w:szCs w:val="15"/>
          <w:color w:val="231F20"/>
        </w:rPr>
        <w:t>, that any awards granted to a non -employee director during or prior to 2023 shall be subject to the</w:t>
      </w:r>
      <w:r>
        <w:rPr>
          <w:rFonts w:ascii="Arial" w:cs="Arial" w:eastAsia="Arial" w:hAnsi="Arial"/>
          <w:sz w:val="15"/>
          <w:szCs w:val="15"/>
          <w:i w:val="1"/>
          <w:iCs w:val="1"/>
          <w:color w:val="231F20"/>
        </w:rPr>
        <w:t xml:space="preserve"> </w:t>
      </w:r>
      <w:r>
        <w:rPr>
          <w:rFonts w:ascii="Arial" w:cs="Arial" w:eastAsia="Arial" w:hAnsi="Arial"/>
          <w:sz w:val="15"/>
          <w:szCs w:val="15"/>
          <w:color w:val="231F20"/>
        </w:rPr>
        <w:t xml:space="preserve">limitations set forth in the Settlement (as defined and described below). In addition, during any calendar year, the aggregate number of shares subject to one or more awards granted to a non-employee director then serving as chairman of the board of directors in such year may not exceed 25,500 shares, except that during the first calendar year in which a non-employee director serves as chairman of the board of directors, such limit will be 68,000 shares; </w:t>
      </w:r>
      <w:r>
        <w:rPr>
          <w:rFonts w:ascii="Arial" w:cs="Arial" w:eastAsia="Arial" w:hAnsi="Arial"/>
          <w:sz w:val="15"/>
          <w:szCs w:val="15"/>
          <w:i w:val="1"/>
          <w:iCs w:val="1"/>
          <w:color w:val="231F20"/>
        </w:rPr>
        <w:t>provided, however</w:t>
      </w:r>
      <w:r>
        <w:rPr>
          <w:rFonts w:ascii="Arial" w:cs="Arial" w:eastAsia="Arial" w:hAnsi="Arial"/>
          <w:sz w:val="15"/>
          <w:szCs w:val="15"/>
          <w:color w:val="231F20"/>
        </w:rPr>
        <w:t>, that any awards granted to the current Chairman of the Board, Dr. Vagelos, during or prior to 2022 shall be subject to the limitations set forth in the Settlement. For purposes of applying this limit, an award other than an NQSO or SAR is treated as an award of one and one-half (1.5) shares for each share actually subject to such award, and an award of an NQSO or SAR is treated as an award of one share for each share actually subject to such award.</w:t>
      </w:r>
    </w:p>
    <w:p>
      <w:pPr>
        <w:spacing w:after="0" w:line="144" w:lineRule="exact"/>
        <w:rPr>
          <w:sz w:val="20"/>
          <w:szCs w:val="20"/>
          <w:color w:val="auto"/>
        </w:rPr>
      </w:pPr>
    </w:p>
    <w:p>
      <w:pPr>
        <w:ind w:left="500" w:right="439"/>
        <w:spacing w:after="0" w:line="229" w:lineRule="auto"/>
        <w:rPr>
          <w:sz w:val="20"/>
          <w:szCs w:val="20"/>
          <w:color w:val="auto"/>
        </w:rPr>
      </w:pPr>
      <w:r>
        <w:rPr>
          <w:rFonts w:ascii="Arial" w:cs="Arial" w:eastAsia="Arial" w:hAnsi="Arial"/>
          <w:sz w:val="15"/>
          <w:szCs w:val="15"/>
          <w:color w:val="231F20"/>
        </w:rPr>
        <w:t xml:space="preserve">In December 2018, the Supreme Court of the State of New York, County of New York entered an order and final judgment approving the Stipulation of Compromise and Settlement, dated as of October 5, 2018, by and among the Plaintiffs and the Individual Defendants (each as defined therein) and the Company, as nominal defendant (the “Settlement”) in the shareholder derivative actions entitled </w:t>
      </w:r>
      <w:r>
        <w:rPr>
          <w:rFonts w:ascii="Arial" w:cs="Arial" w:eastAsia="Arial" w:hAnsi="Arial"/>
          <w:sz w:val="15"/>
          <w:szCs w:val="15"/>
          <w:i w:val="1"/>
          <w:iCs w:val="1"/>
          <w:color w:val="231F20"/>
        </w:rPr>
        <w:t>Cement Masons Local 780 Pension Fund, et ano. v. Leonard S. Schleifer, et al.</w:t>
      </w:r>
      <w:r>
        <w:rPr>
          <w:rFonts w:ascii="Arial" w:cs="Arial" w:eastAsia="Arial" w:hAnsi="Arial"/>
          <w:sz w:val="15"/>
          <w:szCs w:val="15"/>
          <w:color w:val="231F20"/>
        </w:rPr>
        <w:t xml:space="preserve">, Index No. 654453/2015 (N.Y. Co.) (filed December 30, 2015) and </w:t>
      </w:r>
      <w:r>
        <w:rPr>
          <w:rFonts w:ascii="Arial" w:cs="Arial" w:eastAsia="Arial" w:hAnsi="Arial"/>
          <w:sz w:val="15"/>
          <w:szCs w:val="15"/>
          <w:i w:val="1"/>
          <w:iCs w:val="1"/>
          <w:color w:val="231F20"/>
        </w:rPr>
        <w:t>Public Employees’ Retirement System of Mississippi v.</w:t>
      </w:r>
      <w:r>
        <w:rPr>
          <w:rFonts w:ascii="Arial" w:cs="Arial" w:eastAsia="Arial" w:hAnsi="Arial"/>
          <w:sz w:val="15"/>
          <w:szCs w:val="15"/>
          <w:color w:val="231F20"/>
        </w:rPr>
        <w:t xml:space="preserve"> </w:t>
      </w:r>
      <w:r>
        <w:rPr>
          <w:rFonts w:ascii="Arial" w:cs="Arial" w:eastAsia="Arial" w:hAnsi="Arial"/>
          <w:sz w:val="15"/>
          <w:szCs w:val="15"/>
          <w:i w:val="1"/>
          <w:iCs w:val="1"/>
          <w:color w:val="231F20"/>
        </w:rPr>
        <w:t>Leonard S. Schleifer, et al.</w:t>
      </w:r>
      <w:r>
        <w:rPr>
          <w:rFonts w:ascii="Arial" w:cs="Arial" w:eastAsia="Arial" w:hAnsi="Arial"/>
          <w:sz w:val="15"/>
          <w:szCs w:val="15"/>
          <w:color w:val="231F20"/>
        </w:rPr>
        <w:t>, Index No. 656813/2017 (N.Y. Co.) (filed November 8, 2017). The terms of the Settlement</w:t>
      </w:r>
      <w:r>
        <w:rPr>
          <w:rFonts w:ascii="Arial" w:cs="Arial" w:eastAsia="Arial" w:hAnsi="Arial"/>
          <w:sz w:val="15"/>
          <w:szCs w:val="15"/>
          <w:i w:val="1"/>
          <w:iCs w:val="1"/>
          <w:color w:val="231F20"/>
        </w:rPr>
        <w:t xml:space="preserve"> </w:t>
      </w:r>
      <w:r>
        <w:rPr>
          <w:rFonts w:ascii="Arial" w:cs="Arial" w:eastAsia="Arial" w:hAnsi="Arial"/>
          <w:sz w:val="15"/>
          <w:szCs w:val="15"/>
          <w:color w:val="231F20"/>
        </w:rPr>
        <w:t>impose the following limits on equity compensation awarded to the non-employee directors of the Company and the current Chairman of the Board, Dr. Vagelos, respectively:</w:t>
      </w:r>
    </w:p>
    <w:p>
      <w:pPr>
        <w:spacing w:after="0" w:line="141" w:lineRule="exact"/>
        <w:rPr>
          <w:sz w:val="20"/>
          <w:szCs w:val="20"/>
          <w:color w:val="auto"/>
        </w:rPr>
      </w:pPr>
    </w:p>
    <w:p>
      <w:pPr>
        <w:ind w:left="740" w:right="759" w:hanging="236"/>
        <w:spacing w:after="0" w:line="235" w:lineRule="auto"/>
        <w:tabs>
          <w:tab w:leader="none" w:pos="740" w:val="left"/>
        </w:tabs>
        <w:numPr>
          <w:ilvl w:val="0"/>
          <w:numId w:val="216"/>
        </w:numPr>
        <w:rPr>
          <w:rFonts w:ascii="Arial" w:cs="Arial" w:eastAsia="Arial" w:hAnsi="Arial"/>
          <w:sz w:val="15"/>
          <w:szCs w:val="15"/>
          <w:b w:val="1"/>
          <w:bCs w:val="1"/>
          <w:color w:val="2952A4"/>
        </w:rPr>
      </w:pPr>
      <w:r>
        <w:rPr>
          <w:rFonts w:ascii="Arial" w:cs="Arial" w:eastAsia="Arial" w:hAnsi="Arial"/>
          <w:sz w:val="15"/>
          <w:szCs w:val="15"/>
          <w:color w:val="231F20"/>
        </w:rPr>
        <w:t>The aggregate annual equity compensation per non-employee director shall be limited to $695,000 through 2020, as valued for purposes of the Company’s financial statements; thereafter, through 2023, the aggregate annual equity compensation per non-employee director may be increased by up to 5% annually; and</w:t>
      </w:r>
    </w:p>
    <w:p>
      <w:pPr>
        <w:spacing w:after="0" w:line="141" w:lineRule="exact"/>
        <w:rPr>
          <w:sz w:val="20"/>
          <w:szCs w:val="20"/>
          <w:color w:val="auto"/>
        </w:rPr>
      </w:pPr>
    </w:p>
    <w:p>
      <w:pPr>
        <w:ind w:left="740" w:right="639" w:hanging="236"/>
        <w:spacing w:after="0" w:line="208" w:lineRule="auto"/>
        <w:tabs>
          <w:tab w:leader="none" w:pos="740" w:val="left"/>
        </w:tabs>
        <w:numPr>
          <w:ilvl w:val="0"/>
          <w:numId w:val="217"/>
        </w:numPr>
        <w:rPr>
          <w:rFonts w:ascii="Arial" w:cs="Arial" w:eastAsia="Arial" w:hAnsi="Arial"/>
          <w:sz w:val="15"/>
          <w:szCs w:val="15"/>
          <w:b w:val="1"/>
          <w:bCs w:val="1"/>
          <w:color w:val="2952A4"/>
        </w:rPr>
      </w:pPr>
      <w:r>
        <w:rPr>
          <w:rFonts w:ascii="Arial" w:cs="Arial" w:eastAsia="Arial" w:hAnsi="Arial"/>
          <w:sz w:val="15"/>
          <w:szCs w:val="15"/>
          <w:color w:val="231F20"/>
        </w:rPr>
        <w:t>The aggregate annual equity compensation for the current Chairman of the Board, Dr. Vagelos, shall be limited to ten times the corresponding annual equity compensation for the non-employee directors through 2022,</w:t>
      </w:r>
      <w:r>
        <w:rPr>
          <w:rFonts w:ascii="Arial" w:cs="Arial" w:eastAsia="Arial" w:hAnsi="Arial"/>
          <w:sz w:val="25"/>
          <w:szCs w:val="25"/>
          <w:color w:val="231F20"/>
          <w:vertAlign w:val="superscript"/>
        </w:rPr>
        <w:t>14</w:t>
      </w:r>
      <w:r>
        <w:rPr>
          <w:rFonts w:ascii="Arial" w:cs="Arial" w:eastAsia="Arial" w:hAnsi="Arial"/>
          <w:sz w:val="15"/>
          <w:szCs w:val="15"/>
          <w:color w:val="231F20"/>
        </w:rPr>
        <w:t xml:space="preserve"> as valued for purposes of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91440</wp:posOffset>
            </wp:positionV>
            <wp:extent cx="51435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20" w:right="779" w:hanging="316"/>
        <w:spacing w:after="0" w:line="249" w:lineRule="auto"/>
        <w:tabs>
          <w:tab w:leader="none" w:pos="820" w:val="left"/>
        </w:tabs>
        <w:numPr>
          <w:ilvl w:val="0"/>
          <w:numId w:val="218"/>
        </w:numPr>
        <w:rPr>
          <w:rFonts w:ascii="Arial" w:cs="Arial" w:eastAsia="Arial" w:hAnsi="Arial"/>
          <w:sz w:val="14"/>
          <w:szCs w:val="14"/>
          <w:b w:val="1"/>
          <w:bCs w:val="1"/>
          <w:color w:val="2952A4"/>
        </w:rPr>
      </w:pPr>
      <w:r>
        <w:rPr>
          <w:rFonts w:ascii="Arial" w:cs="Arial" w:eastAsia="Arial" w:hAnsi="Arial"/>
          <w:sz w:val="14"/>
          <w:szCs w:val="14"/>
          <w:color w:val="231F20"/>
        </w:rPr>
        <w:t>Equity awards to the current Chairman of the Board are granted in December annually (along with the equity awards to our full employee base), and each such December grant corresponds to the awards granted to the non-employee directors in January of the following year.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104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281305</wp:posOffset>
            </wp:positionV>
            <wp:extent cx="713232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sectPr>
      </w:pPr>
    </w:p>
    <w:bookmarkStart w:id="116" w:name="page117"/>
    <w:bookmarkEnd w:id="116"/>
    <w:p>
      <w:pPr>
        <w:ind w:left="1220"/>
        <w:spacing w:after="0"/>
        <w:rPr>
          <w:sz w:val="20"/>
          <w:szCs w:val="20"/>
          <w:color w:val="auto"/>
        </w:rPr>
      </w:pPr>
      <w:r>
        <w:rPr>
          <w:rFonts w:ascii="Arial" w:cs="Arial" w:eastAsia="Arial" w:hAnsi="Arial"/>
          <w:sz w:val="16"/>
          <w:szCs w:val="16"/>
          <w:b w:val="1"/>
          <w:bCs w:val="1"/>
          <w:color w:val="2952A4"/>
        </w:rPr>
        <w:t>PROPOSAL 03: APPROVAL OF SECOND AMENDMENT AND RESTATEMENT OF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41" w:lineRule="exact"/>
        <w:rPr>
          <w:sz w:val="20"/>
          <w:szCs w:val="20"/>
          <w:color w:val="auto"/>
        </w:rPr>
      </w:pPr>
    </w:p>
    <w:p>
      <w:pPr>
        <w:ind w:left="1480" w:right="1600"/>
        <w:spacing w:after="0" w:line="227" w:lineRule="auto"/>
        <w:rPr>
          <w:sz w:val="20"/>
          <w:szCs w:val="20"/>
          <w:color w:val="auto"/>
        </w:rPr>
      </w:pPr>
      <w:r>
        <w:rPr>
          <w:rFonts w:ascii="Arial" w:cs="Arial" w:eastAsia="Arial" w:hAnsi="Arial"/>
          <w:sz w:val="15"/>
          <w:szCs w:val="15"/>
          <w:color w:val="231F20"/>
        </w:rPr>
        <w:t>Notwithstanding the foregoing, during the first calendar year in which a non-employee director serves on the board of directors, in addition to the annual equity award compensation set forth in clause (1) above (which shall be prorated for such calendar year based on the date such director is elected to the board), the Settlement permits a non-employee director to be awarded an inducement equity award of up to 5/3rds of (a) the number of shares of common stock underlying the most recent annual equity grant to non-employee directors or (b) the grant date fair value (as valued for purposes of the Company’s financial statements) of such grants. In addition, the Settlement’s limits on compensation awarded to the Company’s directors (including those described above) shall not apply to any successor to Dr. Vagelos to</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5"/>
          <w:szCs w:val="15"/>
          <w:color w:val="231F20"/>
        </w:rPr>
        <w:t>the position of Chairperson of the Board.</w:t>
      </w:r>
      <w:r>
        <w:rPr>
          <w:rFonts w:ascii="Arial" w:cs="Arial" w:eastAsia="Arial" w:hAnsi="Arial"/>
          <w:sz w:val="25"/>
          <w:szCs w:val="25"/>
          <w:color w:val="231F20"/>
          <w:vertAlign w:val="superscript"/>
        </w:rPr>
        <w:t>15</w:t>
      </w:r>
    </w:p>
    <w:p>
      <w:pPr>
        <w:spacing w:after="0" w:line="39" w:lineRule="exact"/>
        <w:rPr>
          <w:sz w:val="20"/>
          <w:szCs w:val="20"/>
          <w:color w:val="auto"/>
        </w:rPr>
      </w:pPr>
    </w:p>
    <w:p>
      <w:pPr>
        <w:ind w:left="1480"/>
        <w:spacing w:after="0"/>
        <w:rPr>
          <w:sz w:val="20"/>
          <w:szCs w:val="20"/>
          <w:color w:val="auto"/>
        </w:rPr>
      </w:pPr>
      <w:r>
        <w:rPr>
          <w:rFonts w:ascii="Arial" w:cs="Arial" w:eastAsia="Arial" w:hAnsi="Arial"/>
          <w:sz w:val="29"/>
          <w:szCs w:val="29"/>
          <w:b w:val="1"/>
          <w:bCs w:val="1"/>
          <w:color w:val="C24D5C"/>
        </w:rPr>
        <w:t>CERTAIN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22860</wp:posOffset>
            </wp:positionV>
            <wp:extent cx="526351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64" w:lineRule="exact"/>
        <w:rPr>
          <w:sz w:val="20"/>
          <w:szCs w:val="20"/>
          <w:color w:val="auto"/>
        </w:rPr>
      </w:pPr>
    </w:p>
    <w:p>
      <w:pPr>
        <w:ind w:left="1480" w:right="1620"/>
        <w:spacing w:after="0" w:line="229" w:lineRule="auto"/>
        <w:rPr>
          <w:sz w:val="20"/>
          <w:szCs w:val="20"/>
          <w:color w:val="auto"/>
        </w:rPr>
      </w:pPr>
      <w:r>
        <w:rPr>
          <w:rFonts w:ascii="Arial" w:cs="Arial" w:eastAsia="Arial" w:hAnsi="Arial"/>
          <w:sz w:val="15"/>
          <w:szCs w:val="15"/>
          <w:color w:val="231F20"/>
        </w:rPr>
        <w:t>Set forth below is a discussion of certain federal income tax consequences with respect to options that may be granted pursuant to the New Plan. The following discussion is a brief summary only, and reference is made to the Internal Revenue Code and the regulations and interpretations issued thereunder for a complete statement of all relevant federal tax consequences. This summary is given as of the date of this proxy statement, is not intended to be exhaustive, and does not describe state, local, or foreign tax consequences of participation in the New Plan. Recipients of awards under the New Plan are advised to consult with their personal tax advisors with regard to all tax consequences arising with respect to their awards.</w:t>
      </w:r>
    </w:p>
    <w:p>
      <w:pPr>
        <w:spacing w:after="0" w:line="126" w:lineRule="exact"/>
        <w:rPr>
          <w:sz w:val="20"/>
          <w:szCs w:val="20"/>
          <w:color w:val="auto"/>
        </w:rPr>
      </w:pPr>
    </w:p>
    <w:p>
      <w:pPr>
        <w:ind w:left="1480" w:right="1480"/>
        <w:spacing w:after="0"/>
        <w:rPr>
          <w:sz w:val="20"/>
          <w:szCs w:val="20"/>
          <w:color w:val="auto"/>
        </w:rPr>
      </w:pPr>
      <w:r>
        <w:rPr>
          <w:rFonts w:ascii="Arial" w:cs="Arial" w:eastAsia="Arial" w:hAnsi="Arial"/>
          <w:sz w:val="15"/>
          <w:szCs w:val="15"/>
          <w:b w:val="1"/>
          <w:bCs w:val="1"/>
          <w:color w:val="231F20"/>
        </w:rPr>
        <w:t xml:space="preserve">Incentive Stock Options. </w:t>
      </w:r>
      <w:r>
        <w:rPr>
          <w:rFonts w:ascii="Arial" w:cs="Arial" w:eastAsia="Arial" w:hAnsi="Arial"/>
          <w:sz w:val="15"/>
          <w:szCs w:val="15"/>
          <w:color w:val="231F20"/>
        </w:rPr>
        <w:t>In general, no taxable income is realized by a participant upon the grant of an ISO. If shares of</w:t>
      </w:r>
      <w:r>
        <w:rPr>
          <w:rFonts w:ascii="Arial" w:cs="Arial" w:eastAsia="Arial" w:hAnsi="Arial"/>
          <w:sz w:val="15"/>
          <w:szCs w:val="15"/>
          <w:b w:val="1"/>
          <w:bCs w:val="1"/>
          <w:color w:val="231F20"/>
        </w:rPr>
        <w:t xml:space="preserve"> </w:t>
      </w:r>
      <w:r>
        <w:rPr>
          <w:rFonts w:ascii="Arial" w:cs="Arial" w:eastAsia="Arial" w:hAnsi="Arial"/>
          <w:sz w:val="15"/>
          <w:szCs w:val="15"/>
          <w:color w:val="231F20"/>
        </w:rPr>
        <w:t>common stock are issued to a participant (“Option Shares”) pursuant to the exercise of an ISO granted under the New Plan and the participant does not dispose of the Option Shares within the two-year period after the date of option grant or within one year after the receipt of such Option Shares by the participant (an earlier disposition being referred to as a “disqualifying disposition”), then generally (i) 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(other than by reason of death) following termination of employment. If an ISO is exercised at a time when it no longer qualifies as an ISO, such option will be treated as an NQSO as discussed below. The Company is not entitled to a federal income tax deduction on the grant or exercise of an ISO or on the participant’s disposition of the Option Shares after satisfying the holding period requirements described above. If the holding periods are not satisfied, the Company will be entitled to a deduction in the year the participant disposes of the Option Shares in an amount equal to the ordinary income recognized by the participant. Any additional gain or loss realized will be taxed as a short-term or long-term capital gain or loss, as the case may be, and may not be deducted by the Company.</w:t>
      </w:r>
    </w:p>
    <w:p>
      <w:pPr>
        <w:spacing w:after="0" w:line="125" w:lineRule="exact"/>
        <w:rPr>
          <w:sz w:val="20"/>
          <w:szCs w:val="20"/>
          <w:color w:val="auto"/>
        </w:rPr>
      </w:pPr>
    </w:p>
    <w:p>
      <w:pPr>
        <w:ind w:left="1480" w:right="1500"/>
        <w:spacing w:after="0" w:line="231" w:lineRule="auto"/>
        <w:rPr>
          <w:sz w:val="20"/>
          <w:szCs w:val="20"/>
          <w:color w:val="auto"/>
        </w:rPr>
      </w:pPr>
      <w:r>
        <w:rPr>
          <w:rFonts w:ascii="Arial" w:cs="Arial" w:eastAsia="Arial" w:hAnsi="Arial"/>
          <w:sz w:val="15"/>
          <w:szCs w:val="15"/>
          <w:b w:val="1"/>
          <w:bCs w:val="1"/>
          <w:color w:val="231F20"/>
        </w:rPr>
        <w:t xml:space="preserve">Nonqualified Stock Options. </w:t>
      </w:r>
      <w:r>
        <w:rPr>
          <w:rFonts w:ascii="Arial" w:cs="Arial" w:eastAsia="Arial" w:hAnsi="Arial"/>
          <w:sz w:val="15"/>
          <w:szCs w:val="15"/>
          <w:color w:val="231F20"/>
        </w:rPr>
        <w:t>In general, no taxable income is realized by a participant upon the grant of an NQSO. Upon</w:t>
      </w:r>
      <w:r>
        <w:rPr>
          <w:rFonts w:ascii="Arial" w:cs="Arial" w:eastAsia="Arial" w:hAnsi="Arial"/>
          <w:sz w:val="15"/>
          <w:szCs w:val="15"/>
          <w:b w:val="1"/>
          <w:bCs w:val="1"/>
          <w:color w:val="231F20"/>
        </w:rPr>
        <w:t xml:space="preserve"> </w:t>
      </w:r>
      <w:r>
        <w:rPr>
          <w:rFonts w:ascii="Arial" w:cs="Arial" w:eastAsia="Arial" w:hAnsi="Arial"/>
          <w:sz w:val="15"/>
          <w:szCs w:val="15"/>
          <w:color w:val="231F20"/>
        </w:rPr>
        <w:t>exercise of an NQSO, the 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of the shares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The Company generally will have a deduction in an amount equal to the amount of ordinary income recognized by the participant in the Company’s tax year during which the participant recognizes the ordinary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90805</wp:posOffset>
            </wp:positionV>
            <wp:extent cx="5143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6" w:lineRule="exact"/>
        <w:rPr>
          <w:sz w:val="20"/>
          <w:szCs w:val="20"/>
          <w:color w:val="auto"/>
        </w:rPr>
      </w:pPr>
    </w:p>
    <w:p>
      <w:pPr>
        <w:ind w:left="1800" w:right="1740" w:hanging="316"/>
        <w:spacing w:after="0" w:line="258" w:lineRule="auto"/>
        <w:tabs>
          <w:tab w:leader="none" w:pos="1800" w:val="left"/>
        </w:tabs>
        <w:numPr>
          <w:ilvl w:val="0"/>
          <w:numId w:val="219"/>
        </w:numPr>
        <w:rPr>
          <w:rFonts w:ascii="Arial" w:cs="Arial" w:eastAsia="Arial" w:hAnsi="Arial"/>
          <w:sz w:val="14"/>
          <w:szCs w:val="14"/>
          <w:b w:val="1"/>
          <w:bCs w:val="1"/>
          <w:color w:val="2952A4"/>
        </w:rPr>
      </w:pPr>
      <w:r>
        <w:rPr>
          <w:rFonts w:ascii="Arial" w:cs="Arial" w:eastAsia="Arial" w:hAnsi="Arial"/>
          <w:sz w:val="14"/>
          <w:szCs w:val="14"/>
          <w:color w:val="231F20"/>
        </w:rPr>
        <w:t>The terms of the Settlement and certain related matters are described in detail in the Company’s Current Report on Form 8-K filed with the SEC on October 12,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148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60" w:type="dxa"/>
            <w:vAlign w:val="bottom"/>
          </w:tcPr>
          <w:p>
            <w:pPr>
              <w:jc w:val="right"/>
              <w:ind w:right="10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105</w:t>
            </w:r>
          </w:p>
        </w:tc>
      </w:tr>
      <w:tr>
        <w:trPr>
          <w:trHeight w:val="451"/>
        </w:trPr>
        <w:tc>
          <w:tcPr>
            <w:tcW w:w="7980" w:type="dxa"/>
            <w:vAlign w:val="bottom"/>
            <w:tcBorders>
              <w:bottom w:val="single" w:sz="8" w:color="C0C0C0"/>
            </w:tcBorders>
          </w:tcPr>
          <w:p>
            <w:pPr>
              <w:spacing w:after="0"/>
              <w:rPr>
                <w:sz w:val="24"/>
                <w:szCs w:val="24"/>
                <w:color w:val="auto"/>
              </w:rPr>
            </w:pPr>
          </w:p>
        </w:tc>
        <w:tc>
          <w:tcPr>
            <w:tcW w:w="3260" w:type="dxa"/>
            <w:vAlign w:val="bottom"/>
            <w:tcBorders>
              <w:bottom w:val="single" w:sz="8" w:color="C0C0C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-410845</wp:posOffset>
            </wp:positionV>
            <wp:extent cx="746125" cy="857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17" w:name="page118"/>
    <w:bookmarkEnd w:id="117"/>
    <w:p>
      <w:pPr>
        <w:ind w:left="500"/>
        <w:spacing w:after="0"/>
        <w:rPr>
          <w:sz w:val="20"/>
          <w:szCs w:val="20"/>
          <w:color w:val="auto"/>
        </w:rPr>
      </w:pPr>
      <w:r>
        <w:rPr>
          <w:rFonts w:ascii="Arial" w:cs="Arial" w:eastAsia="Arial" w:hAnsi="Arial"/>
          <w:sz w:val="16"/>
          <w:szCs w:val="16"/>
          <w:b w:val="1"/>
          <w:bCs w:val="1"/>
          <w:color w:val="2952A4"/>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77152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00" cy="7715250"/>
                    </a:xfrm>
                    <a:prstGeom prst="rect">
                      <a:avLst/>
                    </a:prstGeom>
                    <a:noFill/>
                  </pic:spPr>
                </pic:pic>
              </a:graphicData>
            </a:graphic>
          </wp:anchor>
        </w:drawing>
        <w:t>PROPOSAL 03: APPROVAL OF SECOND AMENDMENT AND RESTATEMENT OF LONG-TERM INCENTIVE PLAN</w:t>
      </w:r>
    </w:p>
    <w:p>
      <w:pPr>
        <w:spacing w:after="0" w:line="200" w:lineRule="exact"/>
        <w:rPr>
          <w:sz w:val="20"/>
          <w:szCs w:val="20"/>
          <w:color w:val="auto"/>
        </w:rPr>
      </w:pPr>
    </w:p>
    <w:p>
      <w:pPr>
        <w:spacing w:after="0" w:line="215" w:lineRule="exact"/>
        <w:rPr>
          <w:sz w:val="20"/>
          <w:szCs w:val="20"/>
          <w:color w:val="auto"/>
        </w:rPr>
      </w:pPr>
    </w:p>
    <w:p>
      <w:pPr>
        <w:ind w:left="500" w:right="959"/>
        <w:spacing w:after="0" w:line="278" w:lineRule="auto"/>
        <w:rPr>
          <w:sz w:val="20"/>
          <w:szCs w:val="20"/>
          <w:color w:val="auto"/>
        </w:rPr>
      </w:pPr>
      <w:r>
        <w:rPr>
          <w:rFonts w:ascii="Arial" w:cs="Arial" w:eastAsia="Arial" w:hAnsi="Arial"/>
          <w:sz w:val="29"/>
          <w:szCs w:val="29"/>
          <w:b w:val="1"/>
          <w:bCs w:val="1"/>
          <w:color w:val="C24D5C"/>
        </w:rPr>
        <w:t>INTERESTS OF CERTAIN PERSONS IN MATTERS TO BE ACTED UPON</w:t>
      </w:r>
    </w:p>
    <w:p>
      <w:pPr>
        <w:spacing w:after="0" w:line="290" w:lineRule="exact"/>
        <w:rPr>
          <w:sz w:val="20"/>
          <w:szCs w:val="20"/>
          <w:color w:val="auto"/>
        </w:rPr>
      </w:pPr>
    </w:p>
    <w:p>
      <w:pPr>
        <w:jc w:val="both"/>
        <w:ind w:left="500" w:right="519"/>
        <w:spacing w:after="0" w:line="235" w:lineRule="auto"/>
        <w:rPr>
          <w:sz w:val="20"/>
          <w:szCs w:val="20"/>
          <w:color w:val="auto"/>
        </w:rPr>
      </w:pPr>
      <w:r>
        <w:rPr>
          <w:rFonts w:ascii="Arial" w:cs="Arial" w:eastAsia="Arial" w:hAnsi="Arial"/>
          <w:sz w:val="15"/>
          <w:szCs w:val="15"/>
          <w:color w:val="231F20"/>
        </w:rPr>
        <w:t>Officers of the Company, including the NEOs, employees, consultants, and non-employee directors of the Company are eligible to receive awards under the New Plan in the discretion of the Compensation Committee. Future grants under the New Plan will be made at the discretion of the Compensation Committee and thus are not determinable at this time.</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C24D5C"/>
        </w:rPr>
        <w:t>SEC REGISTRATION</w:t>
      </w:r>
    </w:p>
    <w:p>
      <w:pPr>
        <w:spacing w:after="0" w:line="392" w:lineRule="exact"/>
        <w:rPr>
          <w:sz w:val="20"/>
          <w:szCs w:val="20"/>
          <w:color w:val="auto"/>
        </w:rPr>
      </w:pPr>
    </w:p>
    <w:p>
      <w:pPr>
        <w:ind w:left="500" w:right="679"/>
        <w:spacing w:after="0" w:line="235" w:lineRule="auto"/>
        <w:rPr>
          <w:sz w:val="20"/>
          <w:szCs w:val="20"/>
          <w:color w:val="auto"/>
        </w:rPr>
      </w:pPr>
      <w:r>
        <w:rPr>
          <w:rFonts w:ascii="Arial" w:cs="Arial" w:eastAsia="Arial" w:hAnsi="Arial"/>
          <w:sz w:val="15"/>
          <w:szCs w:val="15"/>
          <w:color w:val="231F20"/>
        </w:rPr>
        <w:t>We intend to file with the SEC a registration statement on Form S-8 relating to the registration of additional shares of common stock issuable under the New Plan pursuant to the Securities Act as soon as practicable after approval of the New Plan by our shareholders.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C24D5C"/>
        </w:rPr>
        <w:t>EQUITY COMPENSATION PLAN INFORMATION</w:t>
      </w:r>
    </w:p>
    <w:p>
      <w:pPr>
        <w:spacing w:after="0" w:line="392" w:lineRule="exact"/>
        <w:rPr>
          <w:sz w:val="20"/>
          <w:szCs w:val="20"/>
          <w:color w:val="auto"/>
        </w:rPr>
      </w:pPr>
    </w:p>
    <w:p>
      <w:pPr>
        <w:ind w:left="500" w:right="639"/>
        <w:spacing w:after="0" w:line="242" w:lineRule="auto"/>
        <w:rPr>
          <w:sz w:val="20"/>
          <w:szCs w:val="20"/>
          <w:color w:val="auto"/>
        </w:rPr>
      </w:pPr>
      <w:r>
        <w:rPr>
          <w:rFonts w:ascii="Arial" w:cs="Arial" w:eastAsia="Arial" w:hAnsi="Arial"/>
          <w:sz w:val="15"/>
          <w:szCs w:val="15"/>
          <w:color w:val="231F20"/>
        </w:rPr>
        <w:t>The following table shows information with respect to securities authorized for issuance under the equity compensation plans maintained by the Company as of December 31, 2019.</w:t>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117"/>
        </w:trPr>
        <w:tc>
          <w:tcPr>
            <w:tcW w:w="2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right="759"/>
              <w:spacing w:after="0"/>
              <w:rPr>
                <w:sz w:val="20"/>
                <w:szCs w:val="20"/>
                <w:color w:val="auto"/>
              </w:rPr>
            </w:pPr>
            <w:r>
              <w:rPr>
                <w:rFonts w:ascii="Arial" w:cs="Arial" w:eastAsia="Arial" w:hAnsi="Arial"/>
                <w:sz w:val="9"/>
                <w:szCs w:val="9"/>
                <w:b w:val="1"/>
                <w:bCs w:val="1"/>
                <w:color w:val="2952A4"/>
                <w:w w:val="91"/>
              </w:rPr>
              <w:t>A</w:t>
            </w:r>
          </w:p>
        </w:tc>
        <w:tc>
          <w:tcPr>
            <w:tcW w:w="1620" w:type="dxa"/>
            <w:vAlign w:val="bottom"/>
          </w:tcPr>
          <w:p>
            <w:pPr>
              <w:jc w:val="center"/>
              <w:spacing w:after="0"/>
              <w:rPr>
                <w:sz w:val="20"/>
                <w:szCs w:val="20"/>
                <w:color w:val="auto"/>
              </w:rPr>
            </w:pPr>
            <w:r>
              <w:rPr>
                <w:rFonts w:ascii="Arial" w:cs="Arial" w:eastAsia="Arial" w:hAnsi="Arial"/>
                <w:sz w:val="9"/>
                <w:szCs w:val="9"/>
                <w:b w:val="1"/>
                <w:bCs w:val="1"/>
                <w:color w:val="2952A4"/>
                <w:w w:val="91"/>
              </w:rPr>
              <w:t>B</w:t>
            </w:r>
          </w:p>
        </w:tc>
        <w:tc>
          <w:tcPr>
            <w:tcW w:w="2340" w:type="dxa"/>
            <w:vAlign w:val="bottom"/>
          </w:tcPr>
          <w:p>
            <w:pPr>
              <w:jc w:val="center"/>
              <w:spacing w:after="0"/>
              <w:rPr>
                <w:sz w:val="20"/>
                <w:szCs w:val="20"/>
                <w:color w:val="auto"/>
              </w:rPr>
            </w:pPr>
            <w:r>
              <w:rPr>
                <w:rFonts w:ascii="Arial" w:cs="Arial" w:eastAsia="Arial" w:hAnsi="Arial"/>
                <w:sz w:val="9"/>
                <w:szCs w:val="9"/>
                <w:b w:val="1"/>
                <w:bCs w:val="1"/>
                <w:color w:val="2952A4"/>
                <w:w w:val="91"/>
              </w:rPr>
              <w:t>C</w:t>
            </w:r>
          </w:p>
        </w:tc>
        <w:tc>
          <w:tcPr>
            <w:tcW w:w="0" w:type="dxa"/>
            <w:vAlign w:val="bottom"/>
          </w:tcPr>
          <w:p>
            <w:pPr>
              <w:spacing w:after="0"/>
              <w:rPr>
                <w:sz w:val="1"/>
                <w:szCs w:val="1"/>
                <w:color w:val="auto"/>
              </w:rPr>
            </w:pPr>
          </w:p>
        </w:tc>
      </w:tr>
      <w:tr>
        <w:trPr>
          <w:trHeight w:val="42"/>
        </w:trPr>
        <w:tc>
          <w:tcPr>
            <w:tcW w:w="2020" w:type="dxa"/>
            <w:vAlign w:val="bottom"/>
            <w:tcBorders>
              <w:bottom w:val="single" w:sz="8" w:color="2952A4"/>
            </w:tcBorders>
          </w:tcPr>
          <w:p>
            <w:pPr>
              <w:spacing w:after="0"/>
              <w:rPr>
                <w:sz w:val="3"/>
                <w:szCs w:val="3"/>
                <w:color w:val="auto"/>
              </w:rPr>
            </w:pPr>
          </w:p>
        </w:tc>
        <w:tc>
          <w:tcPr>
            <w:tcW w:w="2120" w:type="dxa"/>
            <w:vAlign w:val="bottom"/>
            <w:tcBorders>
              <w:bottom w:val="single" w:sz="8" w:color="2952A4"/>
            </w:tcBorders>
            <w:gridSpan w:val="3"/>
          </w:tcPr>
          <w:p>
            <w:pPr>
              <w:spacing w:after="0"/>
              <w:rPr>
                <w:sz w:val="3"/>
                <w:szCs w:val="3"/>
                <w:color w:val="auto"/>
              </w:rPr>
            </w:pPr>
          </w:p>
        </w:tc>
        <w:tc>
          <w:tcPr>
            <w:tcW w:w="1620" w:type="dxa"/>
            <w:vAlign w:val="bottom"/>
            <w:tcBorders>
              <w:bottom w:val="single" w:sz="8" w:color="2952A4"/>
            </w:tcBorders>
          </w:tcPr>
          <w:p>
            <w:pPr>
              <w:spacing w:after="0"/>
              <w:rPr>
                <w:sz w:val="3"/>
                <w:szCs w:val="3"/>
                <w:color w:val="auto"/>
              </w:rPr>
            </w:pPr>
          </w:p>
        </w:tc>
        <w:tc>
          <w:tcPr>
            <w:tcW w:w="2340" w:type="dxa"/>
            <w:vAlign w:val="bottom"/>
            <w:tcBorders>
              <w:bottom w:val="single" w:sz="8" w:color="2952A4"/>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2120" w:type="dxa"/>
            <w:vAlign w:val="bottom"/>
            <w:gridSpan w:val="3"/>
          </w:tcPr>
          <w:p>
            <w:pPr>
              <w:jc w:val="center"/>
              <w:ind w:left="27"/>
              <w:spacing w:after="0"/>
              <w:rPr>
                <w:sz w:val="20"/>
                <w:szCs w:val="20"/>
                <w:color w:val="auto"/>
              </w:rPr>
            </w:pPr>
            <w:r>
              <w:rPr>
                <w:rFonts w:ascii="Arial" w:cs="Arial" w:eastAsia="Arial" w:hAnsi="Arial"/>
                <w:sz w:val="9"/>
                <w:szCs w:val="9"/>
                <w:b w:val="1"/>
                <w:bCs w:val="1"/>
                <w:color w:val="2952A4"/>
                <w:w w:val="99"/>
              </w:rPr>
              <w:t>Number of securities to be issued upon</w:t>
            </w:r>
          </w:p>
        </w:tc>
        <w:tc>
          <w:tcPr>
            <w:tcW w:w="1620" w:type="dxa"/>
            <w:vAlign w:val="bottom"/>
          </w:tcPr>
          <w:p>
            <w:pPr>
              <w:jc w:val="center"/>
              <w:spacing w:after="0"/>
              <w:rPr>
                <w:sz w:val="20"/>
                <w:szCs w:val="20"/>
                <w:color w:val="auto"/>
              </w:rPr>
            </w:pPr>
            <w:r>
              <w:rPr>
                <w:rFonts w:ascii="Arial" w:cs="Arial" w:eastAsia="Arial" w:hAnsi="Arial"/>
                <w:sz w:val="9"/>
                <w:szCs w:val="9"/>
                <w:b w:val="1"/>
                <w:bCs w:val="1"/>
                <w:color w:val="2952A4"/>
                <w:w w:val="99"/>
              </w:rPr>
              <w:t>Weighted-average exercise price</w:t>
            </w:r>
          </w:p>
        </w:tc>
        <w:tc>
          <w:tcPr>
            <w:tcW w:w="2340" w:type="dxa"/>
            <w:vAlign w:val="bottom"/>
          </w:tcPr>
          <w:p>
            <w:pPr>
              <w:jc w:val="center"/>
              <w:spacing w:after="0"/>
              <w:rPr>
                <w:sz w:val="20"/>
                <w:szCs w:val="20"/>
                <w:color w:val="auto"/>
              </w:rPr>
            </w:pPr>
            <w:r>
              <w:rPr>
                <w:rFonts w:ascii="Arial" w:cs="Arial" w:eastAsia="Arial" w:hAnsi="Arial"/>
                <w:sz w:val="9"/>
                <w:szCs w:val="9"/>
                <w:b w:val="1"/>
                <w:bCs w:val="1"/>
                <w:color w:val="2952A4"/>
                <w:w w:val="99"/>
              </w:rPr>
              <w:t>Number of securities remaining available for</w:t>
            </w: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2120" w:type="dxa"/>
            <w:vAlign w:val="bottom"/>
            <w:gridSpan w:val="3"/>
          </w:tcPr>
          <w:p>
            <w:pPr>
              <w:jc w:val="center"/>
              <w:ind w:left="47"/>
              <w:spacing w:after="0" w:line="95" w:lineRule="exact"/>
              <w:rPr>
                <w:sz w:val="20"/>
                <w:szCs w:val="20"/>
                <w:color w:val="auto"/>
              </w:rPr>
            </w:pPr>
            <w:r>
              <w:rPr>
                <w:rFonts w:ascii="Arial" w:cs="Arial" w:eastAsia="Arial" w:hAnsi="Arial"/>
                <w:sz w:val="9"/>
                <w:szCs w:val="9"/>
                <w:b w:val="1"/>
                <w:bCs w:val="1"/>
                <w:color w:val="2952A4"/>
                <w:w w:val="99"/>
              </w:rPr>
              <w:t>exercise of outstanding options,</w:t>
            </w:r>
          </w:p>
        </w:tc>
        <w:tc>
          <w:tcPr>
            <w:tcW w:w="1620" w:type="dxa"/>
            <w:vAlign w:val="bottom"/>
          </w:tcPr>
          <w:p>
            <w:pPr>
              <w:jc w:val="center"/>
              <w:spacing w:after="0" w:line="95" w:lineRule="exact"/>
              <w:rPr>
                <w:sz w:val="20"/>
                <w:szCs w:val="20"/>
                <w:color w:val="auto"/>
              </w:rPr>
            </w:pPr>
            <w:r>
              <w:rPr>
                <w:rFonts w:ascii="Arial" w:cs="Arial" w:eastAsia="Arial" w:hAnsi="Arial"/>
                <w:sz w:val="9"/>
                <w:szCs w:val="9"/>
                <w:b w:val="1"/>
                <w:bCs w:val="1"/>
                <w:color w:val="2952A4"/>
                <w:w w:val="99"/>
              </w:rPr>
              <w:t>of outstanding options, warrants,</w:t>
            </w:r>
          </w:p>
        </w:tc>
        <w:tc>
          <w:tcPr>
            <w:tcW w:w="2340" w:type="dxa"/>
            <w:vAlign w:val="bottom"/>
          </w:tcPr>
          <w:p>
            <w:pPr>
              <w:jc w:val="center"/>
              <w:spacing w:after="0" w:line="95" w:lineRule="exact"/>
              <w:rPr>
                <w:sz w:val="20"/>
                <w:szCs w:val="20"/>
                <w:color w:val="auto"/>
              </w:rPr>
            </w:pPr>
            <w:r>
              <w:rPr>
                <w:rFonts w:ascii="Arial" w:cs="Arial" w:eastAsia="Arial" w:hAnsi="Arial"/>
                <w:sz w:val="9"/>
                <w:szCs w:val="9"/>
                <w:b w:val="1"/>
                <w:bCs w:val="1"/>
                <w:color w:val="2952A4"/>
              </w:rPr>
              <w:t>future issuance under equity compensation plans</w:t>
            </w:r>
          </w:p>
        </w:tc>
        <w:tc>
          <w:tcPr>
            <w:tcW w:w="0" w:type="dxa"/>
            <w:vAlign w:val="bottom"/>
          </w:tcPr>
          <w:p>
            <w:pPr>
              <w:spacing w:after="0"/>
              <w:rPr>
                <w:sz w:val="1"/>
                <w:szCs w:val="1"/>
                <w:color w:val="auto"/>
              </w:rPr>
            </w:pPr>
          </w:p>
        </w:tc>
      </w:tr>
      <w:tr>
        <w:trPr>
          <w:trHeight w:val="117"/>
        </w:trPr>
        <w:tc>
          <w:tcPr>
            <w:tcW w:w="2020" w:type="dxa"/>
            <w:vAlign w:val="bottom"/>
          </w:tcPr>
          <w:p>
            <w:pPr>
              <w:ind w:left="60"/>
              <w:spacing w:after="0"/>
              <w:rPr>
                <w:sz w:val="20"/>
                <w:szCs w:val="20"/>
                <w:color w:val="auto"/>
              </w:rPr>
            </w:pPr>
            <w:r>
              <w:rPr>
                <w:rFonts w:ascii="Arial" w:cs="Arial" w:eastAsia="Arial" w:hAnsi="Arial"/>
                <w:sz w:val="9"/>
                <w:szCs w:val="9"/>
                <w:b w:val="1"/>
                <w:bCs w:val="1"/>
                <w:color w:val="2952A4"/>
              </w:rPr>
              <w:t>Plan Category</w:t>
            </w:r>
          </w:p>
        </w:tc>
        <w:tc>
          <w:tcPr>
            <w:tcW w:w="2120" w:type="dxa"/>
            <w:vAlign w:val="bottom"/>
            <w:gridSpan w:val="3"/>
          </w:tcPr>
          <w:p>
            <w:pPr>
              <w:jc w:val="center"/>
              <w:ind w:left="47"/>
              <w:spacing w:after="0"/>
              <w:rPr>
                <w:sz w:val="20"/>
                <w:szCs w:val="20"/>
                <w:color w:val="auto"/>
              </w:rPr>
            </w:pPr>
            <w:r>
              <w:rPr>
                <w:rFonts w:ascii="Arial" w:cs="Arial" w:eastAsia="Arial" w:hAnsi="Arial"/>
                <w:sz w:val="9"/>
                <w:szCs w:val="9"/>
                <w:b w:val="1"/>
                <w:bCs w:val="1"/>
                <w:color w:val="2952A4"/>
                <w:w w:val="99"/>
              </w:rPr>
              <w:t>warrants, and rights</w:t>
            </w:r>
          </w:p>
        </w:tc>
        <w:tc>
          <w:tcPr>
            <w:tcW w:w="1620" w:type="dxa"/>
            <w:vAlign w:val="bottom"/>
          </w:tcPr>
          <w:p>
            <w:pPr>
              <w:jc w:val="center"/>
              <w:spacing w:after="0"/>
              <w:rPr>
                <w:sz w:val="20"/>
                <w:szCs w:val="20"/>
                <w:color w:val="auto"/>
              </w:rPr>
            </w:pPr>
            <w:r>
              <w:rPr>
                <w:rFonts w:ascii="Arial" w:cs="Arial" w:eastAsia="Arial" w:hAnsi="Arial"/>
                <w:sz w:val="9"/>
                <w:szCs w:val="9"/>
                <w:b w:val="1"/>
                <w:bCs w:val="1"/>
                <w:color w:val="2952A4"/>
              </w:rPr>
              <w:t>and rights</w:t>
            </w:r>
          </w:p>
        </w:tc>
        <w:tc>
          <w:tcPr>
            <w:tcW w:w="2340" w:type="dxa"/>
            <w:vAlign w:val="bottom"/>
          </w:tcPr>
          <w:p>
            <w:pPr>
              <w:jc w:val="center"/>
              <w:spacing w:after="0"/>
              <w:rPr>
                <w:sz w:val="20"/>
                <w:szCs w:val="20"/>
                <w:color w:val="auto"/>
              </w:rPr>
            </w:pPr>
            <w:r>
              <w:rPr>
                <w:rFonts w:ascii="Arial" w:cs="Arial" w:eastAsia="Arial" w:hAnsi="Arial"/>
                <w:sz w:val="9"/>
                <w:szCs w:val="9"/>
                <w:b w:val="1"/>
                <w:bCs w:val="1"/>
                <w:color w:val="2952A4"/>
                <w:w w:val="99"/>
              </w:rPr>
              <w:t>(excluding securities reflected in column (a))</w:t>
            </w:r>
          </w:p>
        </w:tc>
        <w:tc>
          <w:tcPr>
            <w:tcW w:w="0" w:type="dxa"/>
            <w:vAlign w:val="bottom"/>
          </w:tcPr>
          <w:p>
            <w:pPr>
              <w:spacing w:after="0"/>
              <w:rPr>
                <w:sz w:val="1"/>
                <w:szCs w:val="1"/>
                <w:color w:val="auto"/>
              </w:rPr>
            </w:pPr>
          </w:p>
        </w:tc>
      </w:tr>
      <w:tr>
        <w:trPr>
          <w:trHeight w:val="42"/>
        </w:trPr>
        <w:tc>
          <w:tcPr>
            <w:tcW w:w="2020" w:type="dxa"/>
            <w:vAlign w:val="bottom"/>
            <w:tcBorders>
              <w:bottom w:val="single" w:sz="8" w:color="2952A4"/>
            </w:tcBorders>
          </w:tcPr>
          <w:p>
            <w:pPr>
              <w:spacing w:after="0"/>
              <w:rPr>
                <w:sz w:val="3"/>
                <w:szCs w:val="3"/>
                <w:color w:val="auto"/>
              </w:rPr>
            </w:pPr>
          </w:p>
        </w:tc>
        <w:tc>
          <w:tcPr>
            <w:tcW w:w="840" w:type="dxa"/>
            <w:vAlign w:val="bottom"/>
            <w:tcBorders>
              <w:bottom w:val="single" w:sz="8" w:color="2952A4"/>
            </w:tcBorders>
          </w:tcPr>
          <w:p>
            <w:pPr>
              <w:spacing w:after="0"/>
              <w:rPr>
                <w:sz w:val="3"/>
                <w:szCs w:val="3"/>
                <w:color w:val="auto"/>
              </w:rPr>
            </w:pPr>
          </w:p>
        </w:tc>
        <w:tc>
          <w:tcPr>
            <w:tcW w:w="80" w:type="dxa"/>
            <w:vAlign w:val="bottom"/>
            <w:tcBorders>
              <w:bottom w:val="single" w:sz="8" w:color="2952A4"/>
            </w:tcBorders>
          </w:tcPr>
          <w:p>
            <w:pPr>
              <w:spacing w:after="0"/>
              <w:rPr>
                <w:sz w:val="3"/>
                <w:szCs w:val="3"/>
                <w:color w:val="auto"/>
              </w:rPr>
            </w:pPr>
          </w:p>
        </w:tc>
        <w:tc>
          <w:tcPr>
            <w:tcW w:w="1200" w:type="dxa"/>
            <w:vAlign w:val="bottom"/>
            <w:tcBorders>
              <w:bottom w:val="single" w:sz="8" w:color="2952A4"/>
            </w:tcBorders>
          </w:tcPr>
          <w:p>
            <w:pPr>
              <w:spacing w:after="0"/>
              <w:rPr>
                <w:sz w:val="3"/>
                <w:szCs w:val="3"/>
                <w:color w:val="auto"/>
              </w:rPr>
            </w:pPr>
          </w:p>
        </w:tc>
        <w:tc>
          <w:tcPr>
            <w:tcW w:w="1620" w:type="dxa"/>
            <w:vAlign w:val="bottom"/>
            <w:tcBorders>
              <w:bottom w:val="single" w:sz="8" w:color="2952A4"/>
            </w:tcBorders>
          </w:tcPr>
          <w:p>
            <w:pPr>
              <w:spacing w:after="0"/>
              <w:rPr>
                <w:sz w:val="3"/>
                <w:szCs w:val="3"/>
                <w:color w:val="auto"/>
              </w:rPr>
            </w:pPr>
          </w:p>
        </w:tc>
        <w:tc>
          <w:tcPr>
            <w:tcW w:w="2340" w:type="dxa"/>
            <w:vAlign w:val="bottom"/>
            <w:tcBorders>
              <w:bottom w:val="single" w:sz="8" w:color="2952A4"/>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20" w:type="dxa"/>
            <w:vAlign w:val="bottom"/>
            <w:shd w:val="clear" w:color="auto" w:fill="EAEAEC"/>
          </w:tcPr>
          <w:p>
            <w:pPr>
              <w:ind w:left="60"/>
              <w:spacing w:after="0"/>
              <w:rPr>
                <w:sz w:val="20"/>
                <w:szCs w:val="20"/>
                <w:color w:val="auto"/>
              </w:rPr>
            </w:pPr>
            <w:r>
              <w:rPr>
                <w:rFonts w:ascii="Arial" w:cs="Arial" w:eastAsia="Arial" w:hAnsi="Arial"/>
                <w:sz w:val="13"/>
                <w:szCs w:val="13"/>
                <w:color w:val="231F20"/>
              </w:rPr>
              <w:t>Equity compensation plans</w:t>
            </w:r>
          </w:p>
        </w:tc>
        <w:tc>
          <w:tcPr>
            <w:tcW w:w="840" w:type="dxa"/>
            <w:vAlign w:val="bottom"/>
            <w:vMerge w:val="restart"/>
            <w:shd w:val="clear" w:color="auto" w:fill="EAEAEC"/>
          </w:tcPr>
          <w:p>
            <w:pPr>
              <w:jc w:val="right"/>
              <w:spacing w:after="0"/>
              <w:rPr>
                <w:sz w:val="20"/>
                <w:szCs w:val="20"/>
                <w:color w:val="auto"/>
              </w:rPr>
            </w:pPr>
            <w:r>
              <w:rPr>
                <w:rFonts w:ascii="Arial" w:cs="Arial" w:eastAsia="Arial" w:hAnsi="Arial"/>
                <w:sz w:val="13"/>
                <w:szCs w:val="13"/>
                <w:color w:val="231F20"/>
              </w:rPr>
              <w:t>28,729,300</w:t>
            </w:r>
          </w:p>
        </w:tc>
        <w:tc>
          <w:tcPr>
            <w:tcW w:w="80" w:type="dxa"/>
            <w:vAlign w:val="bottom"/>
            <w:shd w:val="clear" w:color="auto" w:fill="EAEAEC"/>
          </w:tcPr>
          <w:p>
            <w:pPr>
              <w:jc w:val="right"/>
              <w:spacing w:after="0"/>
              <w:rPr>
                <w:sz w:val="20"/>
                <w:szCs w:val="20"/>
                <w:color w:val="auto"/>
              </w:rPr>
            </w:pPr>
            <w:r>
              <w:rPr>
                <w:rFonts w:ascii="Arial" w:cs="Arial" w:eastAsia="Arial" w:hAnsi="Arial"/>
                <w:sz w:val="10"/>
                <w:szCs w:val="10"/>
                <w:color w:val="231F20"/>
                <w:w w:val="71"/>
              </w:rPr>
              <w:t>3</w:t>
            </w:r>
          </w:p>
        </w:tc>
        <w:tc>
          <w:tcPr>
            <w:tcW w:w="1200" w:type="dxa"/>
            <w:vAlign w:val="bottom"/>
            <w:vMerge w:val="restart"/>
            <w:shd w:val="clear" w:color="auto" w:fill="EAEAEC"/>
          </w:tcPr>
          <w:p>
            <w:pPr>
              <w:ind w:left="20"/>
              <w:spacing w:after="0"/>
              <w:rPr>
                <w:sz w:val="20"/>
                <w:szCs w:val="20"/>
                <w:color w:val="auto"/>
              </w:rPr>
            </w:pPr>
            <w:r>
              <w:rPr>
                <w:rFonts w:ascii="Arial" w:cs="Arial" w:eastAsia="Arial" w:hAnsi="Arial"/>
                <w:sz w:val="13"/>
                <w:szCs w:val="13"/>
                <w:color w:val="231F20"/>
              </w:rPr>
              <w:t>shares of common</w:t>
            </w:r>
          </w:p>
        </w:tc>
        <w:tc>
          <w:tcPr>
            <w:tcW w:w="1620" w:type="dxa"/>
            <w:vAlign w:val="bottom"/>
            <w:vMerge w:val="restart"/>
            <w:shd w:val="clear" w:color="auto" w:fill="EAEAEC"/>
          </w:tcPr>
          <w:p>
            <w:pPr>
              <w:jc w:val="center"/>
              <w:spacing w:after="0"/>
              <w:rPr>
                <w:sz w:val="20"/>
                <w:szCs w:val="20"/>
                <w:color w:val="auto"/>
              </w:rPr>
            </w:pPr>
            <w:r>
              <w:rPr>
                <w:rFonts w:ascii="Arial" w:cs="Arial" w:eastAsia="Arial" w:hAnsi="Arial"/>
                <w:sz w:val="13"/>
                <w:szCs w:val="13"/>
                <w:color w:val="231F20"/>
                <w:w w:val="98"/>
              </w:rPr>
              <w:t>$337.24</w:t>
            </w:r>
            <w:r>
              <w:rPr>
                <w:rFonts w:ascii="Arial" w:cs="Arial" w:eastAsia="Arial" w:hAnsi="Arial"/>
                <w:sz w:val="21"/>
                <w:szCs w:val="21"/>
                <w:color w:val="231F20"/>
                <w:w w:val="98"/>
                <w:vertAlign w:val="superscript"/>
              </w:rPr>
              <w:t>4</w:t>
            </w:r>
          </w:p>
        </w:tc>
        <w:tc>
          <w:tcPr>
            <w:tcW w:w="2340" w:type="dxa"/>
            <w:vAlign w:val="bottom"/>
            <w:vMerge w:val="restart"/>
            <w:shd w:val="clear" w:color="auto" w:fill="EAEAEC"/>
          </w:tcPr>
          <w:p>
            <w:pPr>
              <w:jc w:val="center"/>
              <w:spacing w:after="0"/>
              <w:rPr>
                <w:sz w:val="20"/>
                <w:szCs w:val="20"/>
                <w:color w:val="auto"/>
              </w:rPr>
            </w:pPr>
            <w:r>
              <w:rPr>
                <w:rFonts w:ascii="Arial" w:cs="Arial" w:eastAsia="Arial" w:hAnsi="Arial"/>
                <w:sz w:val="13"/>
                <w:szCs w:val="13"/>
                <w:color w:val="231F20"/>
                <w:w w:val="99"/>
              </w:rPr>
              <w:t>9,546,628 shares of common stock</w:t>
            </w:r>
            <w:r>
              <w:rPr>
                <w:rFonts w:ascii="Arial" w:cs="Arial" w:eastAsia="Arial" w:hAnsi="Arial"/>
                <w:sz w:val="21"/>
                <w:szCs w:val="21"/>
                <w:color w:val="231F20"/>
                <w:w w:val="99"/>
                <w:vertAlign w:val="superscript"/>
              </w:rPr>
              <w:t>5</w:t>
            </w:r>
          </w:p>
        </w:tc>
        <w:tc>
          <w:tcPr>
            <w:tcW w:w="0" w:type="dxa"/>
            <w:vAlign w:val="bottom"/>
          </w:tcPr>
          <w:p>
            <w:pPr>
              <w:spacing w:after="0"/>
              <w:rPr>
                <w:sz w:val="1"/>
                <w:szCs w:val="1"/>
                <w:color w:val="auto"/>
              </w:rPr>
            </w:pPr>
          </w:p>
        </w:tc>
      </w:tr>
      <w:tr>
        <w:trPr>
          <w:trHeight w:val="71"/>
        </w:trPr>
        <w:tc>
          <w:tcPr>
            <w:tcW w:w="2020" w:type="dxa"/>
            <w:vAlign w:val="bottom"/>
            <w:vMerge w:val="restart"/>
            <w:shd w:val="clear" w:color="auto" w:fill="EAEAEC"/>
          </w:tcPr>
          <w:p>
            <w:pPr>
              <w:ind w:left="60"/>
              <w:spacing w:after="0" w:line="233" w:lineRule="exact"/>
              <w:rPr>
                <w:sz w:val="20"/>
                <w:szCs w:val="20"/>
                <w:color w:val="auto"/>
              </w:rPr>
            </w:pPr>
            <w:r>
              <w:rPr>
                <w:rFonts w:ascii="Arial" w:cs="Arial" w:eastAsia="Arial" w:hAnsi="Arial"/>
                <w:sz w:val="13"/>
                <w:szCs w:val="13"/>
                <w:color w:val="231F20"/>
              </w:rPr>
              <w:t>approved by security holders</w:t>
            </w:r>
            <w:r>
              <w:rPr>
                <w:rFonts w:ascii="Arial" w:cs="Arial" w:eastAsia="Arial" w:hAnsi="Arial"/>
                <w:sz w:val="21"/>
                <w:szCs w:val="21"/>
                <w:color w:val="231F20"/>
                <w:vertAlign w:val="superscript"/>
              </w:rPr>
              <w:t>1</w:t>
            </w:r>
          </w:p>
        </w:tc>
        <w:tc>
          <w:tcPr>
            <w:tcW w:w="840" w:type="dxa"/>
            <w:vAlign w:val="bottom"/>
            <w:vMerge w:val="continue"/>
            <w:shd w:val="clear" w:color="auto" w:fill="EAEAEC"/>
          </w:tcPr>
          <w:p>
            <w:pPr>
              <w:spacing w:after="0"/>
              <w:rPr>
                <w:sz w:val="6"/>
                <w:szCs w:val="6"/>
                <w:color w:val="auto"/>
              </w:rPr>
            </w:pPr>
          </w:p>
        </w:tc>
        <w:tc>
          <w:tcPr>
            <w:tcW w:w="80" w:type="dxa"/>
            <w:vAlign w:val="bottom"/>
            <w:shd w:val="clear" w:color="auto" w:fill="EAEAEC"/>
          </w:tcPr>
          <w:p>
            <w:pPr>
              <w:spacing w:after="0"/>
              <w:rPr>
                <w:sz w:val="6"/>
                <w:szCs w:val="6"/>
                <w:color w:val="auto"/>
              </w:rPr>
            </w:pPr>
          </w:p>
        </w:tc>
        <w:tc>
          <w:tcPr>
            <w:tcW w:w="1200" w:type="dxa"/>
            <w:vAlign w:val="bottom"/>
            <w:vMerge w:val="continue"/>
            <w:shd w:val="clear" w:color="auto" w:fill="EAEAEC"/>
          </w:tcPr>
          <w:p>
            <w:pPr>
              <w:spacing w:after="0"/>
              <w:rPr>
                <w:sz w:val="6"/>
                <w:szCs w:val="6"/>
                <w:color w:val="auto"/>
              </w:rPr>
            </w:pPr>
          </w:p>
        </w:tc>
        <w:tc>
          <w:tcPr>
            <w:tcW w:w="1620" w:type="dxa"/>
            <w:vAlign w:val="bottom"/>
            <w:vMerge w:val="continue"/>
            <w:shd w:val="clear" w:color="auto" w:fill="EAEAEC"/>
          </w:tcPr>
          <w:p>
            <w:pPr>
              <w:spacing w:after="0"/>
              <w:rPr>
                <w:sz w:val="6"/>
                <w:szCs w:val="6"/>
                <w:color w:val="auto"/>
              </w:rPr>
            </w:pPr>
          </w:p>
        </w:tc>
        <w:tc>
          <w:tcPr>
            <w:tcW w:w="2340" w:type="dxa"/>
            <w:vAlign w:val="bottom"/>
            <w:vMerge w:val="continue"/>
            <w:shd w:val="clear" w:color="auto" w:fill="EAEAE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20" w:type="dxa"/>
            <w:vAlign w:val="bottom"/>
            <w:tcBorders>
              <w:bottom w:val="single" w:sz="8" w:color="auto"/>
            </w:tcBorders>
            <w:vMerge w:val="continue"/>
            <w:shd w:val="clear" w:color="auto" w:fill="EAEAEC"/>
          </w:tcPr>
          <w:p>
            <w:pPr>
              <w:spacing w:after="0"/>
              <w:rPr>
                <w:sz w:val="14"/>
                <w:szCs w:val="14"/>
                <w:color w:val="auto"/>
              </w:rPr>
            </w:pPr>
          </w:p>
        </w:tc>
        <w:tc>
          <w:tcPr>
            <w:tcW w:w="840" w:type="dxa"/>
            <w:vAlign w:val="bottom"/>
            <w:tcBorders>
              <w:bottom w:val="single" w:sz="8" w:color="auto"/>
            </w:tcBorders>
            <w:shd w:val="clear" w:color="auto" w:fill="EAEAEC"/>
          </w:tcPr>
          <w:p>
            <w:pPr>
              <w:spacing w:after="0"/>
              <w:rPr>
                <w:sz w:val="14"/>
                <w:szCs w:val="14"/>
                <w:color w:val="auto"/>
              </w:rPr>
            </w:pPr>
          </w:p>
        </w:tc>
        <w:tc>
          <w:tcPr>
            <w:tcW w:w="80" w:type="dxa"/>
            <w:vAlign w:val="bottom"/>
            <w:tcBorders>
              <w:bottom w:val="single" w:sz="8" w:color="auto"/>
            </w:tcBorders>
            <w:shd w:val="clear" w:color="auto" w:fill="EAEAEC"/>
          </w:tcPr>
          <w:p>
            <w:pPr>
              <w:spacing w:after="0"/>
              <w:rPr>
                <w:sz w:val="14"/>
                <w:szCs w:val="14"/>
                <w:color w:val="auto"/>
              </w:rPr>
            </w:pPr>
          </w:p>
        </w:tc>
        <w:tc>
          <w:tcPr>
            <w:tcW w:w="1200" w:type="dxa"/>
            <w:vAlign w:val="bottom"/>
            <w:tcBorders>
              <w:bottom w:val="single" w:sz="8" w:color="auto"/>
            </w:tcBorders>
            <w:shd w:val="clear" w:color="auto" w:fill="EAEAEC"/>
          </w:tcPr>
          <w:p>
            <w:pPr>
              <w:jc w:val="center"/>
              <w:ind w:right="759"/>
              <w:spacing w:after="0"/>
              <w:rPr>
                <w:sz w:val="20"/>
                <w:szCs w:val="20"/>
                <w:color w:val="auto"/>
              </w:rPr>
            </w:pPr>
            <w:r>
              <w:rPr>
                <w:rFonts w:ascii="Arial" w:cs="Arial" w:eastAsia="Arial" w:hAnsi="Arial"/>
                <w:sz w:val="13"/>
                <w:szCs w:val="13"/>
                <w:color w:val="231F20"/>
                <w:w w:val="98"/>
              </w:rPr>
              <w:t>stock</w:t>
            </w:r>
          </w:p>
        </w:tc>
        <w:tc>
          <w:tcPr>
            <w:tcW w:w="1620" w:type="dxa"/>
            <w:vAlign w:val="bottom"/>
            <w:tcBorders>
              <w:bottom w:val="single" w:sz="8" w:color="auto"/>
            </w:tcBorders>
            <w:shd w:val="clear" w:color="auto" w:fill="EAEAEC"/>
          </w:tcPr>
          <w:p>
            <w:pPr>
              <w:spacing w:after="0"/>
              <w:rPr>
                <w:sz w:val="14"/>
                <w:szCs w:val="14"/>
                <w:color w:val="auto"/>
              </w:rPr>
            </w:pPr>
          </w:p>
        </w:tc>
        <w:tc>
          <w:tcPr>
            <w:tcW w:w="2340" w:type="dxa"/>
            <w:vAlign w:val="bottom"/>
            <w:tcBorders>
              <w:bottom w:val="single" w:sz="8" w:color="auto"/>
            </w:tcBorders>
            <w:shd w:val="clear" w:color="auto" w:fill="EAEAE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tcPr>
          <w:p>
            <w:pPr>
              <w:ind w:left="60"/>
              <w:spacing w:after="0"/>
              <w:rPr>
                <w:sz w:val="20"/>
                <w:szCs w:val="20"/>
                <w:color w:val="auto"/>
              </w:rPr>
            </w:pPr>
            <w:r>
              <w:rPr>
                <w:rFonts w:ascii="Arial" w:cs="Arial" w:eastAsia="Arial" w:hAnsi="Arial"/>
                <w:sz w:val="13"/>
                <w:szCs w:val="13"/>
                <w:color w:val="231F20"/>
              </w:rPr>
              <w:t>Equity compensation plans not</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restart"/>
          </w:tcPr>
          <w:p>
            <w:pPr>
              <w:jc w:val="center"/>
              <w:ind w:right="779"/>
              <w:spacing w:after="0"/>
              <w:rPr>
                <w:sz w:val="20"/>
                <w:szCs w:val="20"/>
                <w:color w:val="auto"/>
              </w:rPr>
            </w:pPr>
            <w:r>
              <w:rPr>
                <w:rFonts w:ascii="Arial" w:cs="Arial" w:eastAsia="Arial" w:hAnsi="Arial"/>
                <w:sz w:val="13"/>
                <w:szCs w:val="13"/>
                <w:color w:val="231F20"/>
                <w:w w:val="91"/>
              </w:rPr>
              <w:t>—</w:t>
            </w:r>
          </w:p>
        </w:tc>
        <w:tc>
          <w:tcPr>
            <w:tcW w:w="1620" w:type="dxa"/>
            <w:vAlign w:val="bottom"/>
            <w:vMerge w:val="restart"/>
          </w:tcPr>
          <w:p>
            <w:pPr>
              <w:jc w:val="center"/>
              <w:spacing w:after="0"/>
              <w:rPr>
                <w:sz w:val="20"/>
                <w:szCs w:val="20"/>
                <w:color w:val="auto"/>
              </w:rPr>
            </w:pPr>
            <w:r>
              <w:rPr>
                <w:rFonts w:ascii="Arial" w:cs="Arial" w:eastAsia="Arial" w:hAnsi="Arial"/>
                <w:sz w:val="13"/>
                <w:szCs w:val="13"/>
                <w:color w:val="231F20"/>
              </w:rPr>
              <w:t>$ —</w:t>
            </w:r>
          </w:p>
        </w:tc>
        <w:tc>
          <w:tcPr>
            <w:tcW w:w="2340" w:type="dxa"/>
            <w:vAlign w:val="bottom"/>
            <w:vMerge w:val="restart"/>
          </w:tcPr>
          <w:p>
            <w:pPr>
              <w:jc w:val="center"/>
              <w:spacing w:after="0"/>
              <w:rPr>
                <w:sz w:val="20"/>
                <w:szCs w:val="20"/>
                <w:color w:val="auto"/>
              </w:rPr>
            </w:pPr>
            <w:r>
              <w:rPr>
                <w:rFonts w:ascii="Arial" w:cs="Arial" w:eastAsia="Arial" w:hAnsi="Arial"/>
                <w:sz w:val="13"/>
                <w:szCs w:val="13"/>
                <w:color w:val="231F20"/>
                <w:w w:val="99"/>
              </w:rPr>
              <w:t>44,246 shares of Class A stock</w:t>
            </w:r>
          </w:p>
        </w:tc>
        <w:tc>
          <w:tcPr>
            <w:tcW w:w="0" w:type="dxa"/>
            <w:vAlign w:val="bottom"/>
          </w:tcPr>
          <w:p>
            <w:pPr>
              <w:spacing w:after="0"/>
              <w:rPr>
                <w:sz w:val="1"/>
                <w:szCs w:val="1"/>
                <w:color w:val="auto"/>
              </w:rPr>
            </w:pPr>
          </w:p>
        </w:tc>
      </w:tr>
      <w:tr>
        <w:trPr>
          <w:trHeight w:val="96"/>
        </w:trPr>
        <w:tc>
          <w:tcPr>
            <w:tcW w:w="2020" w:type="dxa"/>
            <w:vAlign w:val="bottom"/>
            <w:vMerge w:val="restart"/>
          </w:tcPr>
          <w:p>
            <w:pPr>
              <w:ind w:left="60"/>
              <w:spacing w:after="0" w:line="233" w:lineRule="exact"/>
              <w:rPr>
                <w:sz w:val="20"/>
                <w:szCs w:val="20"/>
                <w:color w:val="auto"/>
              </w:rPr>
            </w:pPr>
            <w:r>
              <w:rPr>
                <w:rFonts w:ascii="Arial" w:cs="Arial" w:eastAsia="Arial" w:hAnsi="Arial"/>
                <w:sz w:val="13"/>
                <w:szCs w:val="13"/>
                <w:color w:val="231F20"/>
              </w:rPr>
              <w:t>approved by security holders</w:t>
            </w:r>
            <w:r>
              <w:rPr>
                <w:rFonts w:ascii="Arial" w:cs="Arial" w:eastAsia="Arial" w:hAnsi="Arial"/>
                <w:sz w:val="21"/>
                <w:szCs w:val="21"/>
                <w:color w:val="231F20"/>
                <w:vertAlign w:val="superscript"/>
              </w:rPr>
              <w:t>2</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20" w:type="dxa"/>
            <w:vAlign w:val="bottom"/>
            <w:vMerge w:val="restart"/>
            <w:shd w:val="clear" w:color="auto" w:fill="EAEAEC"/>
          </w:tcPr>
          <w:p>
            <w:pPr>
              <w:ind w:left="60"/>
              <w:spacing w:after="0"/>
              <w:rPr>
                <w:sz w:val="20"/>
                <w:szCs w:val="20"/>
                <w:color w:val="auto"/>
              </w:rPr>
            </w:pPr>
            <w:r>
              <w:rPr>
                <w:rFonts w:ascii="Arial" w:cs="Arial" w:eastAsia="Arial" w:hAnsi="Arial"/>
                <w:sz w:val="13"/>
                <w:szCs w:val="13"/>
                <w:color w:val="231F20"/>
              </w:rPr>
              <w:t>Total</w:t>
            </w:r>
          </w:p>
        </w:tc>
        <w:tc>
          <w:tcPr>
            <w:tcW w:w="2120" w:type="dxa"/>
            <w:vAlign w:val="bottom"/>
            <w:gridSpan w:val="3"/>
            <w:shd w:val="clear" w:color="auto" w:fill="EAEAEC"/>
          </w:tcPr>
          <w:p>
            <w:pPr>
              <w:jc w:val="center"/>
              <w:ind w:left="27"/>
              <w:spacing w:after="0"/>
              <w:rPr>
                <w:sz w:val="20"/>
                <w:szCs w:val="20"/>
                <w:color w:val="auto"/>
              </w:rPr>
            </w:pPr>
            <w:r>
              <w:rPr>
                <w:rFonts w:ascii="Arial" w:cs="Arial" w:eastAsia="Arial" w:hAnsi="Arial"/>
                <w:sz w:val="13"/>
                <w:szCs w:val="13"/>
                <w:color w:val="231F20"/>
              </w:rPr>
              <w:t>28,729,300 shares of common</w:t>
            </w:r>
          </w:p>
        </w:tc>
        <w:tc>
          <w:tcPr>
            <w:tcW w:w="1620" w:type="dxa"/>
            <w:vAlign w:val="bottom"/>
            <w:vMerge w:val="restart"/>
            <w:shd w:val="clear" w:color="auto" w:fill="EAEAEC"/>
          </w:tcPr>
          <w:p>
            <w:pPr>
              <w:jc w:val="center"/>
              <w:spacing w:after="0"/>
              <w:rPr>
                <w:sz w:val="20"/>
                <w:szCs w:val="20"/>
                <w:color w:val="auto"/>
              </w:rPr>
            </w:pPr>
            <w:r>
              <w:rPr>
                <w:rFonts w:ascii="Arial" w:cs="Arial" w:eastAsia="Arial" w:hAnsi="Arial"/>
                <w:sz w:val="13"/>
                <w:szCs w:val="13"/>
                <w:color w:val="231F20"/>
                <w:w w:val="98"/>
              </w:rPr>
              <w:t>$ 337.24</w:t>
            </w:r>
          </w:p>
        </w:tc>
        <w:tc>
          <w:tcPr>
            <w:tcW w:w="2340" w:type="dxa"/>
            <w:vAlign w:val="bottom"/>
            <w:shd w:val="clear" w:color="auto" w:fill="EAEAEC"/>
          </w:tcPr>
          <w:p>
            <w:pPr>
              <w:jc w:val="center"/>
              <w:spacing w:after="0"/>
              <w:rPr>
                <w:sz w:val="20"/>
                <w:szCs w:val="20"/>
                <w:color w:val="auto"/>
              </w:rPr>
            </w:pPr>
            <w:r>
              <w:rPr>
                <w:rFonts w:ascii="Arial" w:cs="Arial" w:eastAsia="Arial" w:hAnsi="Arial"/>
                <w:sz w:val="13"/>
                <w:szCs w:val="13"/>
                <w:color w:val="231F20"/>
                <w:w w:val="99"/>
              </w:rPr>
              <w:t>9,590,874 shares of common stock</w:t>
            </w:r>
          </w:p>
        </w:tc>
        <w:tc>
          <w:tcPr>
            <w:tcW w:w="0" w:type="dxa"/>
            <w:vAlign w:val="bottom"/>
          </w:tcPr>
          <w:p>
            <w:pPr>
              <w:spacing w:after="0"/>
              <w:rPr>
                <w:sz w:val="1"/>
                <w:szCs w:val="1"/>
                <w:color w:val="auto"/>
              </w:rPr>
            </w:pPr>
          </w:p>
        </w:tc>
      </w:tr>
      <w:tr>
        <w:trPr>
          <w:trHeight w:val="75"/>
        </w:trPr>
        <w:tc>
          <w:tcPr>
            <w:tcW w:w="2020" w:type="dxa"/>
            <w:vAlign w:val="bottom"/>
            <w:vMerge w:val="continue"/>
            <w:shd w:val="clear" w:color="auto" w:fill="EAEAEC"/>
          </w:tcPr>
          <w:p>
            <w:pPr>
              <w:spacing w:after="0"/>
              <w:rPr>
                <w:sz w:val="6"/>
                <w:szCs w:val="6"/>
                <w:color w:val="auto"/>
              </w:rPr>
            </w:pPr>
          </w:p>
        </w:tc>
        <w:tc>
          <w:tcPr>
            <w:tcW w:w="840" w:type="dxa"/>
            <w:vAlign w:val="bottom"/>
            <w:shd w:val="clear" w:color="auto" w:fill="EAEAEC"/>
          </w:tcPr>
          <w:p>
            <w:pPr>
              <w:spacing w:after="0"/>
              <w:rPr>
                <w:sz w:val="6"/>
                <w:szCs w:val="6"/>
                <w:color w:val="auto"/>
              </w:rPr>
            </w:pPr>
          </w:p>
        </w:tc>
        <w:tc>
          <w:tcPr>
            <w:tcW w:w="80" w:type="dxa"/>
            <w:vAlign w:val="bottom"/>
            <w:shd w:val="clear" w:color="auto" w:fill="EAEAEC"/>
          </w:tcPr>
          <w:p>
            <w:pPr>
              <w:spacing w:after="0"/>
              <w:rPr>
                <w:sz w:val="6"/>
                <w:szCs w:val="6"/>
                <w:color w:val="auto"/>
              </w:rPr>
            </w:pPr>
          </w:p>
        </w:tc>
        <w:tc>
          <w:tcPr>
            <w:tcW w:w="1200" w:type="dxa"/>
            <w:vAlign w:val="bottom"/>
            <w:vMerge w:val="restart"/>
            <w:shd w:val="clear" w:color="auto" w:fill="EAEAEC"/>
          </w:tcPr>
          <w:p>
            <w:pPr>
              <w:jc w:val="center"/>
              <w:ind w:right="759"/>
              <w:spacing w:after="0"/>
              <w:rPr>
                <w:sz w:val="20"/>
                <w:szCs w:val="20"/>
                <w:color w:val="auto"/>
              </w:rPr>
            </w:pPr>
            <w:r>
              <w:rPr>
                <w:rFonts w:ascii="Arial" w:cs="Arial" w:eastAsia="Arial" w:hAnsi="Arial"/>
                <w:sz w:val="13"/>
                <w:szCs w:val="13"/>
                <w:color w:val="231F20"/>
                <w:w w:val="98"/>
              </w:rPr>
              <w:t>stock</w:t>
            </w:r>
          </w:p>
        </w:tc>
        <w:tc>
          <w:tcPr>
            <w:tcW w:w="1620" w:type="dxa"/>
            <w:vAlign w:val="bottom"/>
            <w:vMerge w:val="continue"/>
            <w:shd w:val="clear" w:color="auto" w:fill="EAEAEC"/>
          </w:tcPr>
          <w:p>
            <w:pPr>
              <w:spacing w:after="0"/>
              <w:rPr>
                <w:sz w:val="6"/>
                <w:szCs w:val="6"/>
                <w:color w:val="auto"/>
              </w:rPr>
            </w:pPr>
          </w:p>
        </w:tc>
        <w:tc>
          <w:tcPr>
            <w:tcW w:w="2340" w:type="dxa"/>
            <w:vAlign w:val="bottom"/>
            <w:vMerge w:val="restart"/>
            <w:shd w:val="clear" w:color="auto" w:fill="EAEAEC"/>
          </w:tcPr>
          <w:p>
            <w:pPr>
              <w:jc w:val="center"/>
              <w:spacing w:after="0"/>
              <w:rPr>
                <w:sz w:val="20"/>
                <w:szCs w:val="20"/>
                <w:color w:val="auto"/>
              </w:rPr>
            </w:pPr>
            <w:r>
              <w:rPr>
                <w:rFonts w:ascii="Arial" w:cs="Arial" w:eastAsia="Arial" w:hAnsi="Arial"/>
                <w:sz w:val="13"/>
                <w:szCs w:val="13"/>
                <w:color w:val="231F20"/>
              </w:rPr>
              <w:t>and Class A stock</w:t>
            </w:r>
          </w:p>
        </w:tc>
        <w:tc>
          <w:tcPr>
            <w:tcW w:w="0" w:type="dxa"/>
            <w:vAlign w:val="bottom"/>
          </w:tcPr>
          <w:p>
            <w:pPr>
              <w:spacing w:after="0"/>
              <w:rPr>
                <w:sz w:val="1"/>
                <w:szCs w:val="1"/>
                <w:color w:val="auto"/>
              </w:rPr>
            </w:pPr>
          </w:p>
        </w:tc>
      </w:tr>
      <w:tr>
        <w:trPr>
          <w:trHeight w:val="104"/>
        </w:trPr>
        <w:tc>
          <w:tcPr>
            <w:tcW w:w="2020" w:type="dxa"/>
            <w:vAlign w:val="bottom"/>
            <w:tcBorders>
              <w:bottom w:val="single" w:sz="8" w:color="EAEAEC"/>
            </w:tcBorders>
            <w:shd w:val="clear" w:color="auto" w:fill="EAEAEC"/>
          </w:tcPr>
          <w:p>
            <w:pPr>
              <w:spacing w:after="0"/>
              <w:rPr>
                <w:sz w:val="9"/>
                <w:szCs w:val="9"/>
                <w:color w:val="auto"/>
              </w:rPr>
            </w:pPr>
          </w:p>
        </w:tc>
        <w:tc>
          <w:tcPr>
            <w:tcW w:w="840" w:type="dxa"/>
            <w:vAlign w:val="bottom"/>
            <w:tcBorders>
              <w:bottom w:val="single" w:sz="8" w:color="EAEAEC"/>
            </w:tcBorders>
            <w:shd w:val="clear" w:color="auto" w:fill="EAEAEC"/>
          </w:tcPr>
          <w:p>
            <w:pPr>
              <w:spacing w:after="0"/>
              <w:rPr>
                <w:sz w:val="9"/>
                <w:szCs w:val="9"/>
                <w:color w:val="auto"/>
              </w:rPr>
            </w:pPr>
          </w:p>
        </w:tc>
        <w:tc>
          <w:tcPr>
            <w:tcW w:w="80" w:type="dxa"/>
            <w:vAlign w:val="bottom"/>
            <w:tcBorders>
              <w:bottom w:val="single" w:sz="8" w:color="EAEAEC"/>
            </w:tcBorders>
            <w:shd w:val="clear" w:color="auto" w:fill="EAEAEC"/>
          </w:tcPr>
          <w:p>
            <w:pPr>
              <w:spacing w:after="0"/>
              <w:rPr>
                <w:sz w:val="9"/>
                <w:szCs w:val="9"/>
                <w:color w:val="auto"/>
              </w:rPr>
            </w:pPr>
          </w:p>
        </w:tc>
        <w:tc>
          <w:tcPr>
            <w:tcW w:w="1200" w:type="dxa"/>
            <w:vAlign w:val="bottom"/>
            <w:tcBorders>
              <w:bottom w:val="single" w:sz="8" w:color="EAEAEC"/>
            </w:tcBorders>
            <w:vMerge w:val="continue"/>
            <w:shd w:val="clear" w:color="auto" w:fill="EAEAEC"/>
          </w:tcPr>
          <w:p>
            <w:pPr>
              <w:spacing w:after="0"/>
              <w:rPr>
                <w:sz w:val="9"/>
                <w:szCs w:val="9"/>
                <w:color w:val="auto"/>
              </w:rPr>
            </w:pPr>
          </w:p>
        </w:tc>
        <w:tc>
          <w:tcPr>
            <w:tcW w:w="1620" w:type="dxa"/>
            <w:vAlign w:val="bottom"/>
            <w:tcBorders>
              <w:bottom w:val="single" w:sz="8" w:color="EAEAEC"/>
            </w:tcBorders>
            <w:shd w:val="clear" w:color="auto" w:fill="EAEAEC"/>
          </w:tcPr>
          <w:p>
            <w:pPr>
              <w:spacing w:after="0"/>
              <w:rPr>
                <w:sz w:val="9"/>
                <w:szCs w:val="9"/>
                <w:color w:val="auto"/>
              </w:rPr>
            </w:pPr>
          </w:p>
        </w:tc>
        <w:tc>
          <w:tcPr>
            <w:tcW w:w="2340" w:type="dxa"/>
            <w:vAlign w:val="bottom"/>
            <w:tcBorders>
              <w:bottom w:val="single" w:sz="8" w:color="EAEAEC"/>
            </w:tcBorders>
            <w:vMerge w:val="continue"/>
            <w:shd w:val="clear" w:color="auto" w:fill="EAEAE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2952A4"/>
          </w:tcPr>
          <w:p>
            <w:pPr>
              <w:spacing w:after="0" w:line="20" w:lineRule="exact"/>
              <w:rPr>
                <w:sz w:val="1"/>
                <w:szCs w:val="1"/>
                <w:color w:val="auto"/>
              </w:rPr>
            </w:pPr>
          </w:p>
        </w:tc>
        <w:tc>
          <w:tcPr>
            <w:tcW w:w="840" w:type="dxa"/>
            <w:vAlign w:val="bottom"/>
            <w:shd w:val="clear" w:color="auto" w:fill="2952A4"/>
          </w:tcPr>
          <w:p>
            <w:pPr>
              <w:spacing w:after="0" w:line="20" w:lineRule="exact"/>
              <w:rPr>
                <w:sz w:val="1"/>
                <w:szCs w:val="1"/>
                <w:color w:val="auto"/>
              </w:rPr>
            </w:pPr>
          </w:p>
        </w:tc>
        <w:tc>
          <w:tcPr>
            <w:tcW w:w="80" w:type="dxa"/>
            <w:vAlign w:val="bottom"/>
            <w:shd w:val="clear" w:color="auto" w:fill="2952A4"/>
          </w:tcPr>
          <w:p>
            <w:pPr>
              <w:spacing w:after="0" w:line="20" w:lineRule="exact"/>
              <w:rPr>
                <w:sz w:val="1"/>
                <w:szCs w:val="1"/>
                <w:color w:val="auto"/>
              </w:rPr>
            </w:pPr>
          </w:p>
        </w:tc>
        <w:tc>
          <w:tcPr>
            <w:tcW w:w="1200" w:type="dxa"/>
            <w:vAlign w:val="bottom"/>
            <w:shd w:val="clear" w:color="auto" w:fill="2952A4"/>
          </w:tcPr>
          <w:p>
            <w:pPr>
              <w:spacing w:after="0" w:line="20" w:lineRule="exact"/>
              <w:rPr>
                <w:sz w:val="1"/>
                <w:szCs w:val="1"/>
                <w:color w:val="auto"/>
              </w:rPr>
            </w:pPr>
          </w:p>
        </w:tc>
        <w:tc>
          <w:tcPr>
            <w:tcW w:w="1620" w:type="dxa"/>
            <w:vAlign w:val="bottom"/>
            <w:shd w:val="clear" w:color="auto" w:fill="2952A4"/>
          </w:tcPr>
          <w:p>
            <w:pPr>
              <w:spacing w:after="0" w:line="20" w:lineRule="exact"/>
              <w:rPr>
                <w:sz w:val="1"/>
                <w:szCs w:val="1"/>
                <w:color w:val="auto"/>
              </w:rPr>
            </w:pPr>
          </w:p>
        </w:tc>
        <w:tc>
          <w:tcPr>
            <w:tcW w:w="2340" w:type="dxa"/>
            <w:vAlign w:val="bottom"/>
            <w:shd w:val="clear" w:color="auto" w:fill="2952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40" w:right="719" w:hanging="236"/>
        <w:spacing w:after="0" w:line="245" w:lineRule="auto"/>
        <w:tabs>
          <w:tab w:leader="none" w:pos="740" w:val="left"/>
        </w:tabs>
        <w:numPr>
          <w:ilvl w:val="0"/>
          <w:numId w:val="220"/>
        </w:numPr>
        <w:rPr>
          <w:rFonts w:ascii="Arial" w:cs="Arial" w:eastAsia="Arial" w:hAnsi="Arial"/>
          <w:sz w:val="14"/>
          <w:szCs w:val="14"/>
          <w:b w:val="1"/>
          <w:bCs w:val="1"/>
          <w:color w:val="2952A4"/>
        </w:rPr>
      </w:pPr>
      <w:r>
        <w:rPr>
          <w:rFonts w:ascii="Arial" w:cs="Arial" w:eastAsia="Arial" w:hAnsi="Arial"/>
          <w:sz w:val="14"/>
          <w:szCs w:val="14"/>
          <w:color w:val="231F20"/>
        </w:rPr>
        <w:t>The equity compensation plans approved by the security holders are the Regeneron Pharmaceuticals, Inc. Second Amended and Restated 2000 Long-Term Incentive Plan; the Regeneron Pharmaceuticals, Inc. 2014 Long-Term Incentive Plan; and the Amended and Restated Regeneron Pharmaceuticals, Inc. 2014 Long-Term Incentive Plan. The Amended and Restated Regeneron Pharmaceuticals, Inc. 2014 Long-Term Incentive Plan is the only plan currently used by the Company to grant equity awards.</w:t>
      </w:r>
    </w:p>
    <w:p>
      <w:pPr>
        <w:spacing w:after="0" w:line="137" w:lineRule="exact"/>
        <w:rPr>
          <w:sz w:val="20"/>
          <w:szCs w:val="20"/>
          <w:color w:val="auto"/>
        </w:rPr>
      </w:pPr>
    </w:p>
    <w:p>
      <w:pPr>
        <w:ind w:left="740" w:right="559" w:hanging="236"/>
        <w:spacing w:after="0" w:line="243" w:lineRule="auto"/>
        <w:tabs>
          <w:tab w:leader="none" w:pos="740" w:val="left"/>
        </w:tabs>
        <w:numPr>
          <w:ilvl w:val="0"/>
          <w:numId w:val="221"/>
        </w:numPr>
        <w:rPr>
          <w:rFonts w:ascii="Arial" w:cs="Arial" w:eastAsia="Arial" w:hAnsi="Arial"/>
          <w:sz w:val="14"/>
          <w:szCs w:val="14"/>
          <w:b w:val="1"/>
          <w:bCs w:val="1"/>
          <w:color w:val="2952A4"/>
        </w:rPr>
      </w:pPr>
      <w:r>
        <w:rPr>
          <w:rFonts w:ascii="Arial" w:cs="Arial" w:eastAsia="Arial" w:hAnsi="Arial"/>
          <w:sz w:val="14"/>
          <w:szCs w:val="14"/>
          <w:color w:val="231F20"/>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2019, there were no unvested shares and 44,246 shares of Class A stock available for future grants under the Plan.</w:t>
      </w:r>
    </w:p>
    <w:p>
      <w:pPr>
        <w:spacing w:after="0" w:line="303" w:lineRule="exact"/>
        <w:rPr>
          <w:sz w:val="20"/>
          <w:szCs w:val="20"/>
          <w:color w:val="auto"/>
        </w:rPr>
      </w:pPr>
    </w:p>
    <w:p>
      <w:pPr>
        <w:jc w:val="both"/>
        <w:ind w:left="740" w:right="899" w:hanging="236"/>
        <w:spacing w:after="0" w:line="249" w:lineRule="auto"/>
        <w:tabs>
          <w:tab w:leader="none" w:pos="740" w:val="left"/>
        </w:tabs>
        <w:numPr>
          <w:ilvl w:val="0"/>
          <w:numId w:val="222"/>
        </w:numPr>
        <w:rPr>
          <w:rFonts w:ascii="Arial" w:cs="Arial" w:eastAsia="Arial" w:hAnsi="Arial"/>
          <w:sz w:val="14"/>
          <w:szCs w:val="14"/>
          <w:b w:val="1"/>
          <w:bCs w:val="1"/>
          <w:color w:val="2952A4"/>
        </w:rPr>
      </w:pPr>
      <w:r>
        <w:rPr>
          <w:rFonts w:ascii="Arial" w:cs="Arial" w:eastAsia="Arial" w:hAnsi="Arial"/>
          <w:sz w:val="14"/>
          <w:szCs w:val="14"/>
          <w:color w:val="231F20"/>
        </w:rPr>
        <w:t>This amount includes (i) 28,609,277 shares to be issued upon exercise of outstanding options, (ii) 60,627 shares to be issued upon vesting of RSUs, and (iii) 59,396 shares to be issued upon vesting of PSUs (assuming maximum payouts earned) .</w:t>
      </w:r>
    </w:p>
    <w:p>
      <w:pPr>
        <w:spacing w:after="0" w:line="133" w:lineRule="exact"/>
        <w:rPr>
          <w:sz w:val="20"/>
          <w:szCs w:val="20"/>
          <w:color w:val="auto"/>
        </w:rPr>
      </w:pPr>
    </w:p>
    <w:p>
      <w:pPr>
        <w:ind w:left="740" w:right="659" w:hanging="236"/>
        <w:spacing w:after="0" w:line="249" w:lineRule="auto"/>
        <w:tabs>
          <w:tab w:leader="none" w:pos="740" w:val="left"/>
        </w:tabs>
        <w:numPr>
          <w:ilvl w:val="0"/>
          <w:numId w:val="223"/>
        </w:numPr>
        <w:rPr>
          <w:rFonts w:ascii="Arial" w:cs="Arial" w:eastAsia="Arial" w:hAnsi="Arial"/>
          <w:sz w:val="14"/>
          <w:szCs w:val="14"/>
          <w:b w:val="1"/>
          <w:bCs w:val="1"/>
          <w:color w:val="2952A4"/>
        </w:rPr>
      </w:pPr>
      <w:r>
        <w:rPr>
          <w:rFonts w:ascii="Arial" w:cs="Arial" w:eastAsia="Arial" w:hAnsi="Arial"/>
          <w:sz w:val="14"/>
          <w:szCs w:val="14"/>
          <w:color w:val="231F20"/>
        </w:rPr>
        <w:t>The calculation of the weighted-average exercise price does not include the 60,627 shares to be issued upon vesting of RSUs or the 59,396 shares to be issued upon vesting of PSUs (assuming maximum payouts earned), as RSUs and PSUs do not have an exercise price.</w:t>
      </w:r>
    </w:p>
    <w:p>
      <w:pPr>
        <w:spacing w:after="0" w:line="133" w:lineRule="exact"/>
        <w:rPr>
          <w:sz w:val="20"/>
          <w:szCs w:val="20"/>
          <w:color w:val="auto"/>
        </w:rPr>
      </w:pPr>
    </w:p>
    <w:p>
      <w:pPr>
        <w:ind w:left="740" w:right="819" w:hanging="236"/>
        <w:spacing w:after="0" w:line="258" w:lineRule="auto"/>
        <w:tabs>
          <w:tab w:leader="none" w:pos="740" w:val="left"/>
        </w:tabs>
        <w:numPr>
          <w:ilvl w:val="0"/>
          <w:numId w:val="224"/>
        </w:numPr>
        <w:rPr>
          <w:rFonts w:ascii="Arial" w:cs="Arial" w:eastAsia="Arial" w:hAnsi="Arial"/>
          <w:sz w:val="14"/>
          <w:szCs w:val="14"/>
          <w:b w:val="1"/>
          <w:bCs w:val="1"/>
          <w:color w:val="2952A4"/>
        </w:rPr>
      </w:pPr>
      <w:r>
        <w:rPr>
          <w:rFonts w:ascii="Arial" w:cs="Arial" w:eastAsia="Arial" w:hAnsi="Arial"/>
          <w:sz w:val="14"/>
          <w:szCs w:val="14"/>
          <w:color w:val="231F20"/>
        </w:rPr>
        <w:t>This amount is net of 1,041,763 outstanding RSAs. As these shares are considered issued and outstanding upon grant, they are not included in the amounts reported in column (a).</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106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281305</wp:posOffset>
            </wp:positionV>
            <wp:extent cx="713232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864"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91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91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Arial" w:cs="Arial" w:eastAsia="Arial" w:hAnsi="Arial"/>
          <w:sz w:val="32"/>
          <w:szCs w:val="32"/>
          <w:b w:val="1"/>
          <w:bCs w:val="1"/>
          <w:color w:val="FFFFFF"/>
        </w:rPr>
        <w:t>PROPOSAL</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162"/>
          <w:szCs w:val="162"/>
          <w:b w:val="1"/>
          <w:bCs w:val="1"/>
          <w:color w:val="FFFFFF"/>
        </w:rPr>
        <w:t>04</w:t>
      </w:r>
    </w:p>
    <w:p>
      <w:pPr>
        <w:ind w:left="2380" w:right="1460"/>
        <w:spacing w:after="0" w:line="238" w:lineRule="auto"/>
        <w:rPr>
          <w:sz w:val="20"/>
          <w:szCs w:val="20"/>
          <w:color w:val="auto"/>
        </w:rPr>
      </w:pPr>
      <w:r>
        <w:rPr>
          <w:rFonts w:ascii="Arial" w:cs="Arial" w:eastAsia="Arial" w:hAnsi="Arial"/>
          <w:sz w:val="54"/>
          <w:szCs w:val="54"/>
          <w:b w:val="1"/>
          <w:bCs w:val="1"/>
          <w:color w:val="FFFFFF"/>
        </w:rPr>
        <w:t>ADVISORY VOTE ON COMPENSATION OF NAMED EXECUTIVE OFFICERS (SAY 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80"/>
        <w:spacing w:after="0"/>
        <w:rPr>
          <w:sz w:val="20"/>
          <w:szCs w:val="20"/>
          <w:color w:val="auto"/>
        </w:rPr>
      </w:pPr>
      <w:r>
        <w:rPr>
          <w:rFonts w:ascii="Arial" w:cs="Arial" w:eastAsia="Arial" w:hAnsi="Arial"/>
          <w:sz w:val="23"/>
          <w:szCs w:val="23"/>
          <w:color w:val="FFFFFF"/>
        </w:rPr>
        <w:t>The Board of Directors Unanimously</w:t>
      </w:r>
    </w:p>
    <w:p>
      <w:pPr>
        <w:spacing w:after="0" w:line="19" w:lineRule="exact"/>
        <w:rPr>
          <w:sz w:val="20"/>
          <w:szCs w:val="20"/>
          <w:color w:val="auto"/>
        </w:rPr>
      </w:pPr>
    </w:p>
    <w:p>
      <w:pPr>
        <w:ind w:left="3780"/>
        <w:spacing w:after="0"/>
        <w:rPr>
          <w:sz w:val="20"/>
          <w:szCs w:val="20"/>
          <w:color w:val="auto"/>
        </w:rPr>
      </w:pPr>
      <w:r>
        <w:rPr>
          <w:rFonts w:ascii="Arial" w:cs="Arial" w:eastAsia="Arial" w:hAnsi="Arial"/>
          <w:sz w:val="23"/>
          <w:szCs w:val="23"/>
          <w:color w:val="FFFFFF"/>
        </w:rPr>
        <w:t>Recommends a Vote, on an Advisory Basis,</w:t>
      </w:r>
    </w:p>
    <w:p>
      <w:pPr>
        <w:spacing w:after="0" w:line="17" w:lineRule="exact"/>
        <w:rPr>
          <w:sz w:val="20"/>
          <w:szCs w:val="20"/>
          <w:color w:val="auto"/>
        </w:rPr>
      </w:pPr>
    </w:p>
    <w:p>
      <w:pPr>
        <w:ind w:left="3780"/>
        <w:spacing w:after="0"/>
        <w:rPr>
          <w:sz w:val="20"/>
          <w:szCs w:val="20"/>
          <w:color w:val="auto"/>
        </w:rPr>
      </w:pPr>
      <w:r>
        <w:rPr>
          <w:rFonts w:ascii="Arial" w:cs="Arial" w:eastAsia="Arial" w:hAnsi="Arial"/>
          <w:sz w:val="23"/>
          <w:szCs w:val="23"/>
          <w:b w:val="1"/>
          <w:bCs w:val="1"/>
          <w:color w:val="FFFFFF"/>
        </w:rPr>
        <w:t xml:space="preserve">FOR </w:t>
      </w:r>
      <w:r>
        <w:rPr>
          <w:rFonts w:ascii="Arial" w:cs="Arial" w:eastAsia="Arial" w:hAnsi="Arial"/>
          <w:sz w:val="23"/>
          <w:szCs w:val="23"/>
          <w:color w:val="FFFFFF"/>
        </w:rPr>
        <w:t>Approval of the Compensation of Our</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23"/>
          <w:szCs w:val="23"/>
          <w:color w:val="FFFFFF"/>
        </w:rPr>
        <w:t>Named Executive Officers as Disclosed in</w:t>
      </w:r>
    </w:p>
    <w:p>
      <w:pPr>
        <w:spacing w:after="0" w:line="19" w:lineRule="exact"/>
        <w:rPr>
          <w:sz w:val="20"/>
          <w:szCs w:val="20"/>
          <w:color w:val="auto"/>
        </w:rPr>
      </w:pPr>
    </w:p>
    <w:p>
      <w:pPr>
        <w:ind w:left="3780"/>
        <w:spacing w:after="0"/>
        <w:rPr>
          <w:sz w:val="20"/>
          <w:szCs w:val="20"/>
          <w:color w:val="auto"/>
        </w:rPr>
      </w:pPr>
      <w:r>
        <w:rPr>
          <w:rFonts w:ascii="Arial" w:cs="Arial" w:eastAsia="Arial" w:hAnsi="Arial"/>
          <w:sz w:val="23"/>
          <w:szCs w:val="23"/>
          <w:color w:val="FFFFFF"/>
        </w:rPr>
        <w:t>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ind w:left="1300"/>
              <w:spacing w:after="0"/>
              <w:rPr>
                <w:sz w:val="20"/>
                <w:szCs w:val="20"/>
                <w:color w:val="auto"/>
              </w:rPr>
            </w:pPr>
            <w:r>
              <w:rPr>
                <w:rFonts w:ascii="Arial" w:cs="Arial" w:eastAsia="Arial" w:hAnsi="Arial"/>
                <w:sz w:val="13"/>
                <w:szCs w:val="13"/>
                <w:b w:val="1"/>
                <w:bCs w:val="1"/>
                <w:color w:val="FFFFFF"/>
              </w:rPr>
              <w:t>2020 PROXY STATEMENT AND NOTICE OF ANNUAL SHAREHOLDER MEETING</w:t>
            </w:r>
          </w:p>
        </w:tc>
        <w:tc>
          <w:tcPr>
            <w:tcW w:w="3440" w:type="dxa"/>
            <w:vAlign w:val="bottom"/>
          </w:tcPr>
          <w:p>
            <w:pPr>
              <w:jc w:val="right"/>
              <w:ind w:right="1228"/>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4"/>
                <w:szCs w:val="14"/>
                <w:b w:val="1"/>
                <w:bCs w:val="1"/>
                <w:color w:val="FFFFFF"/>
              </w:rPr>
              <w:t>107</w:t>
            </w:r>
          </w:p>
        </w:tc>
      </w:tr>
      <w:tr>
        <w:trPr>
          <w:trHeight w:val="870"/>
        </w:trPr>
        <w:tc>
          <w:tcPr>
            <w:tcW w:w="7800" w:type="dxa"/>
            <w:vAlign w:val="bottom"/>
            <w:tcBorders>
              <w:bottom w:val="single" w:sz="8" w:color="C0C0C0"/>
            </w:tcBorders>
          </w:tcPr>
          <w:p>
            <w:pPr>
              <w:spacing w:after="0"/>
              <w:rPr>
                <w:sz w:val="24"/>
                <w:szCs w:val="24"/>
                <w:color w:val="auto"/>
              </w:rPr>
            </w:pPr>
          </w:p>
        </w:tc>
        <w:tc>
          <w:tcPr>
            <w:tcW w:w="34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9" w:name="page120"/>
    <w:bookmarkEnd w:id="119"/>
    <w:p>
      <w:pPr>
        <w:ind w:left="500"/>
        <w:spacing w:after="0"/>
        <w:rPr>
          <w:sz w:val="20"/>
          <w:szCs w:val="20"/>
          <w:color w:val="auto"/>
        </w:rPr>
      </w:pPr>
      <w:r>
        <w:rPr>
          <w:rFonts w:ascii="Arial" w:cs="Arial" w:eastAsia="Arial" w:hAnsi="Arial"/>
          <w:sz w:val="16"/>
          <w:szCs w:val="16"/>
          <w:b w:val="1"/>
          <w:bCs w:val="1"/>
          <w:color w:val="2952A4"/>
        </w:rPr>
        <w:t>PROPOSAL 04: ADVISORY VOTE ON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68580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sectPr>
      </w:pPr>
    </w:p>
    <w:p>
      <w:pPr>
        <w:spacing w:after="0" w:line="303" w:lineRule="exact"/>
        <w:rPr>
          <w:sz w:val="20"/>
          <w:szCs w:val="20"/>
          <w:color w:val="auto"/>
        </w:rPr>
      </w:pPr>
    </w:p>
    <w:p>
      <w:pPr>
        <w:ind w:left="500" w:right="739"/>
        <w:spacing w:after="0" w:line="235" w:lineRule="auto"/>
        <w:rPr>
          <w:sz w:val="20"/>
          <w:szCs w:val="20"/>
          <w:color w:val="auto"/>
        </w:rPr>
      </w:pPr>
      <w:r>
        <w:rPr>
          <w:rFonts w:ascii="Arial" w:cs="Arial" w:eastAsia="Arial" w:hAnsi="Arial"/>
          <w:sz w:val="15"/>
          <w:szCs w:val="15"/>
          <w:color w:val="231F20"/>
        </w:rPr>
        <w:t>As required by Section 14A of the Exchange Act, we are seeking, on an advisory basis, shareholder approval of the compensation of our NEOs as disclosed above (“say-on-pay” proposal). Specifically, shareholders are being asked to approve the following advisory resolution:</w:t>
      </w:r>
    </w:p>
    <w:p>
      <w:pPr>
        <w:spacing w:after="0" w:line="141" w:lineRule="exact"/>
        <w:rPr>
          <w:sz w:val="20"/>
          <w:szCs w:val="20"/>
          <w:color w:val="auto"/>
        </w:rPr>
      </w:pPr>
    </w:p>
    <w:p>
      <w:pPr>
        <w:jc w:val="both"/>
        <w:ind w:left="820" w:right="659"/>
        <w:spacing w:after="0" w:line="231" w:lineRule="auto"/>
        <w:rPr>
          <w:sz w:val="20"/>
          <w:szCs w:val="20"/>
          <w:color w:val="auto"/>
        </w:rPr>
      </w:pPr>
      <w:r>
        <w:rPr>
          <w:rFonts w:ascii="Arial" w:cs="Arial" w:eastAsia="Arial" w:hAnsi="Arial"/>
          <w:sz w:val="15"/>
          <w:szCs w:val="15"/>
          <w:color w:val="231F20"/>
        </w:rPr>
        <w:t>RESOLVED, that the shareholders of Regeneron Pharmaceuticals, Inc. hereby approve the compensation of the Company’s Named Executive Officers, as disclosed in the Company’s proxy statement relating to the Company’s 2020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spacing w:after="0" w:line="142" w:lineRule="exact"/>
        <w:rPr>
          <w:sz w:val="20"/>
          <w:szCs w:val="20"/>
          <w:color w:val="auto"/>
        </w:rPr>
      </w:pPr>
    </w:p>
    <w:p>
      <w:pPr>
        <w:ind w:left="500" w:right="419"/>
        <w:spacing w:after="0" w:line="231" w:lineRule="auto"/>
        <w:rPr>
          <w:sz w:val="20"/>
          <w:szCs w:val="20"/>
          <w:color w:val="auto"/>
        </w:rPr>
      </w:pPr>
      <w:r>
        <w:rPr>
          <w:rFonts w:ascii="Arial" w:cs="Arial" w:eastAsia="Arial" w:hAnsi="Arial"/>
          <w:sz w:val="15"/>
          <w:szCs w:val="15"/>
          <w:color w:val="231F20"/>
        </w:rPr>
        <w:t>In determining to recommend that shareholders approve the say-on-pay proposal, the board of directors considered, among other factors discussed under “Compensation Discussion and Analysis” above, that the Company had achieved its corporate goals in 2019 and each of the other two years since the most recent say-on-pay vote (2017 and 2018). Information regarding NEO compensation for each of these years is provided in the Summary Compensation Table included in this proxy statement.</w:t>
      </w:r>
    </w:p>
    <w:p>
      <w:pPr>
        <w:spacing w:after="0" w:line="142" w:lineRule="exact"/>
        <w:rPr>
          <w:sz w:val="20"/>
          <w:szCs w:val="20"/>
          <w:color w:val="auto"/>
        </w:rPr>
      </w:pPr>
    </w:p>
    <w:p>
      <w:pPr>
        <w:jc w:val="both"/>
        <w:ind w:left="500" w:right="379"/>
        <w:spacing w:after="0" w:line="235" w:lineRule="auto"/>
        <w:rPr>
          <w:sz w:val="20"/>
          <w:szCs w:val="20"/>
          <w:color w:val="auto"/>
        </w:rPr>
      </w:pPr>
      <w:r>
        <w:rPr>
          <w:rFonts w:ascii="Arial" w:cs="Arial" w:eastAsia="Arial" w:hAnsi="Arial"/>
          <w:sz w:val="15"/>
          <w:szCs w:val="15"/>
          <w:color w:val="231F20"/>
        </w:rPr>
        <w:t>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108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281305</wp:posOffset>
            </wp:positionV>
            <wp:extent cx="713232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405" w:right="1440" w:bottom="1440" w:gutter="0" w:footer="0" w:header="0"/>
          <w:type w:val="continuous"/>
        </w:sectPr>
      </w:pPr>
    </w:p>
    <w:bookmarkStart w:id="120" w:name="page121"/>
    <w:bookmarkEnd w:id="120"/>
    <w:p>
      <w:pPr>
        <w:ind w:left="1300"/>
        <w:spacing w:after="0"/>
        <w:rPr>
          <w:sz w:val="20"/>
          <w:szCs w:val="20"/>
          <w:color w:val="auto"/>
        </w:rPr>
      </w:pPr>
      <w:r>
        <w:rPr>
          <w:rFonts w:ascii="Arial" w:cs="Arial" w:eastAsia="Arial" w:hAnsi="Arial"/>
          <w:sz w:val="54"/>
          <w:szCs w:val="54"/>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344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34440"/>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right="1420"/>
        <w:spacing w:after="0" w:line="278" w:lineRule="auto"/>
        <w:rPr>
          <w:sz w:val="20"/>
          <w:szCs w:val="20"/>
          <w:color w:val="auto"/>
        </w:rPr>
      </w:pPr>
      <w:r>
        <w:rPr>
          <w:rFonts w:ascii="Arial" w:cs="Arial" w:eastAsia="Arial" w:hAnsi="Arial"/>
          <w:sz w:val="29"/>
          <w:szCs w:val="29"/>
          <w:b w:val="1"/>
          <w:bCs w:val="1"/>
          <w:color w:val="C24D5C"/>
        </w:rPr>
        <w:t>WHEN ARE SHAREHOLDER PROPOSALS DUE FOR THE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-35560</wp:posOffset>
            </wp:positionV>
            <wp:extent cx="54864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70" w:lineRule="exact"/>
        <w:rPr>
          <w:sz w:val="20"/>
          <w:szCs w:val="20"/>
          <w:color w:val="auto"/>
        </w:rPr>
      </w:pPr>
    </w:p>
    <w:p>
      <w:pPr>
        <w:ind w:left="1300" w:right="1340"/>
        <w:spacing w:after="0" w:line="233" w:lineRule="auto"/>
        <w:rPr>
          <w:sz w:val="20"/>
          <w:szCs w:val="20"/>
          <w:color w:val="auto"/>
        </w:rPr>
      </w:pPr>
      <w:r>
        <w:rPr>
          <w:rFonts w:ascii="Arial" w:cs="Arial" w:eastAsia="Arial" w:hAnsi="Arial"/>
          <w:sz w:val="15"/>
          <w:szCs w:val="15"/>
          <w:color w:val="231F20"/>
        </w:rPr>
        <w:t>A shareholder wishing to present a proposal at the 2021 Annual Meeting of Shareholders must submit the proposal in writing and it must be received by the Company at its principal executive offices at 777 Old Saw Mill River Road, Tarrytown, New York 10591-6707 by December 25, 2020, and must satisfy the other conditions established by the SEC, in order for such proposal to be considered for inclusion in the Company’s proxy statement and form of proxy relating to that meeting.</w:t>
      </w:r>
    </w:p>
    <w:p>
      <w:pPr>
        <w:spacing w:after="0" w:line="140" w:lineRule="exact"/>
        <w:rPr>
          <w:sz w:val="20"/>
          <w:szCs w:val="20"/>
          <w:color w:val="auto"/>
        </w:rPr>
      </w:pPr>
    </w:p>
    <w:p>
      <w:pPr>
        <w:ind w:left="1300" w:right="1300"/>
        <w:spacing w:after="0" w:line="228" w:lineRule="auto"/>
        <w:rPr>
          <w:sz w:val="20"/>
          <w:szCs w:val="20"/>
          <w:color w:val="auto"/>
        </w:rPr>
      </w:pPr>
      <w:r>
        <w:rPr>
          <w:rFonts w:ascii="Arial" w:cs="Arial" w:eastAsia="Arial" w:hAnsi="Arial"/>
          <w:sz w:val="15"/>
          <w:szCs w:val="15"/>
          <w:color w:val="231F20"/>
        </w:rPr>
        <w:t>Under our Amended and Restated By-Laws, proposals of shareholders intended to be submitted for a formal vote (other than proposals to be included in our proxy statement) at the 2021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2021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Amended and Restated By-Laws. Assuming our 2021 Annual Meeting is held on June 11, 2021 in accordance with the Company’s past practice, and at least 70 days’ notice or prior public disclosure of the date of the 2021 Annual Meeting is given or made to shareholders, notice of such proposals would need to be given no earlier than March 13, 2021 and no later than April 12, 2021. Any proposal received outside of such dates will not be considered “timely” under the federal proxy rules for purposes of determining whether we may use discretionary authority to vote on such proposal.</w:t>
      </w:r>
    </w:p>
    <w:p>
      <w:pPr>
        <w:spacing w:after="0" w:line="103" w:lineRule="exact"/>
        <w:rPr>
          <w:sz w:val="20"/>
          <w:szCs w:val="20"/>
          <w:color w:val="auto"/>
        </w:rPr>
      </w:pPr>
    </w:p>
    <w:p>
      <w:pPr>
        <w:ind w:left="1300" w:right="1720"/>
        <w:spacing w:after="0" w:line="278" w:lineRule="auto"/>
        <w:rPr>
          <w:sz w:val="20"/>
          <w:szCs w:val="20"/>
          <w:color w:val="auto"/>
        </w:rPr>
      </w:pPr>
      <w:r>
        <w:rPr>
          <w:rFonts w:ascii="Arial" w:cs="Arial" w:eastAsia="Arial" w:hAnsi="Arial"/>
          <w:sz w:val="29"/>
          <w:szCs w:val="29"/>
          <w:b w:val="1"/>
          <w:bCs w:val="1"/>
          <w:color w:val="C24D5C"/>
        </w:rPr>
        <w:t>WHAT HAPPENS IF MULTIPLE SHAREHOLDERS SHARE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-35560</wp:posOffset>
            </wp:positionV>
            <wp:extent cx="54864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70" w:lineRule="exact"/>
        <w:rPr>
          <w:sz w:val="20"/>
          <w:szCs w:val="20"/>
          <w:color w:val="auto"/>
        </w:rPr>
      </w:pPr>
    </w:p>
    <w:p>
      <w:pPr>
        <w:ind w:left="1300" w:right="1300"/>
        <w:spacing w:after="0" w:line="227" w:lineRule="auto"/>
        <w:rPr>
          <w:sz w:val="20"/>
          <w:szCs w:val="20"/>
          <w:color w:val="auto"/>
        </w:rPr>
      </w:pPr>
      <w:r>
        <w:rPr>
          <w:rFonts w:ascii="Arial" w:cs="Arial" w:eastAsia="Arial" w:hAnsi="Arial"/>
          <w:sz w:val="15"/>
          <w:szCs w:val="15"/>
          <w:color w:val="231F20"/>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2020 Annual Meeting, the 2019 Annual Report, or the Notice of Internet Availability of Proxy Materials, you may find these materials at our internet website (</w:t>
      </w:r>
      <w:r>
        <w:rPr>
          <w:rFonts w:ascii="Arial" w:cs="Arial" w:eastAsia="Arial" w:hAnsi="Arial"/>
          <w:sz w:val="15"/>
          <w:szCs w:val="15"/>
          <w:b w:val="1"/>
          <w:bCs w:val="1"/>
          <w:color w:val="231F20"/>
        </w:rPr>
        <w:t>www.regeneron.com</w:t>
      </w:r>
      <w:r>
        <w:rPr>
          <w:rFonts w:ascii="Arial" w:cs="Arial" w:eastAsia="Arial" w:hAnsi="Arial"/>
          <w:sz w:val="15"/>
          <w:szCs w:val="15"/>
          <w:color w:val="231F20"/>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93345</wp:posOffset>
            </wp:positionV>
            <wp:extent cx="771525" cy="1028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1525" cy="10287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ind w:left="130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280" w:type="dxa"/>
            <w:vAlign w:val="bottom"/>
          </w:tcPr>
          <w:p>
            <w:pPr>
              <w:jc w:val="right"/>
              <w:ind w:right="90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109</w:t>
            </w:r>
          </w:p>
        </w:tc>
      </w:tr>
      <w:tr>
        <w:trPr>
          <w:trHeight w:val="262"/>
        </w:trPr>
        <w:tc>
          <w:tcPr>
            <w:tcW w:w="7960" w:type="dxa"/>
            <w:vAlign w:val="bottom"/>
            <w:tcBorders>
              <w:bottom w:val="single" w:sz="8" w:color="C0C0C0"/>
            </w:tcBorders>
          </w:tcPr>
          <w:p>
            <w:pPr>
              <w:spacing w:after="0"/>
              <w:rPr>
                <w:sz w:val="22"/>
                <w:szCs w:val="22"/>
                <w:color w:val="auto"/>
              </w:rPr>
            </w:pPr>
          </w:p>
        </w:tc>
        <w:tc>
          <w:tcPr>
            <w:tcW w:w="32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311" w:right="339" w:bottom="1440" w:gutter="0" w:footer="0" w:header="0"/>
        </w:sectPr>
      </w:pPr>
    </w:p>
    <w:bookmarkStart w:id="121" w:name="page122"/>
    <w:bookmarkEnd w:id="121"/>
    <w:p>
      <w:pPr>
        <w:ind w:left="500"/>
        <w:spacing w:after="0"/>
        <w:rPr>
          <w:sz w:val="20"/>
          <w:szCs w:val="20"/>
          <w:color w:val="auto"/>
        </w:rPr>
      </w:pPr>
      <w:r>
        <w:rPr>
          <w:rFonts w:ascii="Arial" w:cs="Arial" w:eastAsia="Arial" w:hAnsi="Arial"/>
          <w:sz w:val="16"/>
          <w:szCs w:val="16"/>
          <w:b w:val="1"/>
          <w:bCs w:val="1"/>
          <w:color w:val="2952A4"/>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001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t>OTHER MATTERS</w:t>
      </w:r>
    </w:p>
    <w:p>
      <w:pPr>
        <w:spacing w:after="0" w:line="200" w:lineRule="exact"/>
        <w:rPr>
          <w:sz w:val="20"/>
          <w:szCs w:val="20"/>
          <w:color w:val="auto"/>
        </w:rPr>
      </w:pPr>
    </w:p>
    <w:p>
      <w:pPr>
        <w:spacing w:after="0" w:line="215" w:lineRule="exact"/>
        <w:rPr>
          <w:sz w:val="20"/>
          <w:szCs w:val="20"/>
          <w:color w:val="auto"/>
        </w:rPr>
      </w:pPr>
    </w:p>
    <w:p>
      <w:pPr>
        <w:ind w:left="500" w:right="499"/>
        <w:spacing w:after="0" w:line="278" w:lineRule="auto"/>
        <w:rPr>
          <w:sz w:val="20"/>
          <w:szCs w:val="20"/>
          <w:color w:val="auto"/>
        </w:rPr>
      </w:pPr>
      <w:r>
        <w:rPr>
          <w:rFonts w:ascii="Arial" w:cs="Arial" w:eastAsia="Arial" w:hAnsi="Arial"/>
          <w:sz w:val="29"/>
          <w:szCs w:val="29"/>
          <w:b w:val="1"/>
          <w:bCs w:val="1"/>
          <w:color w:val="C24D5C"/>
        </w:rPr>
        <w:t>ARE THERE ANY OTHER MATTERS TO BE ADDRESSED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-35560</wp:posOffset>
            </wp:positionV>
            <wp:extent cx="526351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70" w:lineRule="exact"/>
        <w:rPr>
          <w:sz w:val="20"/>
          <w:szCs w:val="20"/>
          <w:color w:val="auto"/>
        </w:rPr>
      </w:pPr>
    </w:p>
    <w:p>
      <w:pPr>
        <w:ind w:left="500" w:right="399"/>
        <w:spacing w:after="0" w:line="231" w:lineRule="auto"/>
        <w:rPr>
          <w:sz w:val="20"/>
          <w:szCs w:val="20"/>
          <w:color w:val="auto"/>
        </w:rPr>
      </w:pPr>
      <w:r>
        <w:rPr>
          <w:rFonts w:ascii="Arial" w:cs="Arial" w:eastAsia="Arial" w:hAnsi="Arial"/>
          <w:sz w:val="15"/>
          <w:szCs w:val="15"/>
          <w:color w:val="231F20"/>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254" w:lineRule="exact"/>
        <w:rPr>
          <w:sz w:val="20"/>
          <w:szCs w:val="20"/>
          <w:color w:val="auto"/>
        </w:rPr>
      </w:pPr>
    </w:p>
    <w:p>
      <w:pPr>
        <w:ind w:left="500" w:right="1539"/>
        <w:spacing w:after="0" w:line="278" w:lineRule="auto"/>
        <w:rPr>
          <w:sz w:val="20"/>
          <w:szCs w:val="20"/>
          <w:color w:val="auto"/>
        </w:rPr>
      </w:pPr>
      <w:r>
        <w:rPr>
          <w:rFonts w:ascii="Arial" w:cs="Arial" w:eastAsia="Arial" w:hAnsi="Arial"/>
          <w:sz w:val="29"/>
          <w:szCs w:val="29"/>
          <w:b w:val="1"/>
          <w:bCs w:val="1"/>
          <w:color w:val="C24D5C"/>
        </w:rPr>
        <w:t>HOW CAN YOU RECEIVE A PRINTED COPY OF THE COMPANY’S 2019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-35560</wp:posOffset>
            </wp:positionV>
            <wp:extent cx="526351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252" w:lineRule="exact"/>
        <w:rPr>
          <w:sz w:val="20"/>
          <w:szCs w:val="20"/>
          <w:color w:val="auto"/>
        </w:rPr>
      </w:pPr>
    </w:p>
    <w:p>
      <w:pPr>
        <w:ind w:left="500" w:right="399"/>
        <w:spacing w:after="0"/>
        <w:rPr>
          <w:sz w:val="20"/>
          <w:szCs w:val="20"/>
          <w:color w:val="auto"/>
        </w:rPr>
      </w:pPr>
      <w:r>
        <w:rPr>
          <w:rFonts w:ascii="Arial" w:cs="Arial" w:eastAsia="Arial" w:hAnsi="Arial"/>
          <w:sz w:val="15"/>
          <w:szCs w:val="15"/>
          <w:b w:val="1"/>
          <w:bCs w:val="1"/>
          <w:color w:val="231F20"/>
        </w:rPr>
        <w:t>Interested shareholders may obtain without charge a copy of our 2019 Annual Report (without exhibits), which includes our audited financial statements for the fiscal year ended December 31, 2019,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200" w:lineRule="exact"/>
        <w:rPr>
          <w:sz w:val="20"/>
          <w:szCs w:val="20"/>
          <w:color w:val="auto"/>
        </w:rPr>
      </w:pPr>
    </w:p>
    <w:p>
      <w:pPr>
        <w:spacing w:after="0" w:line="212" w:lineRule="exact"/>
        <w:rPr>
          <w:sz w:val="20"/>
          <w:szCs w:val="20"/>
          <w:color w:val="auto"/>
        </w:rPr>
      </w:pPr>
    </w:p>
    <w:p>
      <w:pPr>
        <w:ind w:left="500" w:right="1559"/>
        <w:spacing w:after="0" w:line="278" w:lineRule="auto"/>
        <w:rPr>
          <w:sz w:val="20"/>
          <w:szCs w:val="20"/>
          <w:color w:val="auto"/>
        </w:rPr>
      </w:pPr>
      <w:r>
        <w:rPr>
          <w:rFonts w:ascii="Arial" w:cs="Arial" w:eastAsia="Arial" w:hAnsi="Arial"/>
          <w:sz w:val="29"/>
          <w:szCs w:val="29"/>
          <w:b w:val="1"/>
          <w:bCs w:val="1"/>
          <w:color w:val="C24D5C"/>
        </w:rPr>
        <w:t>HOW DO YOU ELECT TO RECEIVE FUTURE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-35560</wp:posOffset>
            </wp:positionV>
            <wp:extent cx="526351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70" w:lineRule="exact"/>
        <w:rPr>
          <w:sz w:val="20"/>
          <w:szCs w:val="20"/>
          <w:color w:val="auto"/>
        </w:rPr>
      </w:pPr>
    </w:p>
    <w:p>
      <w:pPr>
        <w:ind w:left="500" w:right="379"/>
        <w:spacing w:after="0"/>
        <w:rPr>
          <w:sz w:val="20"/>
          <w:szCs w:val="20"/>
          <w:color w:val="auto"/>
        </w:rPr>
      </w:pPr>
      <w:r>
        <w:rPr>
          <w:rFonts w:ascii="Arial" w:cs="Arial" w:eastAsia="Arial" w:hAnsi="Arial"/>
          <w:sz w:val="15"/>
          <w:szCs w:val="15"/>
          <w:color w:val="231F20"/>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261" w:lineRule="exact"/>
        <w:rPr>
          <w:sz w:val="20"/>
          <w:szCs w:val="20"/>
          <w:color w:val="auto"/>
        </w:rPr>
      </w:pPr>
    </w:p>
    <w:p>
      <w:pPr>
        <w:ind w:left="500" w:right="439"/>
        <w:spacing w:after="0" w:line="230" w:lineRule="auto"/>
        <w:rPr>
          <w:sz w:val="20"/>
          <w:szCs w:val="20"/>
          <w:color w:val="auto"/>
        </w:rPr>
      </w:pPr>
      <w:r>
        <w:rPr>
          <w:rFonts w:ascii="Arial" w:cs="Arial" w:eastAsia="Arial" w:hAnsi="Arial"/>
          <w:sz w:val="15"/>
          <w:szCs w:val="15"/>
          <w:color w:val="231F20"/>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5"/>
          <w:szCs w:val="15"/>
          <w:b w:val="1"/>
          <w:bCs w:val="1"/>
          <w:color w:val="231F20"/>
        </w:rPr>
        <w:t>www.proxyvote.com</w:t>
      </w:r>
      <w:r>
        <w:rPr>
          <w:rFonts w:ascii="Arial" w:cs="Arial" w:eastAsia="Arial" w:hAnsi="Arial"/>
          <w:sz w:val="15"/>
          <w:szCs w:val="15"/>
          <w:color w:val="231F20"/>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00A5EC"/>
        </w:rPr>
        <w:t xml:space="preserve">110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281305</wp:posOffset>
            </wp:positionV>
            <wp:extent cx="713232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59"/>
          </w:cols>
          <w:pgMar w:left="1300" w:top="1053" w:right="1440" w:bottom="1440" w:gutter="0" w:footer="0" w:header="0"/>
        </w:sectPr>
      </w:pPr>
    </w:p>
    <w:bookmarkStart w:id="122" w:name="page123"/>
    <w:bookmarkEnd w:id="122"/>
    <w:p>
      <w:pPr>
        <w:ind w:left="1580"/>
        <w:spacing w:after="0"/>
        <w:rPr>
          <w:sz w:val="20"/>
          <w:szCs w:val="20"/>
          <w:color w:val="auto"/>
        </w:rPr>
      </w:pPr>
      <w:r>
        <w:rPr>
          <w:rFonts w:ascii="Arial" w:cs="Arial" w:eastAsia="Arial" w:hAnsi="Arial"/>
          <w:sz w:val="64"/>
          <w:szCs w:val="64"/>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918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895"/>
                    </a:xfrm>
                    <a:prstGeom prst="rect">
                      <a:avLst/>
                    </a:prstGeom>
                    <a:noFill/>
                  </pic:spPr>
                </pic:pic>
              </a:graphicData>
            </a:graphic>
          </wp:anchor>
        </w:drawing>
        <w:t>APPENDIX A</w:t>
      </w:r>
    </w:p>
    <w:p>
      <w:pPr>
        <w:sectPr>
          <w:pgSz w:w="11900" w:h="16838" w:orient="portrait"/>
          <w:cols w:equalWidth="0" w:num="1">
            <w:col w:w="11240"/>
          </w:cols>
          <w:pgMar w:left="320" w:top="12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Note Regarding Forward-Looking Statements And Non-GAAP Financial Measures</w:t>
      </w:r>
    </w:p>
    <w:p>
      <w:pPr>
        <w:spacing w:after="0" w:line="217" w:lineRule="exact"/>
        <w:rPr>
          <w:sz w:val="20"/>
          <w:szCs w:val="20"/>
          <w:color w:val="auto"/>
        </w:rPr>
      </w:pPr>
    </w:p>
    <w:p>
      <w:pPr>
        <w:ind w:left="1580" w:right="1600"/>
        <w:spacing w:after="0" w:line="226" w:lineRule="auto"/>
        <w:rPr>
          <w:sz w:val="20"/>
          <w:szCs w:val="20"/>
          <w:color w:val="auto"/>
        </w:rPr>
      </w:pPr>
      <w:r>
        <w:rPr>
          <w:rFonts w:ascii="Arial" w:cs="Arial" w:eastAsia="Arial" w:hAnsi="Arial"/>
          <w:sz w:val="15"/>
          <w:szCs w:val="15"/>
          <w:color w:val="231F20"/>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Regeneron’s product candidates and research and clinical programs now underway or</w:t>
      </w:r>
    </w:p>
    <w:p>
      <w:pPr>
        <w:ind w:left="1580"/>
        <w:spacing w:after="0" w:line="180" w:lineRule="auto"/>
        <w:rPr>
          <w:sz w:val="20"/>
          <w:szCs w:val="20"/>
          <w:color w:val="auto"/>
        </w:rPr>
      </w:pPr>
      <w:r>
        <w:rPr>
          <w:rFonts w:ascii="Arial" w:cs="Arial" w:eastAsia="Arial" w:hAnsi="Arial"/>
          <w:sz w:val="15"/>
          <w:szCs w:val="15"/>
          <w:color w:val="231F20"/>
        </w:rPr>
        <w:t>planned, including without limitation EYLEA</w:t>
      </w:r>
      <w:r>
        <w:rPr>
          <w:rFonts w:ascii="Arial" w:cs="Arial" w:eastAsia="Arial" w:hAnsi="Arial"/>
          <w:sz w:val="24"/>
          <w:szCs w:val="24"/>
          <w:color w:val="231F20"/>
          <w:vertAlign w:val="superscript"/>
        </w:rPr>
        <w:t>®</w:t>
      </w:r>
      <w:r>
        <w:rPr>
          <w:rFonts w:ascii="Arial" w:cs="Arial" w:eastAsia="Arial" w:hAnsi="Arial"/>
          <w:sz w:val="15"/>
          <w:szCs w:val="15"/>
          <w:color w:val="231F20"/>
        </w:rPr>
        <w:t xml:space="preserve"> (aflibercept) Injection, Dupixent</w:t>
      </w:r>
      <w:r>
        <w:rPr>
          <w:rFonts w:ascii="Arial" w:cs="Arial" w:eastAsia="Arial" w:hAnsi="Arial"/>
          <w:sz w:val="24"/>
          <w:szCs w:val="24"/>
          <w:color w:val="231F20"/>
          <w:vertAlign w:val="superscript"/>
        </w:rPr>
        <w:t>®</w:t>
      </w:r>
      <w:r>
        <w:rPr>
          <w:rFonts w:ascii="Arial" w:cs="Arial" w:eastAsia="Arial" w:hAnsi="Arial"/>
          <w:sz w:val="15"/>
          <w:szCs w:val="15"/>
          <w:color w:val="231F20"/>
        </w:rPr>
        <w:t xml:space="preserve"> (dupilumab), Libtayo</w:t>
      </w:r>
      <w:r>
        <w:rPr>
          <w:rFonts w:ascii="Arial" w:cs="Arial" w:eastAsia="Arial" w:hAnsi="Arial"/>
          <w:sz w:val="24"/>
          <w:szCs w:val="24"/>
          <w:color w:val="231F20"/>
          <w:vertAlign w:val="superscript"/>
        </w:rPr>
        <w:t>®</w:t>
      </w:r>
      <w:r>
        <w:rPr>
          <w:rFonts w:ascii="Arial" w:cs="Arial" w:eastAsia="Arial" w:hAnsi="Arial"/>
          <w:sz w:val="15"/>
          <w:szCs w:val="15"/>
          <w:color w:val="231F20"/>
        </w:rPr>
        <w:t xml:space="preserve"> (cemiplimab),</w:t>
      </w:r>
    </w:p>
    <w:p>
      <w:pPr>
        <w:ind w:left="1580" w:right="1600"/>
        <w:spacing w:after="0" w:line="229" w:lineRule="auto"/>
        <w:rPr>
          <w:sz w:val="20"/>
          <w:szCs w:val="20"/>
          <w:color w:val="auto"/>
        </w:rPr>
      </w:pPr>
      <w:r>
        <w:rPr>
          <w:rFonts w:ascii="Arial" w:cs="Arial" w:eastAsia="Arial" w:hAnsi="Arial"/>
          <w:sz w:val="15"/>
          <w:szCs w:val="15"/>
          <w:color w:val="231F20"/>
        </w:rPr>
        <w:t>Praluent</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(alirocumab), Kevzara</w:t>
      </w:r>
      <w:r>
        <w:rPr>
          <w:rFonts w:ascii="Arial" w:cs="Arial" w:eastAsia="Arial" w:hAnsi="Arial"/>
          <w:sz w:val="25"/>
          <w:szCs w:val="25"/>
          <w:color w:val="231F20"/>
          <w:vertAlign w:val="superscript"/>
        </w:rPr>
        <w:t>®</w:t>
      </w:r>
      <w:r>
        <w:rPr>
          <w:rFonts w:ascii="Arial" w:cs="Arial" w:eastAsia="Arial" w:hAnsi="Arial"/>
          <w:sz w:val="15"/>
          <w:szCs w:val="15"/>
          <w:color w:val="231F20"/>
        </w:rPr>
        <w:t xml:space="preserve"> (sarilumab), fasinumab, evinacumab, REGN-EB3, garetosmab, pozelimab, Regeneron’s immuno-oncology programs (including its costimulatory bispecific portfolio), Regeneron’s COVID-19 antibody program and other earlier-stage programs, and the use of human genetics in Regeneron’s research programs; the likelihood and timing of achieving any of Regeneron’s anticipated development and production milestones;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Regeneron’s product candidates and new indications for Regeneron’s Products; the extent to which the results from the research and development programs conducted by Regeneron or its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others and pending or future litigation relating thereto (including without limitation the patent litigation and other related proceedings relating to Dupixent and Praluent),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2019,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any forward-looking statement, whether as a result of new information, future events, or otherwise.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111</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23" w:name="page124"/>
    <w:bookmarkEnd w:id="123"/>
    <w:p>
      <w:pPr>
        <w:ind w:left="1580"/>
        <w:spacing w:after="0"/>
        <w:rPr>
          <w:sz w:val="20"/>
          <w:szCs w:val="20"/>
          <w:color w:val="auto"/>
        </w:rPr>
      </w:pPr>
      <w:r>
        <w:rPr>
          <w:rFonts w:ascii="Arial" w:cs="Arial" w:eastAsia="Arial" w:hAnsi="Arial"/>
          <w:sz w:val="16"/>
          <w:szCs w:val="16"/>
          <w:b w:val="1"/>
          <w:bCs w:val="1"/>
          <w:color w:val="2952A4"/>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001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A</w:t>
      </w:r>
    </w:p>
    <w:p>
      <w:pPr>
        <w:sectPr>
          <w:pgSz w:w="11900" w:h="16838" w:orient="portrait"/>
          <w:cols w:equalWidth="0" w:num="1">
            <w:col w:w="11240"/>
          </w:cols>
          <w:pgMar w:left="320" w:top="1053" w:right="339" w:bottom="1440" w:gutter="0" w:footer="0" w:header="0"/>
        </w:sectPr>
      </w:pPr>
    </w:p>
    <w:p>
      <w:pPr>
        <w:spacing w:after="0" w:line="222" w:lineRule="exact"/>
        <w:rPr>
          <w:sz w:val="20"/>
          <w:szCs w:val="20"/>
          <w:color w:val="auto"/>
        </w:rPr>
      </w:pPr>
    </w:p>
    <w:p>
      <w:pPr>
        <w:ind w:left="1580" w:right="1680"/>
        <w:spacing w:after="0" w:line="227" w:lineRule="auto"/>
        <w:rPr>
          <w:sz w:val="20"/>
          <w:szCs w:val="20"/>
          <w:color w:val="auto"/>
        </w:rPr>
      </w:pPr>
      <w:r>
        <w:rPr>
          <w:rFonts w:ascii="Arial" w:cs="Arial" w:eastAsia="Arial" w:hAnsi="Arial"/>
          <w:sz w:val="15"/>
          <w:szCs w:val="15"/>
          <w:color w:val="231F20"/>
        </w:rPr>
        <w:t>This proxy statement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123" w:lineRule="exact"/>
        <w:rPr>
          <w:sz w:val="20"/>
          <w:szCs w:val="20"/>
          <w:color w:val="auto"/>
        </w:rPr>
      </w:pPr>
    </w:p>
    <w:p>
      <w:pPr>
        <w:ind w:left="1580" w:right="1700"/>
        <w:spacing w:after="0" w:line="271" w:lineRule="auto"/>
        <w:rPr>
          <w:sz w:val="20"/>
          <w:szCs w:val="20"/>
          <w:color w:val="auto"/>
        </w:rPr>
      </w:pPr>
      <w:r>
        <w:rPr>
          <w:rFonts w:ascii="Arial" w:cs="Arial" w:eastAsia="Arial" w:hAnsi="Arial"/>
          <w:sz w:val="18"/>
          <w:szCs w:val="18"/>
          <w:b w:val="1"/>
          <w:bCs w:val="1"/>
          <w:color w:val="2952A4"/>
        </w:rPr>
        <w:t>Reconciliation of GAAP Net Income to Non-GAAP Net Income (Unaudited) (In millions,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5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540" w:type="dxa"/>
            <w:vAlign w:val="bottom"/>
            <w:tcBorders>
              <w:bottom w:val="single" w:sz="8" w:color="2952A4"/>
            </w:tcBorders>
            <w:gridSpan w:val="2"/>
          </w:tcPr>
          <w:p>
            <w:pPr>
              <w:jc w:val="right"/>
              <w:ind w:right="604"/>
              <w:spacing w:after="0"/>
              <w:rPr>
                <w:sz w:val="20"/>
                <w:szCs w:val="20"/>
                <w:color w:val="auto"/>
              </w:rPr>
            </w:pPr>
            <w:r>
              <w:rPr>
                <w:rFonts w:ascii="Arial" w:cs="Arial" w:eastAsia="Arial" w:hAnsi="Arial"/>
                <w:sz w:val="12"/>
                <w:szCs w:val="12"/>
                <w:b w:val="1"/>
                <w:bCs w:val="1"/>
                <w:color w:val="2952A4"/>
              </w:rPr>
              <w:t>Year Ended December 31,</w:t>
            </w:r>
          </w:p>
        </w:tc>
        <w:tc>
          <w:tcPr>
            <w:tcW w:w="146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3260" w:type="dxa"/>
            <w:vAlign w:val="bottom"/>
            <w:tcBorders>
              <w:bottom w:val="single" w:sz="8" w:color="2952A4"/>
            </w:tcBorders>
          </w:tcPr>
          <w:p>
            <w:pPr>
              <w:spacing w:after="0"/>
              <w:rPr>
                <w:sz w:val="12"/>
                <w:szCs w:val="12"/>
                <w:color w:val="auto"/>
              </w:rPr>
            </w:pPr>
          </w:p>
        </w:tc>
        <w:tc>
          <w:tcPr>
            <w:tcW w:w="2400" w:type="dxa"/>
            <w:vAlign w:val="bottom"/>
            <w:tcBorders>
              <w:bottom w:val="single" w:sz="8" w:color="2952A4"/>
            </w:tcBorders>
          </w:tcPr>
          <w:p>
            <w:pPr>
              <w:spacing w:after="0"/>
              <w:rPr>
                <w:sz w:val="12"/>
                <w:szCs w:val="12"/>
                <w:color w:val="auto"/>
              </w:rPr>
            </w:pPr>
          </w:p>
        </w:tc>
        <w:tc>
          <w:tcPr>
            <w:tcW w:w="1360" w:type="dxa"/>
            <w:vAlign w:val="bottom"/>
            <w:tcBorders>
              <w:bottom w:val="single" w:sz="8" w:color="2952A4"/>
            </w:tcBorders>
          </w:tcPr>
          <w:p>
            <w:pPr>
              <w:jc w:val="right"/>
              <w:ind w:right="665"/>
              <w:spacing w:after="0"/>
              <w:rPr>
                <w:sz w:val="20"/>
                <w:szCs w:val="20"/>
                <w:color w:val="auto"/>
              </w:rPr>
            </w:pPr>
            <w:r>
              <w:rPr>
                <w:rFonts w:ascii="Arial" w:cs="Arial" w:eastAsia="Arial" w:hAnsi="Arial"/>
                <w:sz w:val="12"/>
                <w:szCs w:val="12"/>
                <w:b w:val="1"/>
                <w:bCs w:val="1"/>
                <w:color w:val="2952A4"/>
              </w:rPr>
              <w:t>2019</w:t>
            </w:r>
          </w:p>
        </w:tc>
        <w:tc>
          <w:tcPr>
            <w:tcW w:w="1180" w:type="dxa"/>
            <w:vAlign w:val="bottom"/>
            <w:tcBorders>
              <w:bottom w:val="single" w:sz="8" w:color="2952A4"/>
            </w:tcBorders>
          </w:tcPr>
          <w:p>
            <w:pPr>
              <w:jc w:val="right"/>
              <w:ind w:right="524"/>
              <w:spacing w:after="0"/>
              <w:rPr>
                <w:sz w:val="20"/>
                <w:szCs w:val="20"/>
                <w:color w:val="auto"/>
              </w:rPr>
            </w:pPr>
            <w:r>
              <w:rPr>
                <w:rFonts w:ascii="Arial" w:cs="Arial" w:eastAsia="Arial" w:hAnsi="Arial"/>
                <w:sz w:val="12"/>
                <w:szCs w:val="12"/>
                <w:b w:val="1"/>
                <w:bCs w:val="1"/>
                <w:color w:val="2952A4"/>
              </w:rPr>
              <w:t>2018</w:t>
            </w:r>
          </w:p>
        </w:tc>
        <w:tc>
          <w:tcPr>
            <w:tcW w:w="1460" w:type="dxa"/>
            <w:vAlign w:val="bottom"/>
          </w:tcPr>
          <w:p>
            <w:pPr>
              <w:spacing w:after="0"/>
              <w:rPr>
                <w:sz w:val="12"/>
                <w:szCs w:val="12"/>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5"/>
                <w:szCs w:val="15"/>
                <w:color w:val="231F20"/>
              </w:rPr>
              <w:t>GAAP net income</w:t>
            </w:r>
          </w:p>
        </w:tc>
        <w:tc>
          <w:tcPr>
            <w:tcW w:w="2400" w:type="dxa"/>
            <w:vAlign w:val="bottom"/>
          </w:tcPr>
          <w:p>
            <w:pPr>
              <w:spacing w:after="0"/>
              <w:rPr>
                <w:sz w:val="18"/>
                <w:szCs w:val="18"/>
                <w:color w:val="auto"/>
              </w:rPr>
            </w:pP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$2,115.8</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$2,444.4</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ECEDED"/>
          </w:tcPr>
          <w:p>
            <w:pPr>
              <w:ind w:left="40"/>
              <w:spacing w:after="0"/>
              <w:rPr>
                <w:sz w:val="20"/>
                <w:szCs w:val="20"/>
                <w:color w:val="auto"/>
              </w:rPr>
            </w:pPr>
            <w:r>
              <w:rPr>
                <w:rFonts w:ascii="Arial" w:cs="Arial" w:eastAsia="Arial" w:hAnsi="Arial"/>
                <w:sz w:val="15"/>
                <w:szCs w:val="15"/>
                <w:i w:val="1"/>
                <w:iCs w:val="1"/>
                <w:color w:val="231F20"/>
              </w:rPr>
              <w:t>Adjustments:</w:t>
            </w:r>
          </w:p>
        </w:tc>
        <w:tc>
          <w:tcPr>
            <w:tcW w:w="2400" w:type="dxa"/>
            <w:vAlign w:val="bottom"/>
            <w:shd w:val="clear" w:color="auto" w:fill="ECEDED"/>
          </w:tcPr>
          <w:p>
            <w:pPr>
              <w:spacing w:after="0"/>
              <w:rPr>
                <w:sz w:val="18"/>
                <w:szCs w:val="18"/>
                <w:color w:val="auto"/>
              </w:rPr>
            </w:pPr>
          </w:p>
        </w:tc>
        <w:tc>
          <w:tcPr>
            <w:tcW w:w="1360" w:type="dxa"/>
            <w:vAlign w:val="bottom"/>
            <w:shd w:val="clear" w:color="auto" w:fill="ECEDED"/>
          </w:tcPr>
          <w:p>
            <w:pPr>
              <w:spacing w:after="0"/>
              <w:rPr>
                <w:sz w:val="18"/>
                <w:szCs w:val="18"/>
                <w:color w:val="auto"/>
              </w:rPr>
            </w:pPr>
          </w:p>
        </w:tc>
        <w:tc>
          <w:tcPr>
            <w:tcW w:w="1180" w:type="dxa"/>
            <w:vAlign w:val="bottom"/>
            <w:shd w:val="clear" w:color="auto" w:fill="ECEDED"/>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Arial" w:cs="Arial" w:eastAsia="Arial" w:hAnsi="Arial"/>
                <w:sz w:val="15"/>
                <w:szCs w:val="15"/>
                <w:color w:val="231F20"/>
              </w:rPr>
              <w:t>R&amp;D: Non-cash share-based compensation expense</w:t>
            </w: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250.4</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229.0</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60" w:type="dxa"/>
            <w:vAlign w:val="bottom"/>
            <w:gridSpan w:val="2"/>
            <w:shd w:val="clear" w:color="auto" w:fill="ECEDED"/>
          </w:tcPr>
          <w:p>
            <w:pPr>
              <w:ind w:left="180"/>
              <w:spacing w:after="0"/>
              <w:rPr>
                <w:sz w:val="20"/>
                <w:szCs w:val="20"/>
                <w:color w:val="auto"/>
              </w:rPr>
            </w:pPr>
            <w:r>
              <w:rPr>
                <w:rFonts w:ascii="Arial" w:cs="Arial" w:eastAsia="Arial" w:hAnsi="Arial"/>
                <w:sz w:val="15"/>
                <w:szCs w:val="15"/>
                <w:color w:val="231F20"/>
              </w:rPr>
              <w:t>R&amp;D: Up-front payments related to license and collaboration agreements</w:t>
            </w:r>
          </w:p>
        </w:tc>
        <w:tc>
          <w:tcPr>
            <w:tcW w:w="1360" w:type="dxa"/>
            <w:vAlign w:val="bottom"/>
            <w:shd w:val="clear" w:color="auto" w:fill="ECEDED"/>
          </w:tcPr>
          <w:p>
            <w:pPr>
              <w:jc w:val="right"/>
              <w:ind w:right="305"/>
              <w:spacing w:after="0"/>
              <w:rPr>
                <w:sz w:val="20"/>
                <w:szCs w:val="20"/>
                <w:color w:val="auto"/>
              </w:rPr>
            </w:pPr>
            <w:r>
              <w:rPr>
                <w:rFonts w:ascii="Arial" w:cs="Arial" w:eastAsia="Arial" w:hAnsi="Arial"/>
                <w:sz w:val="15"/>
                <w:szCs w:val="15"/>
                <w:color w:val="231F20"/>
              </w:rPr>
              <w:t>430.0</w:t>
            </w:r>
          </w:p>
        </w:tc>
        <w:tc>
          <w:tcPr>
            <w:tcW w:w="1180" w:type="dxa"/>
            <w:vAlign w:val="bottom"/>
            <w:shd w:val="clear" w:color="auto" w:fill="ECEDED"/>
          </w:tcPr>
          <w:p>
            <w:pPr>
              <w:jc w:val="right"/>
              <w:ind w:right="164"/>
              <w:spacing w:after="0"/>
              <w:rPr>
                <w:sz w:val="20"/>
                <w:szCs w:val="20"/>
                <w:color w:val="auto"/>
              </w:rPr>
            </w:pPr>
            <w:r>
              <w:rPr>
                <w:rFonts w:ascii="Arial" w:cs="Arial" w:eastAsia="Arial" w:hAnsi="Arial"/>
                <w:sz w:val="15"/>
                <w:szCs w:val="15"/>
                <w:color w:val="231F20"/>
              </w:rPr>
              <w:t>—</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Arial" w:cs="Arial" w:eastAsia="Arial" w:hAnsi="Arial"/>
                <w:sz w:val="15"/>
                <w:szCs w:val="15"/>
                <w:color w:val="231F20"/>
              </w:rPr>
              <w:t>SG&amp;A: Non-cash share-based compensation expense</w:t>
            </w: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167.7</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169.2</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ECEDED"/>
          </w:tcPr>
          <w:p>
            <w:pPr>
              <w:ind w:left="180"/>
              <w:spacing w:after="0"/>
              <w:rPr>
                <w:sz w:val="20"/>
                <w:szCs w:val="20"/>
                <w:color w:val="auto"/>
              </w:rPr>
            </w:pPr>
            <w:r>
              <w:rPr>
                <w:rFonts w:ascii="Arial" w:cs="Arial" w:eastAsia="Arial" w:hAnsi="Arial"/>
                <w:sz w:val="15"/>
                <w:szCs w:val="15"/>
                <w:color w:val="231F20"/>
              </w:rPr>
              <w:t>SG&amp;A: Restructuring-related expenses</w:t>
            </w:r>
          </w:p>
        </w:tc>
        <w:tc>
          <w:tcPr>
            <w:tcW w:w="2400" w:type="dxa"/>
            <w:vAlign w:val="bottom"/>
            <w:shd w:val="clear" w:color="auto" w:fill="ECEDED"/>
          </w:tcPr>
          <w:p>
            <w:pPr>
              <w:spacing w:after="0"/>
              <w:rPr>
                <w:sz w:val="18"/>
                <w:szCs w:val="18"/>
                <w:color w:val="auto"/>
              </w:rPr>
            </w:pPr>
          </w:p>
        </w:tc>
        <w:tc>
          <w:tcPr>
            <w:tcW w:w="1360" w:type="dxa"/>
            <w:vAlign w:val="bottom"/>
            <w:shd w:val="clear" w:color="auto" w:fill="ECEDED"/>
          </w:tcPr>
          <w:p>
            <w:pPr>
              <w:jc w:val="right"/>
              <w:ind w:right="305"/>
              <w:spacing w:after="0"/>
              <w:rPr>
                <w:sz w:val="20"/>
                <w:szCs w:val="20"/>
                <w:color w:val="auto"/>
              </w:rPr>
            </w:pPr>
            <w:r>
              <w:rPr>
                <w:rFonts w:ascii="Arial" w:cs="Arial" w:eastAsia="Arial" w:hAnsi="Arial"/>
                <w:sz w:val="15"/>
                <w:szCs w:val="15"/>
                <w:color w:val="231F20"/>
              </w:rPr>
              <w:t>35.2</w:t>
            </w:r>
          </w:p>
        </w:tc>
        <w:tc>
          <w:tcPr>
            <w:tcW w:w="1180" w:type="dxa"/>
            <w:vAlign w:val="bottom"/>
            <w:shd w:val="clear" w:color="auto" w:fill="ECEDED"/>
          </w:tcPr>
          <w:p>
            <w:pPr>
              <w:jc w:val="right"/>
              <w:ind w:right="164"/>
              <w:spacing w:after="0"/>
              <w:rPr>
                <w:sz w:val="20"/>
                <w:szCs w:val="20"/>
                <w:color w:val="auto"/>
              </w:rPr>
            </w:pPr>
            <w:r>
              <w:rPr>
                <w:rFonts w:ascii="Arial" w:cs="Arial" w:eastAsia="Arial" w:hAnsi="Arial"/>
                <w:sz w:val="15"/>
                <w:szCs w:val="15"/>
                <w:color w:val="231F20"/>
              </w:rPr>
              <w:t>—</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5"/>
                <w:szCs w:val="15"/>
                <w:color w:val="231F20"/>
              </w:rPr>
              <w:t>SG&amp;A: Litigation contingencies</w:t>
            </w:r>
          </w:p>
        </w:tc>
        <w:tc>
          <w:tcPr>
            <w:tcW w:w="2400" w:type="dxa"/>
            <w:vAlign w:val="bottom"/>
          </w:tcPr>
          <w:p>
            <w:pPr>
              <w:spacing w:after="0"/>
              <w:rPr>
                <w:sz w:val="18"/>
                <w:szCs w:val="18"/>
                <w:color w:val="auto"/>
              </w:rPr>
            </w:pP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70.0</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30.0</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60" w:type="dxa"/>
            <w:vAlign w:val="bottom"/>
            <w:gridSpan w:val="2"/>
            <w:shd w:val="clear" w:color="auto" w:fill="ECEDED"/>
          </w:tcPr>
          <w:p>
            <w:pPr>
              <w:ind w:left="180"/>
              <w:spacing w:after="0"/>
              <w:rPr>
                <w:sz w:val="20"/>
                <w:szCs w:val="20"/>
                <w:color w:val="auto"/>
              </w:rPr>
            </w:pPr>
            <w:r>
              <w:rPr>
                <w:rFonts w:ascii="Arial" w:cs="Arial" w:eastAsia="Arial" w:hAnsi="Arial"/>
                <w:sz w:val="15"/>
                <w:szCs w:val="15"/>
                <w:color w:val="231F20"/>
              </w:rPr>
              <w:t>COGS and COCM: Non-cash share-based compensation expense</w:t>
            </w:r>
          </w:p>
        </w:tc>
        <w:tc>
          <w:tcPr>
            <w:tcW w:w="1360" w:type="dxa"/>
            <w:vAlign w:val="bottom"/>
            <w:shd w:val="clear" w:color="auto" w:fill="ECEDED"/>
          </w:tcPr>
          <w:p>
            <w:pPr>
              <w:jc w:val="right"/>
              <w:ind w:right="305"/>
              <w:spacing w:after="0"/>
              <w:rPr>
                <w:sz w:val="20"/>
                <w:szCs w:val="20"/>
                <w:color w:val="auto"/>
              </w:rPr>
            </w:pPr>
            <w:r>
              <w:rPr>
                <w:rFonts w:ascii="Arial" w:cs="Arial" w:eastAsia="Arial" w:hAnsi="Arial"/>
                <w:sz w:val="15"/>
                <w:szCs w:val="15"/>
                <w:color w:val="231F20"/>
              </w:rPr>
              <w:t>46.2</w:t>
            </w:r>
          </w:p>
        </w:tc>
        <w:tc>
          <w:tcPr>
            <w:tcW w:w="1180" w:type="dxa"/>
            <w:vAlign w:val="bottom"/>
            <w:shd w:val="clear" w:color="auto" w:fill="ECEDED"/>
          </w:tcPr>
          <w:p>
            <w:pPr>
              <w:jc w:val="right"/>
              <w:ind w:right="164"/>
              <w:spacing w:after="0"/>
              <w:rPr>
                <w:sz w:val="20"/>
                <w:szCs w:val="20"/>
                <w:color w:val="auto"/>
              </w:rPr>
            </w:pPr>
            <w:r>
              <w:rPr>
                <w:rFonts w:ascii="Arial" w:cs="Arial" w:eastAsia="Arial" w:hAnsi="Arial"/>
                <w:sz w:val="15"/>
                <w:szCs w:val="15"/>
                <w:color w:val="231F20"/>
              </w:rPr>
              <w:t>29.2</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Arial" w:cs="Arial" w:eastAsia="Arial" w:hAnsi="Arial"/>
                <w:sz w:val="15"/>
                <w:szCs w:val="15"/>
                <w:color w:val="231F20"/>
              </w:rPr>
              <w:t>Other income/expense: (Gains) losses on investments in equity securities</w:t>
            </w:r>
          </w:p>
        </w:tc>
        <w:tc>
          <w:tcPr>
            <w:tcW w:w="1360" w:type="dxa"/>
            <w:vAlign w:val="bottom"/>
          </w:tcPr>
          <w:p>
            <w:pPr>
              <w:jc w:val="right"/>
              <w:ind w:right="245"/>
              <w:spacing w:after="0"/>
              <w:rPr>
                <w:sz w:val="20"/>
                <w:szCs w:val="20"/>
                <w:color w:val="auto"/>
              </w:rPr>
            </w:pPr>
            <w:r>
              <w:rPr>
                <w:rFonts w:ascii="Arial" w:cs="Arial" w:eastAsia="Arial" w:hAnsi="Arial"/>
                <w:sz w:val="15"/>
                <w:szCs w:val="15"/>
                <w:color w:val="231F20"/>
              </w:rPr>
              <w:t>(118.3)</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41.9</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ECEDED"/>
          </w:tcPr>
          <w:p>
            <w:pPr>
              <w:ind w:left="180"/>
              <w:spacing w:after="0"/>
              <w:rPr>
                <w:sz w:val="20"/>
                <w:szCs w:val="20"/>
                <w:color w:val="auto"/>
              </w:rPr>
            </w:pPr>
            <w:r>
              <w:rPr>
                <w:rFonts w:ascii="Arial" w:cs="Arial" w:eastAsia="Arial" w:hAnsi="Arial"/>
                <w:sz w:val="15"/>
                <w:szCs w:val="15"/>
                <w:color w:val="231F20"/>
              </w:rPr>
              <w:t>Income tax effect of reconciling items above</w:t>
            </w:r>
          </w:p>
        </w:tc>
        <w:tc>
          <w:tcPr>
            <w:tcW w:w="2400" w:type="dxa"/>
            <w:vAlign w:val="bottom"/>
            <w:shd w:val="clear" w:color="auto" w:fill="ECEDED"/>
          </w:tcPr>
          <w:p>
            <w:pPr>
              <w:spacing w:after="0"/>
              <w:rPr>
                <w:sz w:val="18"/>
                <w:szCs w:val="18"/>
                <w:color w:val="auto"/>
              </w:rPr>
            </w:pPr>
          </w:p>
        </w:tc>
        <w:tc>
          <w:tcPr>
            <w:tcW w:w="1360" w:type="dxa"/>
            <w:vAlign w:val="bottom"/>
            <w:shd w:val="clear" w:color="auto" w:fill="ECEDED"/>
          </w:tcPr>
          <w:p>
            <w:pPr>
              <w:jc w:val="right"/>
              <w:ind w:right="245"/>
              <w:spacing w:after="0"/>
              <w:rPr>
                <w:sz w:val="20"/>
                <w:szCs w:val="20"/>
                <w:color w:val="auto"/>
              </w:rPr>
            </w:pPr>
            <w:r>
              <w:rPr>
                <w:rFonts w:ascii="Arial" w:cs="Arial" w:eastAsia="Arial" w:hAnsi="Arial"/>
                <w:sz w:val="15"/>
                <w:szCs w:val="15"/>
                <w:color w:val="231F20"/>
              </w:rPr>
              <w:t>(169.9)</w:t>
            </w:r>
          </w:p>
        </w:tc>
        <w:tc>
          <w:tcPr>
            <w:tcW w:w="1180" w:type="dxa"/>
            <w:vAlign w:val="bottom"/>
            <w:shd w:val="clear" w:color="auto" w:fill="ECEDED"/>
          </w:tcPr>
          <w:p>
            <w:pPr>
              <w:jc w:val="right"/>
              <w:ind w:right="104"/>
              <w:spacing w:after="0"/>
              <w:rPr>
                <w:sz w:val="20"/>
                <w:szCs w:val="20"/>
                <w:color w:val="auto"/>
              </w:rPr>
            </w:pPr>
            <w:r>
              <w:rPr>
                <w:rFonts w:ascii="Arial" w:cs="Arial" w:eastAsia="Arial" w:hAnsi="Arial"/>
                <w:sz w:val="15"/>
                <w:szCs w:val="15"/>
                <w:color w:val="231F20"/>
              </w:rPr>
              <w:t>(92.1)</w:t>
            </w:r>
          </w:p>
        </w:tc>
        <w:tc>
          <w:tcPr>
            <w:tcW w:w="14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Arial" w:cs="Arial" w:eastAsia="Arial" w:hAnsi="Arial"/>
                <w:sz w:val="15"/>
                <w:szCs w:val="15"/>
                <w:color w:val="231F20"/>
              </w:rPr>
              <w:t>Income tax expense: Impact of sale of assets between foreign subsidiaries</w:t>
            </w: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231F20"/>
              </w:rPr>
              <w:t>(162.1)</w:t>
            </w:r>
          </w:p>
        </w:tc>
        <w:tc>
          <w:tcPr>
            <w:tcW w:w="1460" w:type="dxa"/>
            <w:vAlign w:val="bottom"/>
          </w:tcPr>
          <w:p>
            <w:pPr>
              <w:spacing w:after="0"/>
              <w:rPr>
                <w:sz w:val="18"/>
                <w:szCs w:val="18"/>
                <w:color w:val="auto"/>
              </w:rPr>
            </w:pPr>
          </w:p>
        </w:tc>
      </w:tr>
      <w:tr>
        <w:trPr>
          <w:trHeight w:val="213"/>
        </w:trPr>
        <w:tc>
          <w:tcPr>
            <w:tcW w:w="1580" w:type="dxa"/>
            <w:vAlign w:val="bottom"/>
          </w:tcPr>
          <w:p>
            <w:pPr>
              <w:spacing w:after="0"/>
              <w:rPr>
                <w:sz w:val="18"/>
                <w:szCs w:val="18"/>
                <w:color w:val="auto"/>
              </w:rPr>
            </w:pPr>
          </w:p>
        </w:tc>
        <w:tc>
          <w:tcPr>
            <w:tcW w:w="5660" w:type="dxa"/>
            <w:vAlign w:val="bottom"/>
            <w:gridSpan w:val="2"/>
            <w:shd w:val="clear" w:color="auto" w:fill="ECEDED"/>
          </w:tcPr>
          <w:p>
            <w:pPr>
              <w:ind w:left="180"/>
              <w:spacing w:after="0"/>
              <w:rPr>
                <w:sz w:val="20"/>
                <w:szCs w:val="20"/>
                <w:color w:val="auto"/>
              </w:rPr>
            </w:pPr>
            <w:r>
              <w:rPr>
                <w:rFonts w:ascii="Arial" w:cs="Arial" w:eastAsia="Arial" w:hAnsi="Arial"/>
                <w:sz w:val="15"/>
                <w:szCs w:val="15"/>
                <w:color w:val="231F20"/>
              </w:rPr>
              <w:t>Income tax expense: Adjustment to previously recorded charge related to</w:t>
            </w:r>
          </w:p>
        </w:tc>
        <w:tc>
          <w:tcPr>
            <w:tcW w:w="1360" w:type="dxa"/>
            <w:vAlign w:val="bottom"/>
            <w:shd w:val="clear" w:color="auto" w:fill="ECEDED"/>
          </w:tcPr>
          <w:p>
            <w:pPr>
              <w:spacing w:after="0"/>
              <w:rPr>
                <w:sz w:val="18"/>
                <w:szCs w:val="18"/>
                <w:color w:val="auto"/>
              </w:rPr>
            </w:pPr>
          </w:p>
        </w:tc>
        <w:tc>
          <w:tcPr>
            <w:tcW w:w="1180" w:type="dxa"/>
            <w:vAlign w:val="bottom"/>
            <w:shd w:val="clear" w:color="auto" w:fill="ECEDED"/>
          </w:tcPr>
          <w:p>
            <w:pPr>
              <w:spacing w:after="0"/>
              <w:rPr>
                <w:sz w:val="18"/>
                <w:szCs w:val="18"/>
                <w:color w:val="auto"/>
              </w:rPr>
            </w:pPr>
          </w:p>
        </w:tc>
        <w:tc>
          <w:tcPr>
            <w:tcW w:w="1460" w:type="dxa"/>
            <w:vAlign w:val="bottom"/>
          </w:tcPr>
          <w:p>
            <w:pPr>
              <w:spacing w:after="0"/>
              <w:rPr>
                <w:sz w:val="18"/>
                <w:szCs w:val="18"/>
                <w:color w:val="auto"/>
              </w:rPr>
            </w:pPr>
          </w:p>
        </w:tc>
      </w:tr>
      <w:tr>
        <w:trPr>
          <w:trHeight w:val="165"/>
        </w:trPr>
        <w:tc>
          <w:tcPr>
            <w:tcW w:w="1580" w:type="dxa"/>
            <w:vAlign w:val="bottom"/>
          </w:tcPr>
          <w:p>
            <w:pPr>
              <w:spacing w:after="0"/>
              <w:rPr>
                <w:sz w:val="14"/>
                <w:szCs w:val="14"/>
                <w:color w:val="auto"/>
              </w:rPr>
            </w:pPr>
          </w:p>
        </w:tc>
        <w:tc>
          <w:tcPr>
            <w:tcW w:w="3260" w:type="dxa"/>
            <w:vAlign w:val="bottom"/>
            <w:shd w:val="clear" w:color="auto" w:fill="ECEDED"/>
          </w:tcPr>
          <w:p>
            <w:pPr>
              <w:ind w:left="180"/>
              <w:spacing w:after="0" w:line="166" w:lineRule="exact"/>
              <w:rPr>
                <w:sz w:val="20"/>
                <w:szCs w:val="20"/>
                <w:color w:val="auto"/>
              </w:rPr>
            </w:pPr>
            <w:r>
              <w:rPr>
                <w:rFonts w:ascii="Arial" w:cs="Arial" w:eastAsia="Arial" w:hAnsi="Arial"/>
                <w:sz w:val="15"/>
                <w:szCs w:val="15"/>
                <w:color w:val="231F20"/>
              </w:rPr>
              <w:t>enactment of U.S. Tax Reform Act</w:t>
            </w:r>
          </w:p>
        </w:tc>
        <w:tc>
          <w:tcPr>
            <w:tcW w:w="2400" w:type="dxa"/>
            <w:vAlign w:val="bottom"/>
            <w:shd w:val="clear" w:color="auto" w:fill="ECEDED"/>
          </w:tcPr>
          <w:p>
            <w:pPr>
              <w:spacing w:after="0"/>
              <w:rPr>
                <w:sz w:val="14"/>
                <w:szCs w:val="14"/>
                <w:color w:val="auto"/>
              </w:rPr>
            </w:pPr>
          </w:p>
        </w:tc>
        <w:tc>
          <w:tcPr>
            <w:tcW w:w="1360" w:type="dxa"/>
            <w:vAlign w:val="bottom"/>
            <w:tcBorders>
              <w:bottom w:val="single" w:sz="8" w:color="auto"/>
            </w:tcBorders>
            <w:shd w:val="clear" w:color="auto" w:fill="ECEDED"/>
          </w:tcPr>
          <w:p>
            <w:pPr>
              <w:jc w:val="right"/>
              <w:ind w:right="305"/>
              <w:spacing w:after="0" w:line="166" w:lineRule="exact"/>
              <w:rPr>
                <w:sz w:val="20"/>
                <w:szCs w:val="20"/>
                <w:color w:val="auto"/>
              </w:rPr>
            </w:pPr>
            <w:r>
              <w:rPr>
                <w:rFonts w:ascii="Arial" w:cs="Arial" w:eastAsia="Arial" w:hAnsi="Arial"/>
                <w:sz w:val="15"/>
                <w:szCs w:val="15"/>
                <w:color w:val="231F20"/>
              </w:rPr>
              <w:t>—</w:t>
            </w:r>
          </w:p>
        </w:tc>
        <w:tc>
          <w:tcPr>
            <w:tcW w:w="1180" w:type="dxa"/>
            <w:vAlign w:val="bottom"/>
            <w:tcBorders>
              <w:bottom w:val="single" w:sz="8" w:color="auto"/>
            </w:tcBorders>
            <w:shd w:val="clear" w:color="auto" w:fill="ECEDED"/>
          </w:tcPr>
          <w:p>
            <w:pPr>
              <w:jc w:val="right"/>
              <w:ind w:right="104"/>
              <w:spacing w:after="0" w:line="166" w:lineRule="exact"/>
              <w:rPr>
                <w:sz w:val="20"/>
                <w:szCs w:val="20"/>
                <w:color w:val="auto"/>
              </w:rPr>
            </w:pPr>
            <w:r>
              <w:rPr>
                <w:rFonts w:ascii="Arial" w:cs="Arial" w:eastAsia="Arial" w:hAnsi="Arial"/>
                <w:sz w:val="15"/>
                <w:szCs w:val="15"/>
                <w:color w:val="231F20"/>
              </w:rPr>
              <w:t>(68.0)</w:t>
            </w:r>
          </w:p>
        </w:tc>
        <w:tc>
          <w:tcPr>
            <w:tcW w:w="1460" w:type="dxa"/>
            <w:vAlign w:val="bottom"/>
          </w:tcPr>
          <w:p>
            <w:pPr>
              <w:spacing w:after="0"/>
              <w:rPr>
                <w:sz w:val="14"/>
                <w:szCs w:val="14"/>
                <w:color w:val="auto"/>
              </w:rPr>
            </w:pPr>
          </w:p>
        </w:tc>
      </w:tr>
      <w:tr>
        <w:trPr>
          <w:trHeight w:val="263"/>
        </w:trPr>
        <w:tc>
          <w:tcPr>
            <w:tcW w:w="1580" w:type="dxa"/>
            <w:vAlign w:val="bottom"/>
          </w:tcPr>
          <w:p>
            <w:pPr>
              <w:spacing w:after="0"/>
              <w:rPr>
                <w:sz w:val="22"/>
                <w:szCs w:val="22"/>
                <w:color w:val="auto"/>
              </w:rPr>
            </w:pPr>
          </w:p>
        </w:tc>
        <w:tc>
          <w:tcPr>
            <w:tcW w:w="3260" w:type="dxa"/>
            <w:vAlign w:val="bottom"/>
            <w:tcBorders>
              <w:bottom w:val="single" w:sz="8" w:color="ECEDED"/>
            </w:tcBorders>
          </w:tcPr>
          <w:p>
            <w:pPr>
              <w:ind w:left="360"/>
              <w:spacing w:after="0"/>
              <w:rPr>
                <w:sz w:val="20"/>
                <w:szCs w:val="20"/>
                <w:color w:val="auto"/>
              </w:rPr>
            </w:pPr>
            <w:r>
              <w:rPr>
                <w:rFonts w:ascii="Arial" w:cs="Arial" w:eastAsia="Arial" w:hAnsi="Arial"/>
                <w:sz w:val="15"/>
                <w:szCs w:val="15"/>
                <w:color w:val="231F20"/>
              </w:rPr>
              <w:t>Non-GAAP net income</w:t>
            </w:r>
          </w:p>
        </w:tc>
        <w:tc>
          <w:tcPr>
            <w:tcW w:w="2400" w:type="dxa"/>
            <w:vAlign w:val="bottom"/>
            <w:tcBorders>
              <w:bottom w:val="single" w:sz="8" w:color="ECEDED"/>
            </w:tcBorders>
          </w:tcPr>
          <w:p>
            <w:pPr>
              <w:spacing w:after="0"/>
              <w:rPr>
                <w:sz w:val="22"/>
                <w:szCs w:val="22"/>
                <w:color w:val="auto"/>
              </w:rPr>
            </w:pPr>
          </w:p>
        </w:tc>
        <w:tc>
          <w:tcPr>
            <w:tcW w:w="13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231F20"/>
              </w:rPr>
              <w:t>$2,827.1</w:t>
            </w: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231F20"/>
              </w:rPr>
              <w:t>$2,621.5</w:t>
            </w:r>
          </w:p>
        </w:tc>
        <w:tc>
          <w:tcPr>
            <w:tcW w:w="1460" w:type="dxa"/>
            <w:vAlign w:val="bottom"/>
          </w:tcPr>
          <w:p>
            <w:pPr>
              <w:spacing w:after="0"/>
              <w:rPr>
                <w:sz w:val="22"/>
                <w:szCs w:val="22"/>
                <w:color w:val="auto"/>
              </w:rPr>
            </w:pPr>
          </w:p>
        </w:tc>
      </w:tr>
      <w:tr>
        <w:trPr>
          <w:trHeight w:val="278"/>
        </w:trPr>
        <w:tc>
          <w:tcPr>
            <w:tcW w:w="1580" w:type="dxa"/>
            <w:vAlign w:val="bottom"/>
          </w:tcPr>
          <w:p>
            <w:pPr>
              <w:spacing w:after="0"/>
              <w:rPr>
                <w:sz w:val="24"/>
                <w:szCs w:val="24"/>
                <w:color w:val="auto"/>
              </w:rPr>
            </w:pPr>
          </w:p>
        </w:tc>
        <w:tc>
          <w:tcPr>
            <w:tcW w:w="3260" w:type="dxa"/>
            <w:vAlign w:val="bottom"/>
            <w:shd w:val="clear" w:color="auto" w:fill="ECEDED"/>
          </w:tcPr>
          <w:p>
            <w:pPr>
              <w:ind w:left="40"/>
              <w:spacing w:after="0"/>
              <w:rPr>
                <w:sz w:val="20"/>
                <w:szCs w:val="20"/>
                <w:color w:val="auto"/>
              </w:rPr>
            </w:pPr>
            <w:r>
              <w:rPr>
                <w:rFonts w:ascii="Arial" w:cs="Arial" w:eastAsia="Arial" w:hAnsi="Arial"/>
                <w:sz w:val="15"/>
                <w:szCs w:val="15"/>
                <w:color w:val="231F20"/>
              </w:rPr>
              <w:t>GAAP net income per share—basic</w:t>
            </w:r>
          </w:p>
        </w:tc>
        <w:tc>
          <w:tcPr>
            <w:tcW w:w="2400" w:type="dxa"/>
            <w:vAlign w:val="bottom"/>
            <w:shd w:val="clear" w:color="auto" w:fill="ECEDED"/>
          </w:tcPr>
          <w:p>
            <w:pPr>
              <w:spacing w:after="0"/>
              <w:rPr>
                <w:sz w:val="24"/>
                <w:szCs w:val="24"/>
                <w:color w:val="auto"/>
              </w:rPr>
            </w:pPr>
          </w:p>
        </w:tc>
        <w:tc>
          <w:tcPr>
            <w:tcW w:w="1360" w:type="dxa"/>
            <w:vAlign w:val="bottom"/>
            <w:shd w:val="clear" w:color="auto" w:fill="ECEDED"/>
          </w:tcPr>
          <w:p>
            <w:pPr>
              <w:jc w:val="right"/>
              <w:ind w:right="305"/>
              <w:spacing w:after="0"/>
              <w:rPr>
                <w:sz w:val="20"/>
                <w:szCs w:val="20"/>
                <w:color w:val="auto"/>
              </w:rPr>
            </w:pPr>
            <w:r>
              <w:rPr>
                <w:rFonts w:ascii="Arial" w:cs="Arial" w:eastAsia="Arial" w:hAnsi="Arial"/>
                <w:sz w:val="15"/>
                <w:szCs w:val="15"/>
                <w:color w:val="231F20"/>
              </w:rPr>
              <w:t>$19.38</w:t>
            </w:r>
          </w:p>
        </w:tc>
        <w:tc>
          <w:tcPr>
            <w:tcW w:w="1180" w:type="dxa"/>
            <w:vAlign w:val="bottom"/>
            <w:shd w:val="clear" w:color="auto" w:fill="ECEDED"/>
          </w:tcPr>
          <w:p>
            <w:pPr>
              <w:jc w:val="right"/>
              <w:ind w:right="164"/>
              <w:spacing w:after="0"/>
              <w:rPr>
                <w:sz w:val="20"/>
                <w:szCs w:val="20"/>
                <w:color w:val="auto"/>
              </w:rPr>
            </w:pPr>
            <w:r>
              <w:rPr>
                <w:rFonts w:ascii="Arial" w:cs="Arial" w:eastAsia="Arial" w:hAnsi="Arial"/>
                <w:sz w:val="15"/>
                <w:szCs w:val="15"/>
                <w:color w:val="231F20"/>
              </w:rPr>
              <w:t>$22.65</w:t>
            </w:r>
          </w:p>
        </w:tc>
        <w:tc>
          <w:tcPr>
            <w:tcW w:w="1460" w:type="dxa"/>
            <w:vAlign w:val="bottom"/>
          </w:tcPr>
          <w:p>
            <w:pPr>
              <w:spacing w:after="0"/>
              <w:rPr>
                <w:sz w:val="24"/>
                <w:szCs w:val="24"/>
                <w:color w:val="auto"/>
              </w:rPr>
            </w:pPr>
          </w:p>
        </w:tc>
      </w:tr>
      <w:tr>
        <w:trPr>
          <w:trHeight w:val="297"/>
        </w:trPr>
        <w:tc>
          <w:tcPr>
            <w:tcW w:w="1580" w:type="dxa"/>
            <w:vAlign w:val="bottom"/>
          </w:tcPr>
          <w:p>
            <w:pPr>
              <w:spacing w:after="0"/>
              <w:rPr>
                <w:sz w:val="24"/>
                <w:szCs w:val="24"/>
                <w:color w:val="auto"/>
              </w:rPr>
            </w:pPr>
          </w:p>
        </w:tc>
        <w:tc>
          <w:tcPr>
            <w:tcW w:w="3260" w:type="dxa"/>
            <w:vAlign w:val="bottom"/>
          </w:tcPr>
          <w:p>
            <w:pPr>
              <w:ind w:left="40"/>
              <w:spacing w:after="0"/>
              <w:rPr>
                <w:sz w:val="20"/>
                <w:szCs w:val="20"/>
                <w:color w:val="auto"/>
              </w:rPr>
            </w:pPr>
            <w:r>
              <w:rPr>
                <w:rFonts w:ascii="Arial" w:cs="Arial" w:eastAsia="Arial" w:hAnsi="Arial"/>
                <w:sz w:val="15"/>
                <w:szCs w:val="15"/>
                <w:color w:val="231F20"/>
              </w:rPr>
              <w:t>GAAP net income per share—diluted</w:t>
            </w:r>
          </w:p>
        </w:tc>
        <w:tc>
          <w:tcPr>
            <w:tcW w:w="2400" w:type="dxa"/>
            <w:vAlign w:val="bottom"/>
          </w:tcPr>
          <w:p>
            <w:pPr>
              <w:spacing w:after="0"/>
              <w:rPr>
                <w:sz w:val="24"/>
                <w:szCs w:val="24"/>
                <w:color w:val="auto"/>
              </w:rPr>
            </w:pP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$18.46</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$21.29</w:t>
            </w:r>
          </w:p>
        </w:tc>
        <w:tc>
          <w:tcPr>
            <w:tcW w:w="1460" w:type="dxa"/>
            <w:vAlign w:val="bottom"/>
          </w:tcPr>
          <w:p>
            <w:pPr>
              <w:spacing w:after="0"/>
              <w:rPr>
                <w:sz w:val="24"/>
                <w:szCs w:val="24"/>
                <w:color w:val="auto"/>
              </w:rPr>
            </w:pPr>
          </w:p>
        </w:tc>
      </w:tr>
      <w:tr>
        <w:trPr>
          <w:trHeight w:val="297"/>
        </w:trPr>
        <w:tc>
          <w:tcPr>
            <w:tcW w:w="1580" w:type="dxa"/>
            <w:vAlign w:val="bottom"/>
          </w:tcPr>
          <w:p>
            <w:pPr>
              <w:spacing w:after="0"/>
              <w:rPr>
                <w:sz w:val="24"/>
                <w:szCs w:val="24"/>
                <w:color w:val="auto"/>
              </w:rPr>
            </w:pPr>
          </w:p>
        </w:tc>
        <w:tc>
          <w:tcPr>
            <w:tcW w:w="3260" w:type="dxa"/>
            <w:vAlign w:val="bottom"/>
            <w:shd w:val="clear" w:color="auto" w:fill="ECEDED"/>
          </w:tcPr>
          <w:p>
            <w:pPr>
              <w:ind w:left="40"/>
              <w:spacing w:after="0"/>
              <w:rPr>
                <w:sz w:val="20"/>
                <w:szCs w:val="20"/>
                <w:color w:val="auto"/>
              </w:rPr>
            </w:pPr>
            <w:r>
              <w:rPr>
                <w:rFonts w:ascii="Arial" w:cs="Arial" w:eastAsia="Arial" w:hAnsi="Arial"/>
                <w:sz w:val="15"/>
                <w:szCs w:val="15"/>
                <w:color w:val="231F20"/>
              </w:rPr>
              <w:t>Non-GAAP net income per share—basic</w:t>
            </w:r>
          </w:p>
        </w:tc>
        <w:tc>
          <w:tcPr>
            <w:tcW w:w="2400" w:type="dxa"/>
            <w:vAlign w:val="bottom"/>
            <w:shd w:val="clear" w:color="auto" w:fill="ECEDED"/>
          </w:tcPr>
          <w:p>
            <w:pPr>
              <w:spacing w:after="0"/>
              <w:rPr>
                <w:sz w:val="24"/>
                <w:szCs w:val="24"/>
                <w:color w:val="auto"/>
              </w:rPr>
            </w:pPr>
          </w:p>
        </w:tc>
        <w:tc>
          <w:tcPr>
            <w:tcW w:w="1360" w:type="dxa"/>
            <w:vAlign w:val="bottom"/>
            <w:shd w:val="clear" w:color="auto" w:fill="ECEDED"/>
          </w:tcPr>
          <w:p>
            <w:pPr>
              <w:jc w:val="right"/>
              <w:ind w:right="305"/>
              <w:spacing w:after="0"/>
              <w:rPr>
                <w:sz w:val="20"/>
                <w:szCs w:val="20"/>
                <w:color w:val="auto"/>
              </w:rPr>
            </w:pPr>
            <w:r>
              <w:rPr>
                <w:rFonts w:ascii="Arial" w:cs="Arial" w:eastAsia="Arial" w:hAnsi="Arial"/>
                <w:sz w:val="15"/>
                <w:szCs w:val="15"/>
                <w:color w:val="231F20"/>
              </w:rPr>
              <w:t>$25.89</w:t>
            </w:r>
          </w:p>
        </w:tc>
        <w:tc>
          <w:tcPr>
            <w:tcW w:w="1180" w:type="dxa"/>
            <w:vAlign w:val="bottom"/>
            <w:shd w:val="clear" w:color="auto" w:fill="ECEDED"/>
          </w:tcPr>
          <w:p>
            <w:pPr>
              <w:jc w:val="right"/>
              <w:ind w:right="164"/>
              <w:spacing w:after="0"/>
              <w:rPr>
                <w:sz w:val="20"/>
                <w:szCs w:val="20"/>
                <w:color w:val="auto"/>
              </w:rPr>
            </w:pPr>
            <w:r>
              <w:rPr>
                <w:rFonts w:ascii="Arial" w:cs="Arial" w:eastAsia="Arial" w:hAnsi="Arial"/>
                <w:sz w:val="15"/>
                <w:szCs w:val="15"/>
                <w:color w:val="231F20"/>
              </w:rPr>
              <w:t>$24.30</w:t>
            </w:r>
          </w:p>
        </w:tc>
        <w:tc>
          <w:tcPr>
            <w:tcW w:w="1460" w:type="dxa"/>
            <w:vAlign w:val="bottom"/>
          </w:tcPr>
          <w:p>
            <w:pPr>
              <w:spacing w:after="0"/>
              <w:rPr>
                <w:sz w:val="24"/>
                <w:szCs w:val="24"/>
                <w:color w:val="auto"/>
              </w:rPr>
            </w:pPr>
          </w:p>
        </w:tc>
      </w:tr>
      <w:tr>
        <w:trPr>
          <w:trHeight w:val="297"/>
        </w:trPr>
        <w:tc>
          <w:tcPr>
            <w:tcW w:w="1580" w:type="dxa"/>
            <w:vAlign w:val="bottom"/>
          </w:tcPr>
          <w:p>
            <w:pPr>
              <w:spacing w:after="0"/>
              <w:rPr>
                <w:sz w:val="24"/>
                <w:szCs w:val="24"/>
                <w:color w:val="auto"/>
              </w:rPr>
            </w:pPr>
          </w:p>
        </w:tc>
        <w:tc>
          <w:tcPr>
            <w:tcW w:w="3260" w:type="dxa"/>
            <w:vAlign w:val="bottom"/>
          </w:tcPr>
          <w:p>
            <w:pPr>
              <w:ind w:left="40"/>
              <w:spacing w:after="0"/>
              <w:rPr>
                <w:sz w:val="20"/>
                <w:szCs w:val="20"/>
                <w:color w:val="auto"/>
              </w:rPr>
            </w:pPr>
            <w:r>
              <w:rPr>
                <w:rFonts w:ascii="Arial" w:cs="Arial" w:eastAsia="Arial" w:hAnsi="Arial"/>
                <w:sz w:val="15"/>
                <w:szCs w:val="15"/>
                <w:color w:val="231F20"/>
              </w:rPr>
              <w:t>Non-GAAP net income per share—diluted</w:t>
            </w:r>
          </w:p>
        </w:tc>
        <w:tc>
          <w:tcPr>
            <w:tcW w:w="2400" w:type="dxa"/>
            <w:vAlign w:val="bottom"/>
          </w:tcPr>
          <w:p>
            <w:pPr>
              <w:spacing w:after="0"/>
              <w:rPr>
                <w:sz w:val="24"/>
                <w:szCs w:val="24"/>
                <w:color w:val="auto"/>
              </w:rPr>
            </w:pP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$24.67</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$22.84</w:t>
            </w:r>
          </w:p>
        </w:tc>
        <w:tc>
          <w:tcPr>
            <w:tcW w:w="1460" w:type="dxa"/>
            <w:vAlign w:val="bottom"/>
          </w:tcPr>
          <w:p>
            <w:pPr>
              <w:spacing w:after="0"/>
              <w:rPr>
                <w:sz w:val="24"/>
                <w:szCs w:val="24"/>
                <w:color w:val="auto"/>
              </w:rPr>
            </w:pPr>
          </w:p>
        </w:tc>
      </w:tr>
      <w:tr>
        <w:trPr>
          <w:trHeight w:val="297"/>
        </w:trPr>
        <w:tc>
          <w:tcPr>
            <w:tcW w:w="1580" w:type="dxa"/>
            <w:vAlign w:val="bottom"/>
          </w:tcPr>
          <w:p>
            <w:pPr>
              <w:spacing w:after="0"/>
              <w:rPr>
                <w:sz w:val="24"/>
                <w:szCs w:val="24"/>
                <w:color w:val="auto"/>
              </w:rPr>
            </w:pPr>
          </w:p>
        </w:tc>
        <w:tc>
          <w:tcPr>
            <w:tcW w:w="3260" w:type="dxa"/>
            <w:vAlign w:val="bottom"/>
            <w:shd w:val="clear" w:color="auto" w:fill="ECEDED"/>
          </w:tcPr>
          <w:p>
            <w:pPr>
              <w:ind w:left="40"/>
              <w:spacing w:after="0"/>
              <w:rPr>
                <w:sz w:val="20"/>
                <w:szCs w:val="20"/>
                <w:color w:val="auto"/>
              </w:rPr>
            </w:pPr>
            <w:r>
              <w:rPr>
                <w:rFonts w:ascii="Arial" w:cs="Arial" w:eastAsia="Arial" w:hAnsi="Arial"/>
                <w:sz w:val="15"/>
                <w:szCs w:val="15"/>
                <w:i w:val="1"/>
                <w:iCs w:val="1"/>
                <w:color w:val="231F20"/>
              </w:rPr>
              <w:t>Shares used in calculating:</w:t>
            </w:r>
          </w:p>
        </w:tc>
        <w:tc>
          <w:tcPr>
            <w:tcW w:w="2400" w:type="dxa"/>
            <w:vAlign w:val="bottom"/>
            <w:shd w:val="clear" w:color="auto" w:fill="ECEDED"/>
          </w:tcPr>
          <w:p>
            <w:pPr>
              <w:spacing w:after="0"/>
              <w:rPr>
                <w:sz w:val="24"/>
                <w:szCs w:val="24"/>
                <w:color w:val="auto"/>
              </w:rPr>
            </w:pPr>
          </w:p>
        </w:tc>
        <w:tc>
          <w:tcPr>
            <w:tcW w:w="1360" w:type="dxa"/>
            <w:vAlign w:val="bottom"/>
            <w:shd w:val="clear" w:color="auto" w:fill="ECEDED"/>
          </w:tcPr>
          <w:p>
            <w:pPr>
              <w:spacing w:after="0"/>
              <w:rPr>
                <w:sz w:val="24"/>
                <w:szCs w:val="24"/>
                <w:color w:val="auto"/>
              </w:rPr>
            </w:pPr>
          </w:p>
        </w:tc>
        <w:tc>
          <w:tcPr>
            <w:tcW w:w="1180" w:type="dxa"/>
            <w:vAlign w:val="bottom"/>
            <w:shd w:val="clear" w:color="auto" w:fill="ECEDED"/>
          </w:tcPr>
          <w:p>
            <w:pPr>
              <w:spacing w:after="0"/>
              <w:rPr>
                <w:sz w:val="24"/>
                <w:szCs w:val="24"/>
                <w:color w:val="auto"/>
              </w:rPr>
            </w:pPr>
          </w:p>
        </w:tc>
        <w:tc>
          <w:tcPr>
            <w:tcW w:w="1460" w:type="dxa"/>
            <w:vAlign w:val="bottom"/>
          </w:tcPr>
          <w:p>
            <w:pPr>
              <w:spacing w:after="0"/>
              <w:rPr>
                <w:sz w:val="24"/>
                <w:szCs w:val="24"/>
                <w:color w:val="auto"/>
              </w:rPr>
            </w:pPr>
          </w:p>
        </w:tc>
      </w:tr>
      <w:tr>
        <w:trPr>
          <w:trHeight w:val="297"/>
        </w:trPr>
        <w:tc>
          <w:tcPr>
            <w:tcW w:w="1580" w:type="dxa"/>
            <w:vAlign w:val="bottom"/>
          </w:tcPr>
          <w:p>
            <w:pPr>
              <w:spacing w:after="0"/>
              <w:rPr>
                <w:sz w:val="24"/>
                <w:szCs w:val="24"/>
                <w:color w:val="auto"/>
              </w:rPr>
            </w:pPr>
          </w:p>
        </w:tc>
        <w:tc>
          <w:tcPr>
            <w:tcW w:w="3260" w:type="dxa"/>
            <w:vAlign w:val="bottom"/>
          </w:tcPr>
          <w:p>
            <w:pPr>
              <w:ind w:left="40"/>
              <w:spacing w:after="0"/>
              <w:rPr>
                <w:sz w:val="20"/>
                <w:szCs w:val="20"/>
                <w:color w:val="auto"/>
              </w:rPr>
            </w:pPr>
            <w:r>
              <w:rPr>
                <w:rFonts w:ascii="Arial" w:cs="Arial" w:eastAsia="Arial" w:hAnsi="Arial"/>
                <w:sz w:val="15"/>
                <w:szCs w:val="15"/>
                <w:color w:val="231F20"/>
              </w:rPr>
              <w:t>Net income per share—basic</w:t>
            </w:r>
          </w:p>
        </w:tc>
        <w:tc>
          <w:tcPr>
            <w:tcW w:w="2400" w:type="dxa"/>
            <w:vAlign w:val="bottom"/>
          </w:tcPr>
          <w:p>
            <w:pPr>
              <w:spacing w:after="0"/>
              <w:rPr>
                <w:sz w:val="24"/>
                <w:szCs w:val="24"/>
                <w:color w:val="auto"/>
              </w:rPr>
            </w:pPr>
          </w:p>
        </w:tc>
        <w:tc>
          <w:tcPr>
            <w:tcW w:w="1360" w:type="dxa"/>
            <w:vAlign w:val="bottom"/>
          </w:tcPr>
          <w:p>
            <w:pPr>
              <w:jc w:val="right"/>
              <w:ind w:right="305"/>
              <w:spacing w:after="0"/>
              <w:rPr>
                <w:sz w:val="20"/>
                <w:szCs w:val="20"/>
                <w:color w:val="auto"/>
              </w:rPr>
            </w:pPr>
            <w:r>
              <w:rPr>
                <w:rFonts w:ascii="Arial" w:cs="Arial" w:eastAsia="Arial" w:hAnsi="Arial"/>
                <w:sz w:val="15"/>
                <w:szCs w:val="15"/>
                <w:color w:val="231F20"/>
              </w:rPr>
              <w:t>109.2</w:t>
            </w:r>
          </w:p>
        </w:tc>
        <w:tc>
          <w:tcPr>
            <w:tcW w:w="1180" w:type="dxa"/>
            <w:vAlign w:val="bottom"/>
          </w:tcPr>
          <w:p>
            <w:pPr>
              <w:jc w:val="right"/>
              <w:ind w:right="164"/>
              <w:spacing w:after="0"/>
              <w:rPr>
                <w:sz w:val="20"/>
                <w:szCs w:val="20"/>
                <w:color w:val="auto"/>
              </w:rPr>
            </w:pPr>
            <w:r>
              <w:rPr>
                <w:rFonts w:ascii="Arial" w:cs="Arial" w:eastAsia="Arial" w:hAnsi="Arial"/>
                <w:sz w:val="15"/>
                <w:szCs w:val="15"/>
                <w:color w:val="231F20"/>
              </w:rPr>
              <w:t>107.9</w:t>
            </w:r>
          </w:p>
        </w:tc>
        <w:tc>
          <w:tcPr>
            <w:tcW w:w="146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3260" w:type="dxa"/>
            <w:vAlign w:val="bottom"/>
            <w:tcBorders>
              <w:bottom w:val="single" w:sz="8" w:color="58585A"/>
            </w:tcBorders>
            <w:shd w:val="clear" w:color="auto" w:fill="ECEDED"/>
          </w:tcPr>
          <w:p>
            <w:pPr>
              <w:ind w:left="40"/>
              <w:spacing w:after="0"/>
              <w:rPr>
                <w:sz w:val="20"/>
                <w:szCs w:val="20"/>
                <w:color w:val="auto"/>
              </w:rPr>
            </w:pPr>
            <w:r>
              <w:rPr>
                <w:rFonts w:ascii="Arial" w:cs="Arial" w:eastAsia="Arial" w:hAnsi="Arial"/>
                <w:sz w:val="15"/>
                <w:szCs w:val="15"/>
                <w:color w:val="231F20"/>
              </w:rPr>
              <w:t>Net income per share—diluted</w:t>
            </w:r>
          </w:p>
        </w:tc>
        <w:tc>
          <w:tcPr>
            <w:tcW w:w="2400" w:type="dxa"/>
            <w:vAlign w:val="bottom"/>
            <w:tcBorders>
              <w:bottom w:val="single" w:sz="8" w:color="58585A"/>
            </w:tcBorders>
            <w:shd w:val="clear" w:color="auto" w:fill="ECEDED"/>
          </w:tcPr>
          <w:p>
            <w:pPr>
              <w:spacing w:after="0"/>
              <w:rPr>
                <w:sz w:val="24"/>
                <w:szCs w:val="24"/>
                <w:color w:val="auto"/>
              </w:rPr>
            </w:pPr>
          </w:p>
        </w:tc>
        <w:tc>
          <w:tcPr>
            <w:tcW w:w="1360" w:type="dxa"/>
            <w:vAlign w:val="bottom"/>
            <w:tcBorders>
              <w:bottom w:val="single" w:sz="8" w:color="58585A"/>
            </w:tcBorders>
            <w:shd w:val="clear" w:color="auto" w:fill="ECEDED"/>
          </w:tcPr>
          <w:p>
            <w:pPr>
              <w:jc w:val="right"/>
              <w:ind w:right="305"/>
              <w:spacing w:after="0"/>
              <w:rPr>
                <w:sz w:val="20"/>
                <w:szCs w:val="20"/>
                <w:color w:val="auto"/>
              </w:rPr>
            </w:pPr>
            <w:r>
              <w:rPr>
                <w:rFonts w:ascii="Arial" w:cs="Arial" w:eastAsia="Arial" w:hAnsi="Arial"/>
                <w:sz w:val="15"/>
                <w:szCs w:val="15"/>
                <w:color w:val="231F20"/>
              </w:rPr>
              <w:t>114.6</w:t>
            </w:r>
          </w:p>
        </w:tc>
        <w:tc>
          <w:tcPr>
            <w:tcW w:w="1180" w:type="dxa"/>
            <w:vAlign w:val="bottom"/>
            <w:tcBorders>
              <w:bottom w:val="single" w:sz="8" w:color="58585A"/>
            </w:tcBorders>
            <w:shd w:val="clear" w:color="auto" w:fill="ECEDED"/>
          </w:tcPr>
          <w:p>
            <w:pPr>
              <w:jc w:val="right"/>
              <w:ind w:right="164"/>
              <w:spacing w:after="0"/>
              <w:rPr>
                <w:sz w:val="20"/>
                <w:szCs w:val="20"/>
                <w:color w:val="auto"/>
              </w:rPr>
            </w:pPr>
            <w:r>
              <w:rPr>
                <w:rFonts w:ascii="Arial" w:cs="Arial" w:eastAsia="Arial" w:hAnsi="Arial"/>
                <w:sz w:val="15"/>
                <w:szCs w:val="15"/>
                <w:color w:val="231F20"/>
              </w:rPr>
              <w:t>114.8</w:t>
            </w:r>
          </w:p>
        </w:tc>
        <w:tc>
          <w:tcPr>
            <w:tcW w:w="1460" w:type="dxa"/>
            <w:vAlign w:val="bottom"/>
          </w:tcPr>
          <w:p>
            <w:pPr>
              <w:spacing w:after="0"/>
              <w:rPr>
                <w:sz w:val="24"/>
                <w:szCs w:val="24"/>
                <w:color w:val="auto"/>
              </w:rPr>
            </w:pPr>
          </w:p>
        </w:tc>
      </w:tr>
      <w:tr>
        <w:trPr>
          <w:trHeight w:val="387"/>
        </w:trPr>
        <w:tc>
          <w:tcPr>
            <w:tcW w:w="4840" w:type="dxa"/>
            <w:vAlign w:val="bottom"/>
            <w:gridSpan w:val="2"/>
          </w:tcPr>
          <w:p>
            <w:pPr>
              <w:jc w:val="right"/>
              <w:ind w:right="3084"/>
              <w:spacing w:after="0"/>
              <w:rPr>
                <w:sz w:val="20"/>
                <w:szCs w:val="20"/>
                <w:color w:val="auto"/>
              </w:rPr>
            </w:pPr>
            <w:r>
              <w:rPr>
                <w:rFonts w:ascii="Arial" w:cs="Arial" w:eastAsia="Arial" w:hAnsi="Arial"/>
                <w:sz w:val="14"/>
                <w:szCs w:val="14"/>
                <w:b w:val="1"/>
                <w:bCs w:val="1"/>
                <w:color w:val="00A5EC"/>
              </w:rPr>
              <w:t xml:space="preserve">112  </w:t>
            </w:r>
            <w:r>
              <w:rPr>
                <w:rFonts w:ascii="Arial" w:cs="Arial" w:eastAsia="Arial" w:hAnsi="Arial"/>
                <w:sz w:val="14"/>
                <w:szCs w:val="14"/>
                <w:color w:val="00A5EC"/>
              </w:rPr>
              <w:t>/</w:t>
            </w:r>
          </w:p>
        </w:tc>
        <w:tc>
          <w:tcPr>
            <w:tcW w:w="4940" w:type="dxa"/>
            <w:vAlign w:val="bottom"/>
            <w:gridSpan w:val="3"/>
          </w:tcPr>
          <w:p>
            <w:pPr>
              <w:jc w:val="right"/>
              <w:ind w:right="4"/>
              <w:spacing w:after="0"/>
              <w:rPr>
                <w:sz w:val="20"/>
                <w:szCs w:val="20"/>
                <w:color w:val="auto"/>
              </w:rPr>
            </w:pPr>
            <w:r>
              <w:rPr>
                <w:rFonts w:ascii="Arial" w:cs="Arial" w:eastAsia="Arial" w:hAnsi="Arial"/>
                <w:sz w:val="13"/>
                <w:szCs w:val="13"/>
                <w:b w:val="1"/>
                <w:bCs w:val="1"/>
                <w:color w:val="2952A4"/>
                <w:w w:val="98"/>
              </w:rPr>
              <w:t>2020 PROXY STATEMENT AND NOTICE OF ANNUAL SHAREHOLDER MEETING</w:t>
            </w:r>
          </w:p>
        </w:tc>
        <w:tc>
          <w:tcPr>
            <w:tcW w:w="1460" w:type="dxa"/>
            <w:vAlign w:val="bottom"/>
          </w:tcPr>
          <w:p>
            <w:pPr>
              <w:spacing w:after="0"/>
              <w:rPr>
                <w:sz w:val="24"/>
                <w:szCs w:val="24"/>
                <w:color w:val="auto"/>
              </w:rPr>
            </w:pPr>
          </w:p>
        </w:tc>
      </w:tr>
      <w:tr>
        <w:trPr>
          <w:trHeight w:val="262"/>
        </w:trPr>
        <w:tc>
          <w:tcPr>
            <w:tcW w:w="1580" w:type="dxa"/>
            <w:vAlign w:val="bottom"/>
            <w:tcBorders>
              <w:bottom w:val="single" w:sz="8" w:color="C0C0C0"/>
            </w:tcBorders>
          </w:tcPr>
          <w:p>
            <w:pPr>
              <w:spacing w:after="0"/>
              <w:rPr>
                <w:sz w:val="22"/>
                <w:szCs w:val="22"/>
                <w:color w:val="auto"/>
              </w:rPr>
            </w:pPr>
          </w:p>
        </w:tc>
        <w:tc>
          <w:tcPr>
            <w:tcW w:w="3260" w:type="dxa"/>
            <w:vAlign w:val="bottom"/>
            <w:tcBorders>
              <w:bottom w:val="single" w:sz="8" w:color="C0C0C0"/>
            </w:tcBorders>
          </w:tcPr>
          <w:p>
            <w:pPr>
              <w:spacing w:after="0"/>
              <w:rPr>
                <w:sz w:val="22"/>
                <w:szCs w:val="22"/>
                <w:color w:val="auto"/>
              </w:rPr>
            </w:pPr>
          </w:p>
        </w:tc>
        <w:tc>
          <w:tcPr>
            <w:tcW w:w="2400" w:type="dxa"/>
            <w:vAlign w:val="bottom"/>
            <w:tcBorders>
              <w:bottom w:val="single" w:sz="8" w:color="C0C0C0"/>
            </w:tcBorders>
          </w:tcPr>
          <w:p>
            <w:pPr>
              <w:spacing w:after="0"/>
              <w:rPr>
                <w:sz w:val="22"/>
                <w:szCs w:val="22"/>
                <w:color w:val="auto"/>
              </w:rPr>
            </w:pPr>
          </w:p>
        </w:tc>
        <w:tc>
          <w:tcPr>
            <w:tcW w:w="1360" w:type="dxa"/>
            <w:vAlign w:val="bottom"/>
            <w:tcBorders>
              <w:bottom w:val="single" w:sz="8" w:color="C0C0C0"/>
            </w:tcBorders>
          </w:tcPr>
          <w:p>
            <w:pPr>
              <w:spacing w:after="0"/>
              <w:rPr>
                <w:sz w:val="22"/>
                <w:szCs w:val="22"/>
                <w:color w:val="auto"/>
              </w:rPr>
            </w:pPr>
          </w:p>
        </w:tc>
        <w:tc>
          <w:tcPr>
            <w:tcW w:w="1180" w:type="dxa"/>
            <w:vAlign w:val="bottom"/>
            <w:tcBorders>
              <w:bottom w:val="single" w:sz="8" w:color="C0C0C0"/>
            </w:tcBorders>
          </w:tcPr>
          <w:p>
            <w:pPr>
              <w:spacing w:after="0"/>
              <w:rPr>
                <w:sz w:val="22"/>
                <w:szCs w:val="22"/>
                <w:color w:val="auto"/>
              </w:rPr>
            </w:pPr>
          </w:p>
        </w:tc>
        <w:tc>
          <w:tcPr>
            <w:tcW w:w="14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-290830</wp:posOffset>
            </wp:positionV>
            <wp:extent cx="745490" cy="857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45490" cy="8572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24" w:name="page125"/>
    <w:bookmarkEnd w:id="124"/>
    <w:p>
      <w:pPr>
        <w:ind w:left="1580"/>
        <w:spacing w:after="0"/>
        <w:rPr>
          <w:sz w:val="20"/>
          <w:szCs w:val="20"/>
          <w:color w:val="auto"/>
        </w:rPr>
      </w:pPr>
      <w:r>
        <w:rPr>
          <w:rFonts w:ascii="Arial" w:cs="Arial" w:eastAsia="Arial" w:hAnsi="Arial"/>
          <w:sz w:val="64"/>
          <w:szCs w:val="64"/>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918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895"/>
                    </a:xfrm>
                    <a:prstGeom prst="rect">
                      <a:avLst/>
                    </a:prstGeom>
                    <a:noFill/>
                  </pic:spPr>
                </pic:pic>
              </a:graphicData>
            </a:graphic>
          </wp:anchor>
        </w:drawing>
        <w:t>APPENDIX B</w:t>
      </w:r>
    </w:p>
    <w:p>
      <w:pPr>
        <w:sectPr>
          <w:pgSz w:w="11900" w:h="16838" w:orient="portrait"/>
          <w:cols w:equalWidth="0" w:num="1">
            <w:col w:w="11240"/>
          </w:cols>
          <w:pgMar w:left="320" w:top="12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2952A4"/>
        </w:rPr>
        <w:t>Second Amended and Restated Regeneron Pharmaceuticals, Inc. 2014 Long-Term Incentive Plan</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 Purpose; Establishment</w:t>
      </w:r>
    </w:p>
    <w:p>
      <w:pPr>
        <w:spacing w:after="0" w:line="217" w:lineRule="exact"/>
        <w:rPr>
          <w:sz w:val="20"/>
          <w:szCs w:val="20"/>
          <w:color w:val="auto"/>
        </w:rPr>
      </w:pPr>
    </w:p>
    <w:p>
      <w:pPr>
        <w:ind w:left="1580" w:right="1660"/>
        <w:spacing w:after="0" w:line="229" w:lineRule="auto"/>
        <w:rPr>
          <w:sz w:val="20"/>
          <w:szCs w:val="20"/>
          <w:color w:val="auto"/>
        </w:rPr>
      </w:pPr>
      <w:r>
        <w:rPr>
          <w:rFonts w:ascii="Arial" w:cs="Arial" w:eastAsia="Arial" w:hAnsi="Arial"/>
          <w:sz w:val="15"/>
          <w:szCs w:val="15"/>
          <w:color w:val="231F20"/>
        </w:rPr>
        <w:t>The Second Amended and Restated Regeneron Pharmaceuticals, Inc. 2014 Long-Term Incentive Plan (the “</w:t>
      </w:r>
      <w:r>
        <w:rPr>
          <w:rFonts w:ascii="Arial" w:cs="Arial" w:eastAsia="Arial" w:hAnsi="Arial"/>
          <w:sz w:val="15"/>
          <w:szCs w:val="15"/>
          <w:u w:val="single" w:color="auto"/>
          <w:color w:val="231F20"/>
        </w:rPr>
        <w:t>Plan</w:t>
      </w:r>
      <w:r>
        <w:rPr>
          <w:rFonts w:ascii="Arial" w:cs="Arial" w:eastAsia="Arial" w:hAnsi="Arial"/>
          <w:sz w:val="15"/>
          <w:szCs w:val="15"/>
          <w:color w:val="231F20"/>
        </w:rPr>
        <w:t>”) is intended to promote the interests of the Company (as defined below) and its shareholders by providing officers, other employees of the Company (including directors who are also employees of the Company) and consultants to the Company with appropriate incentives and rewards to encourage them to enter into and continue in the employ or service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of the Company in fulfilling their personal responsibilities for long-term achievements.</w:t>
      </w:r>
    </w:p>
    <w:p>
      <w:pPr>
        <w:spacing w:after="0" w:line="141" w:lineRule="exact"/>
        <w:rPr>
          <w:sz w:val="20"/>
          <w:szCs w:val="20"/>
          <w:color w:val="auto"/>
        </w:rPr>
      </w:pPr>
    </w:p>
    <w:p>
      <w:pPr>
        <w:ind w:left="1580" w:right="1680"/>
        <w:spacing w:after="0" w:line="229" w:lineRule="auto"/>
        <w:rPr>
          <w:sz w:val="20"/>
          <w:szCs w:val="20"/>
          <w:color w:val="auto"/>
        </w:rPr>
      </w:pPr>
      <w:r>
        <w:rPr>
          <w:rFonts w:ascii="Arial" w:cs="Arial" w:eastAsia="Arial" w:hAnsi="Arial"/>
          <w:sz w:val="15"/>
          <w:szCs w:val="15"/>
          <w:color w:val="231F20"/>
        </w:rPr>
        <w:t>The Plan was originally adopted and approved by the Board of Directors (defined below) on April 4, 2014 and became effective as of such date, subject to the approval of the shareholders of the Company, which was obtained on June 13, 2014 (the “</w:t>
      </w:r>
      <w:r>
        <w:rPr>
          <w:rFonts w:ascii="Arial" w:cs="Arial" w:eastAsia="Arial" w:hAnsi="Arial"/>
          <w:sz w:val="15"/>
          <w:szCs w:val="15"/>
          <w:u w:val="single" w:color="auto"/>
          <w:color w:val="231F20"/>
        </w:rPr>
        <w:t>Original Plan</w:t>
      </w:r>
      <w:r>
        <w:rPr>
          <w:rFonts w:ascii="Arial" w:cs="Arial" w:eastAsia="Arial" w:hAnsi="Arial"/>
          <w:sz w:val="15"/>
          <w:szCs w:val="15"/>
          <w:color w:val="231F20"/>
        </w:rPr>
        <w:t>”). The initial amendment and restatement of the Plan was adopted and approved by the Board of Directors on April 6, 2017 and became effective as of such date, subject to the approval of the shareholders of the Company, which was obtained on June 9, 2017 (the “</w:t>
      </w:r>
      <w:r>
        <w:rPr>
          <w:rFonts w:ascii="Arial" w:cs="Arial" w:eastAsia="Arial" w:hAnsi="Arial"/>
          <w:sz w:val="15"/>
          <w:szCs w:val="15"/>
          <w:u w:val="single" w:color="auto"/>
          <w:color w:val="231F20"/>
        </w:rPr>
        <w:t>First Restatement</w:t>
      </w:r>
      <w:r>
        <w:rPr>
          <w:rFonts w:ascii="Arial" w:cs="Arial" w:eastAsia="Arial" w:hAnsi="Arial"/>
          <w:sz w:val="15"/>
          <w:szCs w:val="15"/>
          <w:color w:val="231F20"/>
        </w:rPr>
        <w:t>”). This second amendment and restatement of the Plan was adopted and approved by the Board of Directors on April 3, 2020 and became effective as of such date, subject to the approval of the shareholders of the Company.</w:t>
      </w:r>
    </w:p>
    <w:p>
      <w:pPr>
        <w:spacing w:after="0" w:line="1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 Definitions</w:t>
      </w:r>
    </w:p>
    <w:p>
      <w:pPr>
        <w:spacing w:after="0" w:line="217" w:lineRule="exact"/>
        <w:rPr>
          <w:sz w:val="20"/>
          <w:szCs w:val="20"/>
          <w:color w:val="auto"/>
        </w:rPr>
      </w:pPr>
    </w:p>
    <w:p>
      <w:pPr>
        <w:ind w:left="1580" w:right="2020"/>
        <w:spacing w:after="0" w:line="242" w:lineRule="auto"/>
        <w:rPr>
          <w:sz w:val="20"/>
          <w:szCs w:val="20"/>
          <w:color w:val="auto"/>
        </w:rPr>
      </w:pPr>
      <w:r>
        <w:rPr>
          <w:rFonts w:ascii="Arial" w:cs="Arial" w:eastAsia="Arial" w:hAnsi="Arial"/>
          <w:sz w:val="15"/>
          <w:szCs w:val="15"/>
          <w:color w:val="231F20"/>
        </w:rPr>
        <w:t>As used in the Plan, in addition to the terms defined elsewhere in the Plan, the following definitions shall have the respective meanings indicated below:</w:t>
      </w:r>
    </w:p>
    <w:p>
      <w:pPr>
        <w:spacing w:after="0" w:line="120" w:lineRule="exact"/>
        <w:rPr>
          <w:sz w:val="20"/>
          <w:szCs w:val="20"/>
          <w:color w:val="auto"/>
        </w:rPr>
      </w:pPr>
    </w:p>
    <w:p>
      <w:pPr>
        <w:ind w:left="1840" w:right="1580" w:hanging="320"/>
        <w:spacing w:after="0" w:line="239" w:lineRule="auto"/>
        <w:tabs>
          <w:tab w:leader="none" w:pos="1840" w:val="left"/>
        </w:tabs>
        <w:numPr>
          <w:ilvl w:val="0"/>
          <w:numId w:val="225"/>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“Affiliate” </w:t>
      </w:r>
      <w:r>
        <w:rPr>
          <w:rFonts w:ascii="Arial" w:cs="Arial" w:eastAsia="Arial" w:hAnsi="Arial"/>
          <w:sz w:val="15"/>
          <w:szCs w:val="15"/>
          <w:color w:val="231F20"/>
        </w:rPr>
        <w:t>means any entity if, at the time of granting of an Award (A) the Company, directly or indirectly, owns at</w:t>
      </w:r>
      <w:r>
        <w:rPr>
          <w:rFonts w:ascii="Arial" w:cs="Arial" w:eastAsia="Arial" w:hAnsi="Arial"/>
          <w:sz w:val="15"/>
          <w:szCs w:val="15"/>
          <w:b w:val="1"/>
          <w:bCs w:val="1"/>
          <w:color w:val="231F20"/>
        </w:rPr>
        <w:t xml:space="preserve"> </w:t>
      </w:r>
      <w:r>
        <w:rPr>
          <w:rFonts w:ascii="Arial" w:cs="Arial" w:eastAsia="Arial" w:hAnsi="Arial"/>
          <w:sz w:val="15"/>
          <w:szCs w:val="15"/>
          <w:color w:val="231F20"/>
        </w:rPr>
        <w:t>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122" w:lineRule="exact"/>
        <w:rPr>
          <w:rFonts w:ascii="Arial" w:cs="Arial" w:eastAsia="Arial" w:hAnsi="Arial"/>
          <w:sz w:val="15"/>
          <w:szCs w:val="15"/>
          <w:b w:val="1"/>
          <w:bCs w:val="1"/>
          <w:color w:val="231F20"/>
        </w:rPr>
      </w:pPr>
    </w:p>
    <w:p>
      <w:pPr>
        <w:ind w:left="1840" w:right="1540" w:hanging="320"/>
        <w:spacing w:after="0" w:line="267" w:lineRule="auto"/>
        <w:tabs>
          <w:tab w:leader="none" w:pos="1840" w:val="left"/>
        </w:tabs>
        <w:numPr>
          <w:ilvl w:val="0"/>
          <w:numId w:val="225"/>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“Agreement” </w:t>
      </w:r>
      <w:r>
        <w:rPr>
          <w:rFonts w:ascii="Arial" w:cs="Arial" w:eastAsia="Arial" w:hAnsi="Arial"/>
          <w:sz w:val="15"/>
          <w:szCs w:val="15"/>
          <w:color w:val="231F20"/>
        </w:rPr>
        <w:t>shall mean the written agreement between the Company and a Participant evidencing an Award (or, if</w:t>
      </w:r>
      <w:r>
        <w:rPr>
          <w:rFonts w:ascii="Arial" w:cs="Arial" w:eastAsia="Arial" w:hAnsi="Arial"/>
          <w:sz w:val="15"/>
          <w:szCs w:val="15"/>
          <w:b w:val="1"/>
          <w:bCs w:val="1"/>
          <w:color w:val="231F20"/>
        </w:rPr>
        <w:t xml:space="preserve"> </w:t>
      </w:r>
      <w:r>
        <w:rPr>
          <w:rFonts w:ascii="Arial" w:cs="Arial" w:eastAsia="Arial" w:hAnsi="Arial"/>
          <w:sz w:val="15"/>
          <w:szCs w:val="15"/>
          <w:color w:val="231F20"/>
        </w:rPr>
        <w:t>no written agreement is entered into, a notice issued by the Company evidencing an Award).</w:t>
      </w:r>
    </w:p>
    <w:p>
      <w:pPr>
        <w:spacing w:after="0" w:line="102" w:lineRule="exact"/>
        <w:rPr>
          <w:rFonts w:ascii="Arial" w:cs="Arial" w:eastAsia="Arial" w:hAnsi="Arial"/>
          <w:sz w:val="15"/>
          <w:szCs w:val="15"/>
          <w:b w:val="1"/>
          <w:bCs w:val="1"/>
          <w:color w:val="231F20"/>
        </w:rPr>
      </w:pPr>
    </w:p>
    <w:p>
      <w:pPr>
        <w:ind w:left="1840" w:right="1580" w:hanging="320"/>
        <w:spacing w:after="0" w:line="267" w:lineRule="auto"/>
        <w:tabs>
          <w:tab w:leader="none" w:pos="1840" w:val="left"/>
        </w:tabs>
        <w:numPr>
          <w:ilvl w:val="0"/>
          <w:numId w:val="225"/>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“Award” </w:t>
      </w:r>
      <w:r>
        <w:rPr>
          <w:rFonts w:ascii="Arial" w:cs="Arial" w:eastAsia="Arial" w:hAnsi="Arial"/>
          <w:sz w:val="15"/>
          <w:szCs w:val="15"/>
          <w:color w:val="231F20"/>
        </w:rPr>
        <w:t>shall mean any Option, Restricted Stock, Phantom Stock, Stock Appreciation Right, Stock Bonus or Other</w:t>
      </w:r>
      <w:r>
        <w:rPr>
          <w:rFonts w:ascii="Arial" w:cs="Arial" w:eastAsia="Arial" w:hAnsi="Arial"/>
          <w:sz w:val="15"/>
          <w:szCs w:val="15"/>
          <w:b w:val="1"/>
          <w:bCs w:val="1"/>
          <w:color w:val="231F20"/>
        </w:rPr>
        <w:t xml:space="preserve"> </w:t>
      </w:r>
      <w:r>
        <w:rPr>
          <w:rFonts w:ascii="Arial" w:cs="Arial" w:eastAsia="Arial" w:hAnsi="Arial"/>
          <w:sz w:val="15"/>
          <w:szCs w:val="15"/>
          <w:color w:val="231F20"/>
        </w:rPr>
        <w:t>Award granted pursuant to the terms of the Plan.</w:t>
      </w:r>
    </w:p>
    <w:p>
      <w:pPr>
        <w:spacing w:after="0" w:line="102" w:lineRule="exact"/>
        <w:rPr>
          <w:rFonts w:ascii="Arial" w:cs="Arial" w:eastAsia="Arial" w:hAnsi="Arial"/>
          <w:sz w:val="15"/>
          <w:szCs w:val="15"/>
          <w:b w:val="1"/>
          <w:bCs w:val="1"/>
          <w:color w:val="231F20"/>
        </w:rPr>
      </w:pPr>
    </w:p>
    <w:p>
      <w:pPr>
        <w:ind w:left="1840" w:right="1620" w:hanging="320"/>
        <w:spacing w:after="0" w:line="267" w:lineRule="auto"/>
        <w:tabs>
          <w:tab w:leader="none" w:pos="1840" w:val="left"/>
        </w:tabs>
        <w:numPr>
          <w:ilvl w:val="0"/>
          <w:numId w:val="225"/>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“Beneficial Owner” </w:t>
      </w:r>
      <w:r>
        <w:rPr>
          <w:rFonts w:ascii="Arial" w:cs="Arial" w:eastAsia="Arial" w:hAnsi="Arial"/>
          <w:sz w:val="15"/>
          <w:szCs w:val="15"/>
          <w:color w:val="231F20"/>
        </w:rPr>
        <w:t>and</w:t>
      </w:r>
      <w:r>
        <w:rPr>
          <w:rFonts w:ascii="Arial" w:cs="Arial" w:eastAsia="Arial" w:hAnsi="Arial"/>
          <w:sz w:val="15"/>
          <w:szCs w:val="15"/>
          <w:b w:val="1"/>
          <w:bCs w:val="1"/>
          <w:color w:val="231F20"/>
        </w:rPr>
        <w:t xml:space="preserve"> “Beneficially Owned” </w:t>
      </w:r>
      <w:r>
        <w:rPr>
          <w:rFonts w:ascii="Arial" w:cs="Arial" w:eastAsia="Arial" w:hAnsi="Arial"/>
          <w:sz w:val="15"/>
          <w:szCs w:val="15"/>
          <w:color w:val="231F20"/>
        </w:rPr>
        <w:t>shall have the meaning afforded to such terms in accordance with</w:t>
      </w:r>
      <w:r>
        <w:rPr>
          <w:rFonts w:ascii="Arial" w:cs="Arial" w:eastAsia="Arial" w:hAnsi="Arial"/>
          <w:sz w:val="15"/>
          <w:szCs w:val="15"/>
          <w:b w:val="1"/>
          <w:bCs w:val="1"/>
          <w:color w:val="231F20"/>
        </w:rPr>
        <w:t xml:space="preserve"> </w:t>
      </w:r>
      <w:r>
        <w:rPr>
          <w:rFonts w:ascii="Arial" w:cs="Arial" w:eastAsia="Arial" w:hAnsi="Arial"/>
          <w:sz w:val="15"/>
          <w:szCs w:val="15"/>
          <w:color w:val="231F20"/>
        </w:rPr>
        <w:t>Rule 13d-3 under the Exchange Act.</w:t>
      </w:r>
    </w:p>
    <w:p>
      <w:pPr>
        <w:spacing w:after="0" w:line="102" w:lineRule="exact"/>
        <w:rPr>
          <w:rFonts w:ascii="Arial" w:cs="Arial" w:eastAsia="Arial" w:hAnsi="Arial"/>
          <w:sz w:val="15"/>
          <w:szCs w:val="15"/>
          <w:b w:val="1"/>
          <w:bCs w:val="1"/>
          <w:color w:val="231F20"/>
        </w:rPr>
      </w:pPr>
    </w:p>
    <w:p>
      <w:pPr>
        <w:ind w:left="1840" w:hanging="320"/>
        <w:spacing w:after="0"/>
        <w:tabs>
          <w:tab w:leader="none" w:pos="1840" w:val="left"/>
        </w:tabs>
        <w:numPr>
          <w:ilvl w:val="0"/>
          <w:numId w:val="225"/>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“Board of Directors” </w:t>
      </w:r>
      <w:r>
        <w:rPr>
          <w:rFonts w:ascii="Arial" w:cs="Arial" w:eastAsia="Arial" w:hAnsi="Arial"/>
          <w:sz w:val="15"/>
          <w:szCs w:val="15"/>
          <w:color w:val="231F20"/>
        </w:rPr>
        <w:t>shall mean the Board of Directors of Regeneron Pharmaceuticals, Inc.</w:t>
      </w:r>
    </w:p>
    <w:p>
      <w:pPr>
        <w:spacing w:after="0" w:line="151" w:lineRule="exact"/>
        <w:rPr>
          <w:rFonts w:ascii="Arial" w:cs="Arial" w:eastAsia="Arial" w:hAnsi="Arial"/>
          <w:sz w:val="15"/>
          <w:szCs w:val="15"/>
          <w:b w:val="1"/>
          <w:bCs w:val="1"/>
          <w:color w:val="231F20"/>
        </w:rPr>
      </w:pPr>
    </w:p>
    <w:p>
      <w:pPr>
        <w:ind w:left="1840" w:right="1560" w:hanging="320"/>
        <w:spacing w:after="0" w:line="267" w:lineRule="auto"/>
        <w:tabs>
          <w:tab w:leader="none" w:pos="1840" w:val="left"/>
        </w:tabs>
        <w:numPr>
          <w:ilvl w:val="0"/>
          <w:numId w:val="225"/>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“Change in Control” </w:t>
      </w:r>
      <w:r>
        <w:rPr>
          <w:rFonts w:ascii="Arial" w:cs="Arial" w:eastAsia="Arial" w:hAnsi="Arial"/>
          <w:sz w:val="15"/>
          <w:szCs w:val="15"/>
          <w:color w:val="231F20"/>
        </w:rPr>
        <w:t>shall be deemed to have occurred if the event set forth in any one of the following paragraphs</w:t>
      </w:r>
      <w:r>
        <w:rPr>
          <w:rFonts w:ascii="Arial" w:cs="Arial" w:eastAsia="Arial" w:hAnsi="Arial"/>
          <w:sz w:val="15"/>
          <w:szCs w:val="15"/>
          <w:b w:val="1"/>
          <w:bCs w:val="1"/>
          <w:color w:val="231F20"/>
        </w:rPr>
        <w:t xml:space="preserve"> </w:t>
      </w:r>
      <w:r>
        <w:rPr>
          <w:rFonts w:ascii="Arial" w:cs="Arial" w:eastAsia="Arial" w:hAnsi="Arial"/>
          <w:sz w:val="15"/>
          <w:szCs w:val="15"/>
          <w:color w:val="231F20"/>
        </w:rPr>
        <w:t>shall have occurred after the Effective Date:</w:t>
      </w:r>
    </w:p>
    <w:p>
      <w:pPr>
        <w:spacing w:after="0" w:line="120" w:lineRule="exact"/>
        <w:rPr>
          <w:rFonts w:ascii="Arial" w:cs="Arial" w:eastAsia="Arial" w:hAnsi="Arial"/>
          <w:sz w:val="15"/>
          <w:szCs w:val="15"/>
          <w:b w:val="1"/>
          <w:bCs w:val="1"/>
          <w:color w:val="231F20"/>
        </w:rPr>
      </w:pPr>
    </w:p>
    <w:p>
      <w:pPr>
        <w:ind w:left="2220" w:right="1540" w:hanging="322"/>
        <w:spacing w:after="0" w:line="231" w:lineRule="auto"/>
        <w:tabs>
          <w:tab w:leader="none" w:pos="2220" w:val="left"/>
        </w:tabs>
        <w:numPr>
          <w:ilvl w:val="1"/>
          <w:numId w:val="225"/>
        </w:numPr>
        <w:rPr>
          <w:rFonts w:ascii="Arial" w:cs="Arial" w:eastAsia="Arial" w:hAnsi="Arial"/>
          <w:sz w:val="15"/>
          <w:szCs w:val="15"/>
          <w:color w:val="231F20"/>
        </w:rPr>
      </w:pPr>
      <w:r>
        <w:rPr>
          <w:rFonts w:ascii="Arial" w:cs="Arial" w:eastAsia="Arial" w:hAnsi="Arial"/>
          <w:sz w:val="15"/>
          <w:szCs w:val="15"/>
          <w:color w:val="231F20"/>
        </w:rPr>
        <w:t>any Person is or becomes the Beneficial Owner,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113</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25" w:name="page126"/>
    <w:bookmarkEnd w:id="125"/>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22" w:lineRule="exact"/>
        <w:rPr>
          <w:sz w:val="20"/>
          <w:szCs w:val="20"/>
          <w:color w:val="auto"/>
        </w:rPr>
      </w:pPr>
    </w:p>
    <w:p>
      <w:pPr>
        <w:ind w:left="1100" w:right="359" w:hanging="322"/>
        <w:spacing w:after="0" w:line="229" w:lineRule="auto"/>
        <w:tabs>
          <w:tab w:leader="none" w:pos="1100" w:val="left"/>
        </w:tabs>
        <w:numPr>
          <w:ilvl w:val="1"/>
          <w:numId w:val="226"/>
        </w:numPr>
        <w:rPr>
          <w:rFonts w:ascii="Arial" w:cs="Arial" w:eastAsia="Arial" w:hAnsi="Arial"/>
          <w:sz w:val="15"/>
          <w:szCs w:val="15"/>
          <w:color w:val="231F20"/>
        </w:rPr>
      </w:pPr>
      <w:r>
        <w:rPr>
          <w:rFonts w:ascii="Arial" w:cs="Arial" w:eastAsia="Arial" w:hAnsi="Arial"/>
          <w:sz w:val="15"/>
          <w:szCs w:val="15"/>
          <w:color w:val="231F20"/>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41" w:lineRule="exact"/>
        <w:rPr>
          <w:rFonts w:ascii="Arial" w:cs="Arial" w:eastAsia="Arial" w:hAnsi="Arial"/>
          <w:sz w:val="15"/>
          <w:szCs w:val="15"/>
          <w:color w:val="231F20"/>
        </w:rPr>
      </w:pPr>
    </w:p>
    <w:p>
      <w:pPr>
        <w:ind w:left="1100" w:right="399" w:hanging="322"/>
        <w:spacing w:after="0" w:line="228" w:lineRule="auto"/>
        <w:tabs>
          <w:tab w:leader="none" w:pos="1100" w:val="left"/>
        </w:tabs>
        <w:numPr>
          <w:ilvl w:val="1"/>
          <w:numId w:val="226"/>
        </w:numPr>
        <w:rPr>
          <w:rFonts w:ascii="Arial" w:cs="Arial" w:eastAsia="Arial" w:hAnsi="Arial"/>
          <w:sz w:val="15"/>
          <w:szCs w:val="15"/>
          <w:color w:val="231F20"/>
        </w:rPr>
      </w:pPr>
      <w:r>
        <w:rPr>
          <w:rFonts w:ascii="Arial" w:cs="Arial" w:eastAsia="Arial" w:hAnsi="Arial"/>
          <w:sz w:val="15"/>
          <w:szCs w:val="15"/>
          <w:color w:val="231F20"/>
        </w:rPr>
        <w:t>there is consummated a merger or consolidation of the Company or any directly or indirectly held subsidiary of the Company with any entity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43" w:lineRule="exact"/>
        <w:rPr>
          <w:rFonts w:ascii="Arial" w:cs="Arial" w:eastAsia="Arial" w:hAnsi="Arial"/>
          <w:sz w:val="15"/>
          <w:szCs w:val="15"/>
          <w:color w:val="231F20"/>
        </w:rPr>
      </w:pPr>
    </w:p>
    <w:p>
      <w:pPr>
        <w:ind w:left="1100" w:right="399" w:hanging="322"/>
        <w:spacing w:after="0" w:line="231" w:lineRule="auto"/>
        <w:tabs>
          <w:tab w:leader="none" w:pos="1100" w:val="left"/>
        </w:tabs>
        <w:numPr>
          <w:ilvl w:val="1"/>
          <w:numId w:val="226"/>
        </w:numPr>
        <w:rPr>
          <w:rFonts w:ascii="Arial" w:cs="Arial" w:eastAsia="Arial" w:hAnsi="Arial"/>
          <w:sz w:val="15"/>
          <w:szCs w:val="15"/>
          <w:color w:val="231F20"/>
        </w:rPr>
      </w:pPr>
      <w:r>
        <w:rPr>
          <w:rFonts w:ascii="Arial" w:cs="Arial" w:eastAsia="Arial" w:hAnsi="Arial"/>
          <w:sz w:val="15"/>
          <w:szCs w:val="15"/>
          <w:color w:val="231F20"/>
        </w:rPr>
        <w:t>the shareholders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Persons in substantially the same proportions as their ownership of the Company immediately prior to such sale or disposition.</w:t>
      </w:r>
    </w:p>
    <w:p>
      <w:pPr>
        <w:spacing w:after="0" w:line="123" w:lineRule="exact"/>
        <w:rPr>
          <w:rFonts w:ascii="Arial" w:cs="Arial" w:eastAsia="Arial" w:hAnsi="Arial"/>
          <w:sz w:val="15"/>
          <w:szCs w:val="15"/>
          <w:color w:val="231F20"/>
        </w:rPr>
      </w:pPr>
    </w:p>
    <w:p>
      <w:pPr>
        <w:ind w:left="780" w:right="639" w:hanging="326"/>
        <w:spacing w:after="0" w:line="267" w:lineRule="auto"/>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“Cause” </w:t>
      </w:r>
      <w:r>
        <w:rPr>
          <w:rFonts w:ascii="Arial" w:cs="Arial" w:eastAsia="Arial" w:hAnsi="Arial"/>
          <w:sz w:val="15"/>
          <w:szCs w:val="15"/>
          <w:color w:val="231F20"/>
        </w:rPr>
        <w:t>shall have the meaning set forth in the Agreement, or if no such definition is set forth in the Agreement,</w:t>
      </w:r>
      <w:r>
        <w:rPr>
          <w:rFonts w:ascii="Arial" w:cs="Arial" w:eastAsia="Arial" w:hAnsi="Arial"/>
          <w:sz w:val="15"/>
          <w:szCs w:val="15"/>
          <w:b w:val="1"/>
          <w:bCs w:val="1"/>
          <w:color w:val="231F20"/>
        </w:rPr>
        <w:t xml:space="preserve"> </w:t>
      </w:r>
      <w:r>
        <w:rPr>
          <w:rFonts w:ascii="Arial" w:cs="Arial" w:eastAsia="Arial" w:hAnsi="Arial"/>
          <w:sz w:val="15"/>
          <w:szCs w:val="15"/>
          <w:color w:val="231F20"/>
        </w:rPr>
        <w:t>shall be determined by the Committee in its reasonable discretion.</w:t>
      </w:r>
    </w:p>
    <w:p>
      <w:pPr>
        <w:spacing w:after="0" w:line="102" w:lineRule="exact"/>
        <w:rPr>
          <w:rFonts w:ascii="Arial" w:cs="Arial" w:eastAsia="Arial" w:hAnsi="Arial"/>
          <w:sz w:val="15"/>
          <w:szCs w:val="15"/>
          <w:b w:val="1"/>
          <w:bCs w:val="1"/>
          <w:color w:val="231F20"/>
        </w:rPr>
      </w:pPr>
    </w:p>
    <w:p>
      <w:pPr>
        <w:ind w:left="780" w:right="979" w:hanging="326"/>
        <w:spacing w:after="0" w:line="267" w:lineRule="auto"/>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“Code” </w:t>
      </w:r>
      <w:r>
        <w:rPr>
          <w:rFonts w:ascii="Arial" w:cs="Arial" w:eastAsia="Arial" w:hAnsi="Arial"/>
          <w:sz w:val="15"/>
          <w:szCs w:val="15"/>
          <w:color w:val="231F20"/>
        </w:rPr>
        <w:t>shall mean the Internal Revenue Code of 1986, as amended from time to time, and any regulations</w:t>
      </w:r>
      <w:r>
        <w:rPr>
          <w:rFonts w:ascii="Arial" w:cs="Arial" w:eastAsia="Arial" w:hAnsi="Arial"/>
          <w:sz w:val="15"/>
          <w:szCs w:val="15"/>
          <w:b w:val="1"/>
          <w:bCs w:val="1"/>
          <w:color w:val="231F20"/>
        </w:rPr>
        <w:t xml:space="preserve"> </w:t>
      </w:r>
      <w:r>
        <w:rPr>
          <w:rFonts w:ascii="Arial" w:cs="Arial" w:eastAsia="Arial" w:hAnsi="Arial"/>
          <w:sz w:val="15"/>
          <w:szCs w:val="15"/>
          <w:color w:val="231F20"/>
        </w:rPr>
        <w:t>promulgated thereunder.</w:t>
      </w:r>
    </w:p>
    <w:p>
      <w:pPr>
        <w:spacing w:after="0" w:line="102" w:lineRule="exact"/>
        <w:rPr>
          <w:rFonts w:ascii="Arial" w:cs="Arial" w:eastAsia="Arial" w:hAnsi="Arial"/>
          <w:sz w:val="15"/>
          <w:szCs w:val="15"/>
          <w:b w:val="1"/>
          <w:bCs w:val="1"/>
          <w:color w:val="231F20"/>
        </w:rPr>
      </w:pPr>
    </w:p>
    <w:p>
      <w:pPr>
        <w:ind w:left="780" w:right="359" w:hanging="326"/>
        <w:spacing w:after="0" w:line="239" w:lineRule="auto"/>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“Committee” </w:t>
      </w:r>
      <w:r>
        <w:rPr>
          <w:rFonts w:ascii="Arial" w:cs="Arial" w:eastAsia="Arial" w:hAnsi="Arial"/>
          <w:sz w:val="15"/>
          <w:szCs w:val="15"/>
          <w:color w:val="231F20"/>
        </w:rPr>
        <w:t>shall mean, at the discretion of the Board of Directors, the full Board of Directors or a committee of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Board of Directors, which shall consist of two or more persons, each of whom, unless otherwise determined by the Board of Directors, is a “Non-Employee Director” within the meaning of Rule 16b-3 and who meets such other applicable independence standards imposed by law, regulation or listing standard.</w:t>
      </w:r>
    </w:p>
    <w:p>
      <w:pPr>
        <w:spacing w:after="0" w:line="122" w:lineRule="exact"/>
        <w:rPr>
          <w:rFonts w:ascii="Arial" w:cs="Arial" w:eastAsia="Arial" w:hAnsi="Arial"/>
          <w:sz w:val="15"/>
          <w:szCs w:val="15"/>
          <w:b w:val="1"/>
          <w:bCs w:val="1"/>
          <w:color w:val="231F20"/>
        </w:rPr>
      </w:pPr>
    </w:p>
    <w:p>
      <w:pPr>
        <w:ind w:left="780" w:right="679" w:hanging="326"/>
        <w:spacing w:after="0" w:line="267" w:lineRule="auto"/>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“Company” </w:t>
      </w:r>
      <w:r>
        <w:rPr>
          <w:rFonts w:ascii="Arial" w:cs="Arial" w:eastAsia="Arial" w:hAnsi="Arial"/>
          <w:sz w:val="15"/>
          <w:szCs w:val="15"/>
          <w:color w:val="231F20"/>
        </w:rPr>
        <w:t>shall mean Regeneron Pharmaceuticals, Inc., a New York corporation, and, where appropriate (but</w:t>
      </w:r>
      <w:r>
        <w:rPr>
          <w:rFonts w:ascii="Arial" w:cs="Arial" w:eastAsia="Arial" w:hAnsi="Arial"/>
          <w:sz w:val="15"/>
          <w:szCs w:val="15"/>
          <w:b w:val="1"/>
          <w:bCs w:val="1"/>
          <w:color w:val="231F20"/>
        </w:rPr>
        <w:t xml:space="preserve"> </w:t>
      </w:r>
      <w:r>
        <w:rPr>
          <w:rFonts w:ascii="Arial" w:cs="Arial" w:eastAsia="Arial" w:hAnsi="Arial"/>
          <w:sz w:val="15"/>
          <w:szCs w:val="15"/>
          <w:color w:val="231F20"/>
        </w:rPr>
        <w:t>specifically not for purposes of Section 2(f) hereof), each of its Affiliates.</w:t>
      </w:r>
    </w:p>
    <w:p>
      <w:pPr>
        <w:spacing w:after="0" w:line="102"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“Company Stock” </w:t>
      </w:r>
      <w:r>
        <w:rPr>
          <w:rFonts w:ascii="Arial" w:cs="Arial" w:eastAsia="Arial" w:hAnsi="Arial"/>
          <w:sz w:val="15"/>
          <w:szCs w:val="15"/>
          <w:color w:val="231F20"/>
        </w:rPr>
        <w:t>shall mean the common stock of the Company, par value $0.001 per share.</w:t>
      </w:r>
    </w:p>
    <w:p>
      <w:pPr>
        <w:spacing w:after="0" w:line="151"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“Effective Date” </w:t>
      </w:r>
      <w:r>
        <w:rPr>
          <w:rFonts w:ascii="Arial" w:cs="Arial" w:eastAsia="Arial" w:hAnsi="Arial"/>
          <w:sz w:val="15"/>
          <w:szCs w:val="15"/>
          <w:color w:val="231F20"/>
        </w:rPr>
        <w:t>shall mean April 3, 2020.</w:t>
      </w:r>
    </w:p>
    <w:p>
      <w:pPr>
        <w:spacing w:after="0" w:line="151"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“Exchange Act” </w:t>
      </w:r>
      <w:r>
        <w:rPr>
          <w:rFonts w:ascii="Arial" w:cs="Arial" w:eastAsia="Arial" w:hAnsi="Arial"/>
          <w:sz w:val="15"/>
          <w:szCs w:val="15"/>
          <w:color w:val="231F20"/>
        </w:rPr>
        <w:t>shall mean the Securities Exchange Act of 1934, as amended from time to time.</w:t>
      </w:r>
    </w:p>
    <w:p>
      <w:pPr>
        <w:spacing w:after="0" w:line="151" w:lineRule="exact"/>
        <w:rPr>
          <w:rFonts w:ascii="Arial" w:cs="Arial" w:eastAsia="Arial" w:hAnsi="Arial"/>
          <w:sz w:val="15"/>
          <w:szCs w:val="15"/>
          <w:b w:val="1"/>
          <w:bCs w:val="1"/>
          <w:color w:val="231F20"/>
        </w:rPr>
      </w:pPr>
    </w:p>
    <w:p>
      <w:pPr>
        <w:ind w:left="780" w:right="379" w:hanging="326"/>
        <w:spacing w:after="0" w:line="234" w:lineRule="auto"/>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“Fair Market Value” </w:t>
      </w:r>
      <w:r>
        <w:rPr>
          <w:rFonts w:ascii="Arial" w:cs="Arial" w:eastAsia="Arial" w:hAnsi="Arial"/>
          <w:sz w:val="15"/>
          <w:szCs w:val="15"/>
          <w:color w:val="231F20"/>
        </w:rPr>
        <w:t>of a share of Company Stock, as of a date of determination, shall mean (1) the average of the</w:t>
      </w:r>
      <w:r>
        <w:rPr>
          <w:rFonts w:ascii="Arial" w:cs="Arial" w:eastAsia="Arial" w:hAnsi="Arial"/>
          <w:sz w:val="15"/>
          <w:szCs w:val="15"/>
          <w:b w:val="1"/>
          <w:bCs w:val="1"/>
          <w:color w:val="231F20"/>
        </w:rPr>
        <w:t xml:space="preserve"> </w:t>
      </w:r>
      <w:r>
        <w:rPr>
          <w:rFonts w:ascii="Arial" w:cs="Arial" w:eastAsia="Arial" w:hAnsi="Arial"/>
          <w:sz w:val="15"/>
          <w:szCs w:val="15"/>
          <w:color w:val="231F20"/>
        </w:rPr>
        <w:t>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24" w:lineRule="exact"/>
        <w:rPr>
          <w:rFonts w:ascii="Arial" w:cs="Arial" w:eastAsia="Arial" w:hAnsi="Arial"/>
          <w:sz w:val="15"/>
          <w:szCs w:val="15"/>
          <w:b w:val="1"/>
          <w:bCs w:val="1"/>
          <w:color w:val="231F20"/>
        </w:rPr>
      </w:pPr>
    </w:p>
    <w:p>
      <w:pPr>
        <w:ind w:left="780" w:right="399" w:hanging="326"/>
        <w:spacing w:after="0" w:line="267" w:lineRule="auto"/>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“Incentive Stock Option” </w:t>
      </w:r>
      <w:r>
        <w:rPr>
          <w:rFonts w:ascii="Arial" w:cs="Arial" w:eastAsia="Arial" w:hAnsi="Arial"/>
          <w:sz w:val="15"/>
          <w:szCs w:val="15"/>
          <w:color w:val="231F20"/>
        </w:rPr>
        <w:t>shall mean an Option that is an “incentive stock option” within the meaning of Section</w:t>
      </w:r>
      <w:r>
        <w:rPr>
          <w:rFonts w:ascii="Arial" w:cs="Arial" w:eastAsia="Arial" w:hAnsi="Arial"/>
          <w:sz w:val="15"/>
          <w:szCs w:val="15"/>
          <w:b w:val="1"/>
          <w:bCs w:val="1"/>
          <w:color w:val="231F20"/>
        </w:rPr>
        <w:t xml:space="preserve"> </w:t>
      </w:r>
      <w:r>
        <w:rPr>
          <w:rFonts w:ascii="Arial" w:cs="Arial" w:eastAsia="Arial" w:hAnsi="Arial"/>
          <w:sz w:val="15"/>
          <w:szCs w:val="15"/>
          <w:color w:val="231F20"/>
        </w:rPr>
        <w:t>422 of the Code, or any successor provision, and that is designated by the Committee as an Incentive Stock Option.</w:t>
      </w:r>
    </w:p>
    <w:p>
      <w:pPr>
        <w:spacing w:after="0" w:line="102"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27"/>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“Nonemployee Director” </w:t>
      </w:r>
      <w:r>
        <w:rPr>
          <w:rFonts w:ascii="Arial" w:cs="Arial" w:eastAsia="Arial" w:hAnsi="Arial"/>
          <w:sz w:val="15"/>
          <w:szCs w:val="15"/>
          <w:color w:val="231F20"/>
        </w:rPr>
        <w:t>shall mean a member of the Board of Directors who is not an employee of the Company.</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114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26" w:name="page127"/>
    <w:bookmarkEnd w:id="126"/>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4" w:lineRule="exact"/>
        <w:rPr>
          <w:sz w:val="20"/>
          <w:szCs w:val="20"/>
          <w:color w:val="auto"/>
        </w:rPr>
      </w:pPr>
    </w:p>
    <w:p>
      <w:pPr>
        <w:ind w:left="1900" w:hanging="326"/>
        <w:spacing w:after="0"/>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“Nonqualified Stock Option” </w:t>
      </w:r>
      <w:r>
        <w:rPr>
          <w:rFonts w:ascii="Arial" w:cs="Arial" w:eastAsia="Arial" w:hAnsi="Arial"/>
          <w:sz w:val="15"/>
          <w:szCs w:val="15"/>
          <w:color w:val="231F20"/>
        </w:rPr>
        <w:t>shall mean an Option other than an Incentive Stock Option.</w:t>
      </w:r>
    </w:p>
    <w:p>
      <w:pPr>
        <w:spacing w:after="0" w:line="151"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“Option” </w:t>
      </w:r>
      <w:r>
        <w:rPr>
          <w:rFonts w:ascii="Arial" w:cs="Arial" w:eastAsia="Arial" w:hAnsi="Arial"/>
          <w:sz w:val="15"/>
          <w:szCs w:val="15"/>
          <w:color w:val="231F20"/>
        </w:rPr>
        <w:t>shall mean an option to purchase shares of Company Stock granted pursuant to Section 7 hereof.</w:t>
      </w:r>
    </w:p>
    <w:p>
      <w:pPr>
        <w:spacing w:after="0" w:line="151"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“Other Award” </w:t>
      </w:r>
      <w:r>
        <w:rPr>
          <w:rFonts w:ascii="Arial" w:cs="Arial" w:eastAsia="Arial" w:hAnsi="Arial"/>
          <w:sz w:val="15"/>
          <w:szCs w:val="15"/>
          <w:color w:val="231F20"/>
        </w:rPr>
        <w:t>shall mean an award granted pursuant to Section 11 hereof.</w:t>
      </w:r>
    </w:p>
    <w:p>
      <w:pPr>
        <w:spacing w:after="0" w:line="151" w:lineRule="exact"/>
        <w:rPr>
          <w:rFonts w:ascii="Arial" w:cs="Arial" w:eastAsia="Arial" w:hAnsi="Arial"/>
          <w:sz w:val="15"/>
          <w:szCs w:val="15"/>
          <w:b w:val="1"/>
          <w:bCs w:val="1"/>
          <w:color w:val="231F20"/>
        </w:rPr>
      </w:pPr>
    </w:p>
    <w:p>
      <w:pPr>
        <w:ind w:left="1900" w:right="1480" w:hanging="326"/>
        <w:spacing w:after="0" w:line="246" w:lineRule="auto"/>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“Participant” </w:t>
      </w:r>
      <w:r>
        <w:rPr>
          <w:rFonts w:ascii="Arial" w:cs="Arial" w:eastAsia="Arial" w:hAnsi="Arial"/>
          <w:sz w:val="15"/>
          <w:szCs w:val="15"/>
          <w:color w:val="231F20"/>
        </w:rPr>
        <w:t>shall mean an employee or consultant of the Company or a Nonemployee Director to whom an Award</w:t>
      </w:r>
      <w:r>
        <w:rPr>
          <w:rFonts w:ascii="Arial" w:cs="Arial" w:eastAsia="Arial" w:hAnsi="Arial"/>
          <w:sz w:val="15"/>
          <w:szCs w:val="15"/>
          <w:b w:val="1"/>
          <w:bCs w:val="1"/>
          <w:color w:val="231F20"/>
        </w:rPr>
        <w:t xml:space="preserve"> </w:t>
      </w:r>
      <w:r>
        <w:rPr>
          <w:rFonts w:ascii="Arial" w:cs="Arial" w:eastAsia="Arial" w:hAnsi="Arial"/>
          <w:sz w:val="15"/>
          <w:szCs w:val="15"/>
          <w:color w:val="231F20"/>
        </w:rPr>
        <w:t>is granted pursuant to the Plan, or upon the death of such individual, his or her successors, heirs, executors and administrators, as the case may be.</w:t>
      </w:r>
    </w:p>
    <w:p>
      <w:pPr>
        <w:spacing w:after="0" w:line="117" w:lineRule="exact"/>
        <w:rPr>
          <w:rFonts w:ascii="Arial" w:cs="Arial" w:eastAsia="Arial" w:hAnsi="Arial"/>
          <w:sz w:val="15"/>
          <w:szCs w:val="15"/>
          <w:b w:val="1"/>
          <w:bCs w:val="1"/>
          <w:color w:val="231F20"/>
        </w:rPr>
      </w:pPr>
    </w:p>
    <w:p>
      <w:pPr>
        <w:ind w:left="1900" w:right="1500" w:hanging="326"/>
        <w:spacing w:after="0" w:line="236" w:lineRule="auto"/>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“Person” </w:t>
      </w:r>
      <w:r>
        <w:rPr>
          <w:rFonts w:ascii="Arial" w:cs="Arial" w:eastAsia="Arial" w:hAnsi="Arial"/>
          <w:sz w:val="15"/>
          <w:szCs w:val="15"/>
          <w:color w:val="231F20"/>
        </w:rPr>
        <w:t>shall have the meaning set forth in Section 3(a)(9) of the Exchange Act, as modified and used in Sections</w:t>
      </w:r>
      <w:r>
        <w:rPr>
          <w:rFonts w:ascii="Arial" w:cs="Arial" w:eastAsia="Arial" w:hAnsi="Arial"/>
          <w:sz w:val="15"/>
          <w:szCs w:val="15"/>
          <w:b w:val="1"/>
          <w:bCs w:val="1"/>
          <w:color w:val="231F20"/>
        </w:rPr>
        <w:t xml:space="preserve"> </w:t>
      </w:r>
      <w:r>
        <w:rPr>
          <w:rFonts w:ascii="Arial" w:cs="Arial" w:eastAsia="Arial" w:hAnsi="Arial"/>
          <w:sz w:val="15"/>
          <w:szCs w:val="15"/>
          <w:color w:val="231F20"/>
        </w:rPr>
        <w:t>13(d) and 14(d) thereof, except that such term shall not include (1) the Company, (2) a trustee or other fiduciary holding securities under an employee benefit plan of the Company, (3) an underwriter temporarily holding securities pursuant to an offering of such securities, or (4) an entity owned, directly or indirectly, by the shareholders of the Company in substantially the same proportions as their ownership of stock of the Company.</w:t>
      </w:r>
    </w:p>
    <w:p>
      <w:pPr>
        <w:spacing w:after="0" w:line="123" w:lineRule="exact"/>
        <w:rPr>
          <w:rFonts w:ascii="Arial" w:cs="Arial" w:eastAsia="Arial" w:hAnsi="Arial"/>
          <w:sz w:val="15"/>
          <w:szCs w:val="15"/>
          <w:b w:val="1"/>
          <w:bCs w:val="1"/>
          <w:color w:val="231F20"/>
        </w:rPr>
      </w:pPr>
    </w:p>
    <w:p>
      <w:pPr>
        <w:ind w:left="1900" w:right="1620" w:hanging="326"/>
        <w:spacing w:after="0" w:line="267" w:lineRule="auto"/>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“Phantom Stock” </w:t>
      </w:r>
      <w:r>
        <w:rPr>
          <w:rFonts w:ascii="Arial" w:cs="Arial" w:eastAsia="Arial" w:hAnsi="Arial"/>
          <w:sz w:val="15"/>
          <w:szCs w:val="15"/>
          <w:color w:val="231F20"/>
        </w:rPr>
        <w:t>shall mean the right, granted pursuant to Section 9 hereof, to receive in cash or shares the Fair</w:t>
      </w:r>
      <w:r>
        <w:rPr>
          <w:rFonts w:ascii="Arial" w:cs="Arial" w:eastAsia="Arial" w:hAnsi="Arial"/>
          <w:sz w:val="15"/>
          <w:szCs w:val="15"/>
          <w:b w:val="1"/>
          <w:bCs w:val="1"/>
          <w:color w:val="231F20"/>
        </w:rPr>
        <w:t xml:space="preserve"> </w:t>
      </w:r>
      <w:r>
        <w:rPr>
          <w:rFonts w:ascii="Arial" w:cs="Arial" w:eastAsia="Arial" w:hAnsi="Arial"/>
          <w:sz w:val="15"/>
          <w:szCs w:val="15"/>
          <w:color w:val="231F20"/>
        </w:rPr>
        <w:t>Market Value of a share of Company Stock.</w:t>
      </w:r>
    </w:p>
    <w:p>
      <w:pPr>
        <w:spacing w:after="0" w:line="102" w:lineRule="exact"/>
        <w:rPr>
          <w:rFonts w:ascii="Arial" w:cs="Arial" w:eastAsia="Arial" w:hAnsi="Arial"/>
          <w:sz w:val="15"/>
          <w:szCs w:val="15"/>
          <w:b w:val="1"/>
          <w:bCs w:val="1"/>
          <w:color w:val="231F20"/>
        </w:rPr>
      </w:pPr>
    </w:p>
    <w:p>
      <w:pPr>
        <w:ind w:left="1900" w:right="1880" w:hanging="326"/>
        <w:spacing w:after="0" w:line="267" w:lineRule="auto"/>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“Restricted Stock” </w:t>
      </w:r>
      <w:r>
        <w:rPr>
          <w:rFonts w:ascii="Arial" w:cs="Arial" w:eastAsia="Arial" w:hAnsi="Arial"/>
          <w:sz w:val="15"/>
          <w:szCs w:val="15"/>
          <w:color w:val="231F20"/>
        </w:rPr>
        <w:t>shall mean a share of Company Stock which is granted pursuant to the terms of Section 8</w:t>
      </w:r>
      <w:r>
        <w:rPr>
          <w:rFonts w:ascii="Arial" w:cs="Arial" w:eastAsia="Arial" w:hAnsi="Arial"/>
          <w:sz w:val="15"/>
          <w:szCs w:val="15"/>
          <w:b w:val="1"/>
          <w:bCs w:val="1"/>
          <w:color w:val="231F20"/>
        </w:rPr>
        <w:t xml:space="preserve"> </w:t>
      </w:r>
      <w:r>
        <w:rPr>
          <w:rFonts w:ascii="Arial" w:cs="Arial" w:eastAsia="Arial" w:hAnsi="Arial"/>
          <w:sz w:val="15"/>
          <w:szCs w:val="15"/>
          <w:color w:val="231F20"/>
        </w:rPr>
        <w:t>hereof and which is subject to the restrictions set forth in Section 8(c) hereof and/or Section 8(d) hereof.</w:t>
      </w:r>
    </w:p>
    <w:p>
      <w:pPr>
        <w:spacing w:after="0" w:line="102"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“Rule 16b-3” </w:t>
      </w:r>
      <w:r>
        <w:rPr>
          <w:rFonts w:ascii="Arial" w:cs="Arial" w:eastAsia="Arial" w:hAnsi="Arial"/>
          <w:sz w:val="15"/>
          <w:szCs w:val="15"/>
          <w:color w:val="231F20"/>
        </w:rPr>
        <w:t>shall mean the Rule 16b-3 promulgated under the Exchange Act, as amended from time to time.</w:t>
      </w:r>
    </w:p>
    <w:p>
      <w:pPr>
        <w:spacing w:after="0" w:line="151"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“Securities Act” </w:t>
      </w:r>
      <w:r>
        <w:rPr>
          <w:rFonts w:ascii="Arial" w:cs="Arial" w:eastAsia="Arial" w:hAnsi="Arial"/>
          <w:sz w:val="15"/>
          <w:szCs w:val="15"/>
          <w:color w:val="231F20"/>
        </w:rPr>
        <w:t>shall mean the Securities Act of 1933, as amended from time to time.</w:t>
      </w:r>
    </w:p>
    <w:p>
      <w:pPr>
        <w:spacing w:after="0" w:line="151"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28"/>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“Stock Appreciation Right” </w:t>
      </w:r>
      <w:r>
        <w:rPr>
          <w:rFonts w:ascii="Arial" w:cs="Arial" w:eastAsia="Arial" w:hAnsi="Arial"/>
          <w:sz w:val="15"/>
          <w:szCs w:val="15"/>
          <w:color w:val="231F20"/>
        </w:rPr>
        <w:t>shall mean the right granted to a Participant pursuant to Section 7(h) hereof.</w:t>
      </w:r>
    </w:p>
    <w:p>
      <w:pPr>
        <w:spacing w:after="0" w:line="152" w:lineRule="exact"/>
        <w:rPr>
          <w:sz w:val="20"/>
          <w:szCs w:val="20"/>
          <w:color w:val="auto"/>
        </w:rPr>
      </w:pPr>
    </w:p>
    <w:p>
      <w:pPr>
        <w:ind w:left="1900" w:hanging="326"/>
        <w:spacing w:after="0"/>
        <w:tabs>
          <w:tab w:leader="none" w:pos="1900" w:val="left"/>
        </w:tabs>
        <w:numPr>
          <w:ilvl w:val="0"/>
          <w:numId w:val="229"/>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“Stock Bonus” </w:t>
      </w:r>
      <w:r>
        <w:rPr>
          <w:rFonts w:ascii="Arial" w:cs="Arial" w:eastAsia="Arial" w:hAnsi="Arial"/>
          <w:sz w:val="15"/>
          <w:szCs w:val="15"/>
          <w:color w:val="231F20"/>
        </w:rPr>
        <w:t>shall mean a bonus payable in shares of Company Stock granted pursuant to Section 10 hereof.</w:t>
      </w:r>
    </w:p>
    <w:p>
      <w:pPr>
        <w:spacing w:after="0" w:line="151"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29"/>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“Subsidiary” </w:t>
      </w:r>
      <w:r>
        <w:rPr>
          <w:rFonts w:ascii="Arial" w:cs="Arial" w:eastAsia="Arial" w:hAnsi="Arial"/>
          <w:sz w:val="15"/>
          <w:szCs w:val="15"/>
          <w:color w:val="231F20"/>
        </w:rPr>
        <w:t>shall mean a “subsidiary corporation” within the meaning of Section 424(f) of the Code.</w:t>
      </w:r>
    </w:p>
    <w:p>
      <w:pPr>
        <w:spacing w:after="0" w:line="151" w:lineRule="exact"/>
        <w:rPr>
          <w:rFonts w:ascii="Arial" w:cs="Arial" w:eastAsia="Arial" w:hAnsi="Arial"/>
          <w:sz w:val="15"/>
          <w:szCs w:val="15"/>
          <w:b w:val="1"/>
          <w:bCs w:val="1"/>
          <w:color w:val="231F20"/>
        </w:rPr>
      </w:pPr>
    </w:p>
    <w:p>
      <w:pPr>
        <w:ind w:left="1900" w:right="1520" w:hanging="326"/>
        <w:spacing w:after="0" w:line="239" w:lineRule="auto"/>
        <w:tabs>
          <w:tab w:leader="none" w:pos="1900" w:val="left"/>
        </w:tabs>
        <w:numPr>
          <w:ilvl w:val="0"/>
          <w:numId w:val="229"/>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“Substitute Awards” </w:t>
      </w:r>
      <w:r>
        <w:rPr>
          <w:rFonts w:ascii="Arial" w:cs="Arial" w:eastAsia="Arial" w:hAnsi="Arial"/>
          <w:sz w:val="15"/>
          <w:szCs w:val="15"/>
          <w:color w:val="231F20"/>
        </w:rPr>
        <w:t>shall mean Awards granted or shares of Company Stock issued by the Company in</w:t>
      </w:r>
      <w:r>
        <w:rPr>
          <w:rFonts w:ascii="Arial" w:cs="Arial" w:eastAsia="Arial" w:hAnsi="Arial"/>
          <w:sz w:val="15"/>
          <w:szCs w:val="15"/>
          <w:b w:val="1"/>
          <w:bCs w:val="1"/>
          <w:color w:val="231F20"/>
        </w:rPr>
        <w:t xml:space="preserve"> </w:t>
      </w:r>
      <w:r>
        <w:rPr>
          <w:rFonts w:ascii="Arial" w:cs="Arial" w:eastAsia="Arial" w:hAnsi="Arial"/>
          <w:sz w:val="15"/>
          <w:szCs w:val="15"/>
          <w:color w:val="231F20"/>
        </w:rPr>
        <w:t>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22" w:lineRule="exact"/>
        <w:rPr>
          <w:rFonts w:ascii="Arial" w:cs="Arial" w:eastAsia="Arial" w:hAnsi="Arial"/>
          <w:sz w:val="15"/>
          <w:szCs w:val="15"/>
          <w:b w:val="1"/>
          <w:bCs w:val="1"/>
          <w:color w:val="231F20"/>
        </w:rPr>
      </w:pPr>
    </w:p>
    <w:p>
      <w:pPr>
        <w:ind w:left="1900" w:right="1480" w:hanging="326"/>
        <w:spacing w:after="0" w:line="267" w:lineRule="auto"/>
        <w:tabs>
          <w:tab w:leader="none" w:pos="1900" w:val="left"/>
        </w:tabs>
        <w:numPr>
          <w:ilvl w:val="0"/>
          <w:numId w:val="229"/>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“Vesting Date” </w:t>
      </w:r>
      <w:r>
        <w:rPr>
          <w:rFonts w:ascii="Arial" w:cs="Arial" w:eastAsia="Arial" w:hAnsi="Arial"/>
          <w:sz w:val="15"/>
          <w:szCs w:val="15"/>
          <w:color w:val="231F20"/>
        </w:rPr>
        <w:t>shall mean the date established by the Committee on which a share of Restricted Stock or Phantom</w:t>
      </w:r>
      <w:r>
        <w:rPr>
          <w:rFonts w:ascii="Arial" w:cs="Arial" w:eastAsia="Arial" w:hAnsi="Arial"/>
          <w:sz w:val="15"/>
          <w:szCs w:val="15"/>
          <w:b w:val="1"/>
          <w:bCs w:val="1"/>
          <w:color w:val="231F20"/>
        </w:rPr>
        <w:t xml:space="preserve"> </w:t>
      </w:r>
      <w:r>
        <w:rPr>
          <w:rFonts w:ascii="Arial" w:cs="Arial" w:eastAsia="Arial" w:hAnsi="Arial"/>
          <w:sz w:val="15"/>
          <w:szCs w:val="15"/>
          <w:color w:val="231F20"/>
        </w:rPr>
        <w:t>Stock vests.</w:t>
      </w:r>
    </w:p>
    <w:p>
      <w:pPr>
        <w:spacing w:after="0" w:line="10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3. Stock Subject to the Plan</w:t>
      </w:r>
    </w:p>
    <w:p>
      <w:pPr>
        <w:spacing w:after="0" w:line="199" w:lineRule="exact"/>
        <w:rPr>
          <w:sz w:val="20"/>
          <w:szCs w:val="20"/>
          <w:color w:val="auto"/>
        </w:rPr>
      </w:pPr>
    </w:p>
    <w:p>
      <w:pPr>
        <w:ind w:left="1900" w:hanging="326"/>
        <w:spacing w:after="0"/>
        <w:tabs>
          <w:tab w:leader="none" w:pos="1900" w:val="left"/>
        </w:tabs>
        <w:numPr>
          <w:ilvl w:val="0"/>
          <w:numId w:val="230"/>
        </w:numPr>
        <w:rPr>
          <w:rFonts w:ascii="Arial" w:cs="Arial" w:eastAsia="Arial" w:hAnsi="Arial"/>
          <w:sz w:val="15"/>
          <w:szCs w:val="15"/>
          <w:b w:val="1"/>
          <w:bCs w:val="1"/>
          <w:color w:val="231F20"/>
        </w:rPr>
      </w:pPr>
      <w:r>
        <w:rPr>
          <w:rFonts w:ascii="Arial" w:cs="Arial" w:eastAsia="Arial" w:hAnsi="Arial"/>
          <w:sz w:val="15"/>
          <w:szCs w:val="15"/>
          <w:b w:val="1"/>
          <w:bCs w:val="1"/>
          <w:color w:val="231F20"/>
        </w:rPr>
        <w:t>Shares Available for Awards</w:t>
      </w:r>
    </w:p>
    <w:p>
      <w:pPr>
        <w:spacing w:after="0" w:line="7" w:lineRule="exact"/>
        <w:rPr>
          <w:rFonts w:ascii="Arial" w:cs="Arial" w:eastAsia="Arial" w:hAnsi="Arial"/>
          <w:sz w:val="15"/>
          <w:szCs w:val="15"/>
          <w:b w:val="1"/>
          <w:bCs w:val="1"/>
          <w:color w:val="231F20"/>
        </w:rPr>
      </w:pPr>
    </w:p>
    <w:p>
      <w:pPr>
        <w:ind w:left="1900" w:right="1540"/>
        <w:spacing w:after="0" w:line="233" w:lineRule="auto"/>
        <w:rPr>
          <w:rFonts w:ascii="Arial" w:cs="Arial" w:eastAsia="Arial" w:hAnsi="Arial"/>
          <w:sz w:val="15"/>
          <w:szCs w:val="15"/>
          <w:b w:val="1"/>
          <w:bCs w:val="1"/>
          <w:color w:val="231F20"/>
        </w:rPr>
      </w:pPr>
      <w:r>
        <w:rPr>
          <w:rFonts w:ascii="Arial" w:cs="Arial" w:eastAsia="Arial" w:hAnsi="Arial"/>
          <w:sz w:val="15"/>
          <w:szCs w:val="15"/>
          <w:color w:val="231F20"/>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140" w:lineRule="exact"/>
        <w:rPr>
          <w:rFonts w:ascii="Arial" w:cs="Arial" w:eastAsia="Arial" w:hAnsi="Arial"/>
          <w:sz w:val="15"/>
          <w:szCs w:val="15"/>
          <w:b w:val="1"/>
          <w:bCs w:val="1"/>
          <w:color w:val="231F20"/>
        </w:rPr>
      </w:pPr>
    </w:p>
    <w:p>
      <w:pPr>
        <w:ind w:left="1900" w:right="1480"/>
        <w:spacing w:after="0"/>
        <w:rPr>
          <w:rFonts w:ascii="Arial" w:cs="Arial" w:eastAsia="Arial" w:hAnsi="Arial"/>
          <w:sz w:val="15"/>
          <w:szCs w:val="15"/>
          <w:b w:val="1"/>
          <w:bCs w:val="1"/>
          <w:color w:val="231F20"/>
        </w:rPr>
      </w:pPr>
      <w:r>
        <w:rPr>
          <w:rFonts w:ascii="Arial" w:cs="Arial" w:eastAsia="Arial" w:hAnsi="Arial"/>
          <w:sz w:val="15"/>
          <w:szCs w:val="15"/>
          <w:color w:val="231F20"/>
        </w:rPr>
        <w:t>Subject to the subsequent provisions of this Section 3, including the adjustment provisions contained herein, the maximum number of shares of Company Stock that may be delivered pursuant to Awards made under the Plan shall equal the sum of: (1) 22,150,052 shares of Company Stock; (2) the shares of Company Stock subject to outstanding awards under the Regeneron Pharmaceuticals, Inc. Second Amended and Restated 2000 Long-Term Incentive Plan (the “</w:t>
      </w:r>
      <w:r>
        <w:rPr>
          <w:rFonts w:ascii="Arial" w:cs="Arial" w:eastAsia="Arial" w:hAnsi="Arial"/>
          <w:sz w:val="15"/>
          <w:szCs w:val="15"/>
          <w:u w:val="single" w:color="auto"/>
          <w:color w:val="231F20"/>
        </w:rPr>
        <w:t>2000 Plan</w:t>
      </w:r>
      <w:r>
        <w:rPr>
          <w:rFonts w:ascii="Arial" w:cs="Arial" w:eastAsia="Arial" w:hAnsi="Arial"/>
          <w:sz w:val="15"/>
          <w:szCs w:val="15"/>
          <w:color w:val="231F20"/>
        </w:rPr>
        <w:t>”) as of April 17, 2014, (3) the shares of Company Stock subject to outstanding awards under the Original Plan as of April 13, 2017 and (4) the shares of Company Stock subject to outstanding awards under the First Restatement as of April 14, 2020, in each case that (i) remain unissued upon the cancellation, surrender, exchange or termination of any such award for any reason whatsoever or are forfeited, (ii) are delivered (or deliverable) by a participant in the 2000 Plan, the Original Plan or the First Restatement (as applicable) pursuant to an exercise of an option to purchase Company Stock and received (or retained) by the Company (whether by actual delivery, attestation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115</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27" w:name="page128"/>
    <w:bookmarkEnd w:id="127"/>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22" w:lineRule="exact"/>
        <w:rPr>
          <w:sz w:val="20"/>
          <w:szCs w:val="20"/>
          <w:color w:val="auto"/>
        </w:rPr>
      </w:pPr>
    </w:p>
    <w:p>
      <w:pPr>
        <w:ind w:left="780" w:right="379"/>
        <w:spacing w:after="0"/>
        <w:rPr>
          <w:sz w:val="20"/>
          <w:szCs w:val="20"/>
          <w:color w:val="auto"/>
        </w:rPr>
      </w:pPr>
      <w:r>
        <w:rPr>
          <w:rFonts w:ascii="Arial" w:cs="Arial" w:eastAsia="Arial" w:hAnsi="Arial"/>
          <w:sz w:val="15"/>
          <w:szCs w:val="15"/>
          <w:color w:val="231F20"/>
        </w:rPr>
        <w:t>or otherwise) in payment of the option exercise price (for this avoidance of doubt, for the purpose of this clause (ii), in the case of Options where the exercise price is paid by the Company’s retention of shares of Company Stock that would otherwise be distributed to the Participant upon exercise of the Option, the retained shares are considered deliverable by the Participant and become available for future issuance) or (iii) are received (or retained) by the Company (whether by actual delivery, attestation or otherwise) in connection with the exercise, vesting or delivery of an award granted under the 2000 Plan, the Original Plan or the First Restatement (as applicable) in respect of tax withholding or other similar tax obligation; and (3) any shares of Company Stock that again become available for Awards pursuant to Section 3(e) hereof. Notwithstanding the foregoing, the maximum number of shares of Company Stock that may be issued pursuant to Incentive Stock Options during the term of the Plan shall be 22,150,052 shares.</w:t>
      </w:r>
    </w:p>
    <w:p>
      <w:pPr>
        <w:spacing w:after="0" w:line="212" w:lineRule="exact"/>
        <w:rPr>
          <w:sz w:val="20"/>
          <w:szCs w:val="20"/>
          <w:color w:val="auto"/>
        </w:rPr>
      </w:pPr>
    </w:p>
    <w:p>
      <w:pPr>
        <w:ind w:left="780" w:hanging="326"/>
        <w:spacing w:after="0"/>
        <w:tabs>
          <w:tab w:leader="none" w:pos="780" w:val="left"/>
        </w:tabs>
        <w:numPr>
          <w:ilvl w:val="0"/>
          <w:numId w:val="231"/>
        </w:numPr>
        <w:rPr>
          <w:rFonts w:ascii="Arial" w:cs="Arial" w:eastAsia="Arial" w:hAnsi="Arial"/>
          <w:sz w:val="15"/>
          <w:szCs w:val="15"/>
          <w:b w:val="1"/>
          <w:bCs w:val="1"/>
          <w:color w:val="231F20"/>
        </w:rPr>
      </w:pPr>
      <w:r>
        <w:rPr>
          <w:rFonts w:ascii="Arial" w:cs="Arial" w:eastAsia="Arial" w:hAnsi="Arial"/>
          <w:sz w:val="15"/>
          <w:szCs w:val="15"/>
          <w:b w:val="1"/>
          <w:bCs w:val="1"/>
          <w:color w:val="231F20"/>
        </w:rPr>
        <w:t>[Reserved]</w:t>
      </w:r>
    </w:p>
    <w:p>
      <w:pPr>
        <w:spacing w:after="0" w:line="151"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1"/>
        </w:numPr>
        <w:rPr>
          <w:rFonts w:ascii="Arial" w:cs="Arial" w:eastAsia="Arial" w:hAnsi="Arial"/>
          <w:sz w:val="15"/>
          <w:szCs w:val="15"/>
          <w:b w:val="1"/>
          <w:bCs w:val="1"/>
          <w:color w:val="231F20"/>
        </w:rPr>
      </w:pPr>
      <w:r>
        <w:rPr>
          <w:rFonts w:ascii="Arial" w:cs="Arial" w:eastAsia="Arial" w:hAnsi="Arial"/>
          <w:sz w:val="15"/>
          <w:szCs w:val="15"/>
          <w:b w:val="1"/>
          <w:bCs w:val="1"/>
          <w:color w:val="231F20"/>
        </w:rPr>
        <w:t>Adjustment for Change in Capitalization</w:t>
      </w:r>
    </w:p>
    <w:p>
      <w:pPr>
        <w:spacing w:after="0" w:line="7" w:lineRule="exact"/>
        <w:rPr>
          <w:rFonts w:ascii="Arial" w:cs="Arial" w:eastAsia="Arial" w:hAnsi="Arial"/>
          <w:sz w:val="15"/>
          <w:szCs w:val="15"/>
          <w:b w:val="1"/>
          <w:bCs w:val="1"/>
          <w:color w:val="231F20"/>
        </w:rPr>
      </w:pPr>
    </w:p>
    <w:p>
      <w:pPr>
        <w:ind w:left="780" w:right="379"/>
        <w:spacing w:after="0" w:line="228" w:lineRule="auto"/>
        <w:rPr>
          <w:rFonts w:ascii="Arial" w:cs="Arial" w:eastAsia="Arial" w:hAnsi="Arial"/>
          <w:sz w:val="15"/>
          <w:szCs w:val="15"/>
          <w:b w:val="1"/>
          <w:bCs w:val="1"/>
          <w:color w:val="231F20"/>
        </w:rPr>
      </w:pPr>
      <w:r>
        <w:rPr>
          <w:rFonts w:ascii="Arial" w:cs="Arial" w:eastAsia="Arial" w:hAnsi="Arial"/>
          <w:sz w:val="15"/>
          <w:szCs w:val="15"/>
          <w:color w:val="231F20"/>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(4) the maximum number of shares of Company Stock that may be issued pursuant to Incentive Stock Options during the term of the Plan and (5) the maximum number of shares subject to Awards which may be awarded to any Participant during any tax year of the Company shall be equitably adjusted as necessary to prevent the dilution or enlargement of the rights of Participants without change in the aggregate purchase price; provided that, with respect to Incentive Stock Options, such adjustment shall be made in accordance with Section 424 of the Code.</w:t>
      </w:r>
    </w:p>
    <w:p>
      <w:pPr>
        <w:spacing w:after="0" w:line="121"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1"/>
        </w:numPr>
        <w:rPr>
          <w:rFonts w:ascii="Arial" w:cs="Arial" w:eastAsia="Arial" w:hAnsi="Arial"/>
          <w:sz w:val="15"/>
          <w:szCs w:val="15"/>
          <w:b w:val="1"/>
          <w:bCs w:val="1"/>
          <w:color w:val="231F20"/>
        </w:rPr>
      </w:pPr>
      <w:r>
        <w:rPr>
          <w:rFonts w:ascii="Arial" w:cs="Arial" w:eastAsia="Arial" w:hAnsi="Arial"/>
          <w:sz w:val="15"/>
          <w:szCs w:val="15"/>
          <w:b w:val="1"/>
          <w:bCs w:val="1"/>
          <w:color w:val="231F20"/>
        </w:rPr>
        <w:t>Adjustment for Change or Exchange of Shares for Other Consideration</w:t>
      </w:r>
    </w:p>
    <w:p>
      <w:pPr>
        <w:spacing w:after="0" w:line="7" w:lineRule="exact"/>
        <w:rPr>
          <w:rFonts w:ascii="Arial" w:cs="Arial" w:eastAsia="Arial" w:hAnsi="Arial"/>
          <w:sz w:val="15"/>
          <w:szCs w:val="15"/>
          <w:b w:val="1"/>
          <w:bCs w:val="1"/>
          <w:color w:val="231F20"/>
        </w:rPr>
      </w:pPr>
    </w:p>
    <w:p>
      <w:pPr>
        <w:ind w:left="780" w:right="399"/>
        <w:spacing w:after="0" w:line="227" w:lineRule="auto"/>
        <w:rPr>
          <w:rFonts w:ascii="Arial" w:cs="Arial" w:eastAsia="Arial" w:hAnsi="Arial"/>
          <w:sz w:val="15"/>
          <w:szCs w:val="15"/>
          <w:b w:val="1"/>
          <w:bCs w:val="1"/>
          <w:color w:val="231F20"/>
        </w:rPr>
      </w:pPr>
      <w:r>
        <w:rPr>
          <w:rFonts w:ascii="Arial" w:cs="Arial" w:eastAsia="Arial" w:hAnsi="Arial"/>
          <w:sz w:val="15"/>
          <w:szCs w:val="15"/>
          <w:color w:val="231F20"/>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w:t>
      </w:r>
      <w:r>
        <w:rPr>
          <w:rFonts w:ascii="Arial" w:cs="Arial" w:eastAsia="Arial" w:hAnsi="Arial"/>
          <w:sz w:val="15"/>
          <w:szCs w:val="15"/>
          <w:u w:val="single" w:color="auto"/>
          <w:color w:val="231F20"/>
        </w:rPr>
        <w:t>Transaction</w:t>
      </w:r>
      <w:r>
        <w:rPr>
          <w:rFonts w:ascii="Arial" w:cs="Arial" w:eastAsia="Arial" w:hAnsi="Arial"/>
          <w:sz w:val="15"/>
          <w:szCs w:val="15"/>
          <w:color w:val="231F20"/>
        </w:rPr>
        <w:t>”),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124"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1"/>
        </w:numPr>
        <w:rPr>
          <w:rFonts w:ascii="Arial" w:cs="Arial" w:eastAsia="Arial" w:hAnsi="Arial"/>
          <w:sz w:val="15"/>
          <w:szCs w:val="15"/>
          <w:b w:val="1"/>
          <w:bCs w:val="1"/>
          <w:color w:val="231F20"/>
        </w:rPr>
      </w:pPr>
      <w:r>
        <w:rPr>
          <w:rFonts w:ascii="Arial" w:cs="Arial" w:eastAsia="Arial" w:hAnsi="Arial"/>
          <w:sz w:val="15"/>
          <w:szCs w:val="15"/>
          <w:b w:val="1"/>
          <w:bCs w:val="1"/>
          <w:color w:val="231F20"/>
        </w:rPr>
        <w:t>Reuse of Shares</w:t>
      </w:r>
    </w:p>
    <w:p>
      <w:pPr>
        <w:spacing w:after="0" w:line="7" w:lineRule="exact"/>
        <w:rPr>
          <w:rFonts w:ascii="Arial" w:cs="Arial" w:eastAsia="Arial" w:hAnsi="Arial"/>
          <w:sz w:val="15"/>
          <w:szCs w:val="15"/>
          <w:b w:val="1"/>
          <w:bCs w:val="1"/>
          <w:color w:val="231F20"/>
        </w:rPr>
      </w:pPr>
    </w:p>
    <w:p>
      <w:pPr>
        <w:ind w:left="780" w:right="379"/>
        <w:spacing w:after="0"/>
        <w:rPr>
          <w:rFonts w:ascii="Arial" w:cs="Arial" w:eastAsia="Arial" w:hAnsi="Arial"/>
          <w:sz w:val="15"/>
          <w:szCs w:val="15"/>
          <w:b w:val="1"/>
          <w:bCs w:val="1"/>
          <w:color w:val="231F20"/>
        </w:rPr>
      </w:pPr>
      <w:r>
        <w:rPr>
          <w:rFonts w:ascii="Arial" w:cs="Arial" w:eastAsia="Arial" w:hAnsi="Arial"/>
          <w:sz w:val="15"/>
          <w:szCs w:val="15"/>
          <w:color w:val="231F20"/>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(2) any shares delivered (or deliverable) to the Participant pursuant to an Option exercise and received (or retained) by the Company (whether by actual delivery, attestation or otherwise) in payment of the Option Exercise Price upon a Participant’s exercise of an Option as permitted under Section 7(c)(3) hereof (for the avoidance of doubt, for the purpose of this clause (2), in the case of Options where the exercise price is paid by the Company’s retention of shares of Company Stock that would otherwise be distributed</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116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28" w:name="page129"/>
    <w:bookmarkEnd w:id="128"/>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22" w:lineRule="exact"/>
        <w:rPr>
          <w:sz w:val="20"/>
          <w:szCs w:val="20"/>
          <w:color w:val="auto"/>
        </w:rPr>
      </w:pPr>
    </w:p>
    <w:p>
      <w:pPr>
        <w:ind w:left="1900" w:right="1500"/>
        <w:spacing w:after="0" w:line="233" w:lineRule="auto"/>
        <w:rPr>
          <w:sz w:val="20"/>
          <w:szCs w:val="20"/>
          <w:color w:val="auto"/>
        </w:rPr>
      </w:pPr>
      <w:r>
        <w:rPr>
          <w:rFonts w:ascii="Arial" w:cs="Arial" w:eastAsia="Arial" w:hAnsi="Arial"/>
          <w:sz w:val="15"/>
          <w:szCs w:val="15"/>
          <w:color w:val="231F20"/>
        </w:rPr>
        <w:t>to the Participant upon exercise of the Option, the retained shares are considered deliverable by the Participant and become available for future issuance); and (3) any shares received (or retained) by the Company (whether by actual delivery, attestation or otherwise) in connection with the exercise, vesting or delivery of an Award in respect of tax withholding or other similar tax obligations.</w:t>
      </w:r>
    </w:p>
    <w:p>
      <w:pPr>
        <w:spacing w:after="0" w:line="122" w:lineRule="exact"/>
        <w:rPr>
          <w:sz w:val="20"/>
          <w:szCs w:val="20"/>
          <w:color w:val="auto"/>
        </w:rPr>
      </w:pPr>
    </w:p>
    <w:p>
      <w:pPr>
        <w:ind w:left="1900" w:hanging="326"/>
        <w:spacing w:after="0"/>
        <w:tabs>
          <w:tab w:leader="none" w:pos="1900" w:val="left"/>
        </w:tabs>
        <w:numPr>
          <w:ilvl w:val="0"/>
          <w:numId w:val="232"/>
        </w:numPr>
        <w:rPr>
          <w:rFonts w:ascii="Arial" w:cs="Arial" w:eastAsia="Arial" w:hAnsi="Arial"/>
          <w:sz w:val="15"/>
          <w:szCs w:val="15"/>
          <w:b w:val="1"/>
          <w:bCs w:val="1"/>
          <w:color w:val="231F20"/>
        </w:rPr>
      </w:pPr>
      <w:r>
        <w:rPr>
          <w:rFonts w:ascii="Arial" w:cs="Arial" w:eastAsia="Arial" w:hAnsi="Arial"/>
          <w:sz w:val="15"/>
          <w:szCs w:val="15"/>
          <w:b w:val="1"/>
          <w:bCs w:val="1"/>
          <w:color w:val="231F20"/>
        </w:rPr>
        <w:t>Substitute Awards</w:t>
      </w:r>
    </w:p>
    <w:p>
      <w:pPr>
        <w:spacing w:after="0" w:line="7" w:lineRule="exact"/>
        <w:rPr>
          <w:rFonts w:ascii="Arial" w:cs="Arial" w:eastAsia="Arial" w:hAnsi="Arial"/>
          <w:sz w:val="15"/>
          <w:szCs w:val="15"/>
          <w:b w:val="1"/>
          <w:bCs w:val="1"/>
          <w:color w:val="231F20"/>
        </w:rPr>
      </w:pPr>
    </w:p>
    <w:p>
      <w:pPr>
        <w:ind w:left="1900" w:right="1460"/>
        <w:spacing w:after="0"/>
        <w:rPr>
          <w:rFonts w:ascii="Arial" w:cs="Arial" w:eastAsia="Arial" w:hAnsi="Arial"/>
          <w:sz w:val="15"/>
          <w:szCs w:val="15"/>
          <w:b w:val="1"/>
          <w:bCs w:val="1"/>
          <w:color w:val="231F20"/>
        </w:rPr>
      </w:pPr>
      <w:r>
        <w:rPr>
          <w:rFonts w:ascii="Arial" w:cs="Arial" w:eastAsia="Arial" w:hAnsi="Arial"/>
          <w:sz w:val="15"/>
          <w:szCs w:val="15"/>
          <w:color w:val="231F20"/>
        </w:rPr>
        <w:t>Substitute Awards shall not reduce the shares of Company Stock authorized for grant under the Plan or the applicable limitations on grants to a Participant under Section 3(b) hereof, nor shall shares of Company Stock subject to a Substitute Award be added to the shares of Company Stock available for Awards under the Plan as provided in Section 3(e) hereof.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Company Stock authorized for grant under the Plan; and shares of Company Stock subject to such Awards shall not be added to the shares of Company Stock available for Awards under the Plan as provided in Section 3(e) hereof; provided that Awards using such available shares shall not be made after the date awards or grants could have been made under the terms of the pre-existing plan, absent the acquisition or combination, and shall only be made to individuals who are eligible to receive such Awards under the rules of the principal U.S. national securities exchange on which the shares of Company Stock are listed.</w:t>
      </w:r>
    </w:p>
    <w:p>
      <w:pPr>
        <w:spacing w:after="0" w:line="14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4. Administration of the Plan</w:t>
      </w:r>
    </w:p>
    <w:p>
      <w:pPr>
        <w:spacing w:after="0" w:line="217" w:lineRule="exact"/>
        <w:rPr>
          <w:sz w:val="20"/>
          <w:szCs w:val="20"/>
          <w:color w:val="auto"/>
        </w:rPr>
      </w:pPr>
    </w:p>
    <w:p>
      <w:pPr>
        <w:ind w:left="1580" w:right="1660"/>
        <w:spacing w:after="0" w:line="228" w:lineRule="auto"/>
        <w:rPr>
          <w:sz w:val="20"/>
          <w:szCs w:val="20"/>
          <w:color w:val="auto"/>
        </w:rPr>
      </w:pPr>
      <w:r>
        <w:rPr>
          <w:rFonts w:ascii="Arial" w:cs="Arial" w:eastAsia="Arial" w:hAnsi="Arial"/>
          <w:sz w:val="15"/>
          <w:szCs w:val="15"/>
          <w:color w:val="231F20"/>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Company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140" w:lineRule="exact"/>
        <w:rPr>
          <w:sz w:val="20"/>
          <w:szCs w:val="20"/>
          <w:color w:val="auto"/>
        </w:rPr>
      </w:pPr>
    </w:p>
    <w:p>
      <w:pPr>
        <w:ind w:left="1580" w:right="1700"/>
        <w:spacing w:after="0" w:line="229" w:lineRule="auto"/>
        <w:rPr>
          <w:sz w:val="20"/>
          <w:szCs w:val="20"/>
          <w:color w:val="auto"/>
        </w:rPr>
      </w:pPr>
      <w:r>
        <w:rPr>
          <w:rFonts w:ascii="Arial" w:cs="Arial" w:eastAsia="Arial" w:hAnsi="Arial"/>
          <w:sz w:val="15"/>
          <w:szCs w:val="15"/>
          <w:color w:val="231F20"/>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accelerate the Vesting Date, or waive any condition imposed hereunder, with respect to any share of Restricted Stock, Phantom Stock or other Award or otherwise adjust any of the terms applicable to any such Award. Except pursuant to the operation of Section 3(c) hereof or Section 3(d) hereof, the Committee shall not have the authority to decrease the exercise price of Options granted under the Plan.</w:t>
      </w:r>
    </w:p>
    <w:p>
      <w:pPr>
        <w:spacing w:after="0" w:line="144" w:lineRule="exact"/>
        <w:rPr>
          <w:sz w:val="20"/>
          <w:szCs w:val="20"/>
          <w:color w:val="auto"/>
        </w:rPr>
      </w:pPr>
    </w:p>
    <w:p>
      <w:pPr>
        <w:ind w:left="1580" w:right="1720"/>
        <w:spacing w:after="0" w:line="228" w:lineRule="auto"/>
        <w:rPr>
          <w:sz w:val="20"/>
          <w:szCs w:val="20"/>
          <w:color w:val="auto"/>
        </w:rPr>
      </w:pPr>
      <w:r>
        <w:rPr>
          <w:rFonts w:ascii="Arial" w:cs="Arial" w:eastAsia="Arial" w:hAnsi="Arial"/>
          <w:sz w:val="15"/>
          <w:szCs w:val="15"/>
          <w:color w:val="231F20"/>
        </w:rPr>
        <w:t>The Committee may delegate to one or more of the Company’s executive officers (or, in the case of ministerial duties only, other employees) all or any portion of the Committee’s authority, powers, responsibilities and administrative duties under the Plan, with such conditions and limitations as are required under applicable law or as the Committee may otherwise prescribe; provided, however, that only the Committee is authorized to grant Awards to, or make decisions or interpretations with respect to Awards granted to, Participants who are subject to potential liability under Section 16(b) of the Exchange Act with respect to transactions involving equity securities of the Company. A record of all actions taken by any executive officer (or other employee) to whom the Committee has delegated a portion of its powers or responsibilities shall periodically be filed with the minutes of the meetings of the Committee and shall be made available for review by the Committee upon request.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117</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29" w:name="page130"/>
    <w:bookmarkEnd w:id="129"/>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5. Eligibility</w:t>
      </w:r>
    </w:p>
    <w:p>
      <w:pPr>
        <w:spacing w:after="0" w:line="217" w:lineRule="exact"/>
        <w:rPr>
          <w:sz w:val="20"/>
          <w:szCs w:val="20"/>
          <w:color w:val="auto"/>
        </w:rPr>
      </w:pPr>
    </w:p>
    <w:p>
      <w:pPr>
        <w:ind w:left="460" w:right="559"/>
        <w:spacing w:after="0" w:line="231" w:lineRule="auto"/>
        <w:rPr>
          <w:sz w:val="20"/>
          <w:szCs w:val="20"/>
          <w:color w:val="auto"/>
        </w:rPr>
      </w:pPr>
      <w:r>
        <w:rPr>
          <w:rFonts w:ascii="Arial" w:cs="Arial" w:eastAsia="Arial" w:hAnsi="Arial"/>
          <w:sz w:val="15"/>
          <w:szCs w:val="15"/>
          <w:color w:val="231F20"/>
        </w:rPr>
        <w:t>The persons who shall be eligible to receive Awards pursuant to the Plan shall be such employees of the Company (including officers of the Company, whether or not they are directors of the Company), Nonemployee Directors and nonemployee service providers and consultants to the Company, in each case as the Committee shall select from time to time. The grant of any Award hereunder at any time to any such Nonemployee Director, employee, service provider or consultant shall not entitle such person to a grant of an Award at any future time.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6. Awards Under the Plan; Agreement; Performance Goals</w:t>
      </w:r>
    </w:p>
    <w:p>
      <w:pPr>
        <w:spacing w:after="0" w:line="217" w:lineRule="exact"/>
        <w:rPr>
          <w:sz w:val="20"/>
          <w:szCs w:val="20"/>
          <w:color w:val="auto"/>
        </w:rPr>
      </w:pPr>
    </w:p>
    <w:p>
      <w:pPr>
        <w:ind w:left="460" w:right="739"/>
        <w:spacing w:after="0" w:line="235" w:lineRule="auto"/>
        <w:rPr>
          <w:sz w:val="20"/>
          <w:szCs w:val="20"/>
          <w:color w:val="auto"/>
        </w:rPr>
      </w:pPr>
      <w:r>
        <w:rPr>
          <w:rFonts w:ascii="Arial" w:cs="Arial" w:eastAsia="Arial" w:hAnsi="Arial"/>
          <w:sz w:val="15"/>
          <w:szCs w:val="15"/>
          <w:color w:val="231F20"/>
        </w:rPr>
        <w:t>The Committee may grant Options, shares of Restricted Stock, Phantom Stock, Stock Appreciation Right, Stock Bonuses and Other Awards in such amounts and with such terms and conditions as the Committee shall determine, subject to the provisions of the Plan.</w:t>
      </w:r>
    </w:p>
    <w:p>
      <w:pPr>
        <w:spacing w:after="0" w:line="141" w:lineRule="exact"/>
        <w:rPr>
          <w:sz w:val="20"/>
          <w:szCs w:val="20"/>
          <w:color w:val="auto"/>
        </w:rPr>
      </w:pPr>
    </w:p>
    <w:p>
      <w:pPr>
        <w:ind w:left="460" w:right="619"/>
        <w:spacing w:after="0" w:line="233" w:lineRule="auto"/>
        <w:rPr>
          <w:sz w:val="20"/>
          <w:szCs w:val="20"/>
          <w:color w:val="auto"/>
        </w:rPr>
      </w:pPr>
      <w:r>
        <w:rPr>
          <w:rFonts w:ascii="Arial" w:cs="Arial" w:eastAsia="Arial" w:hAnsi="Arial"/>
          <w:sz w:val="15"/>
          <w:szCs w:val="15"/>
          <w:color w:val="231F20"/>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40" w:lineRule="exact"/>
        <w:rPr>
          <w:sz w:val="20"/>
          <w:szCs w:val="20"/>
          <w:color w:val="auto"/>
        </w:rPr>
      </w:pPr>
    </w:p>
    <w:p>
      <w:pPr>
        <w:ind w:left="460" w:right="759"/>
        <w:spacing w:after="0" w:line="231" w:lineRule="auto"/>
        <w:rPr>
          <w:sz w:val="20"/>
          <w:szCs w:val="20"/>
          <w:color w:val="auto"/>
        </w:rPr>
      </w:pPr>
      <w:r>
        <w:rPr>
          <w:rFonts w:ascii="Arial" w:cs="Arial" w:eastAsia="Arial" w:hAnsi="Arial"/>
          <w:sz w:val="15"/>
          <w:szCs w:val="15"/>
          <w:color w:val="231F20"/>
        </w:rPr>
        <w:t xml:space="preserve">Any Company Stock required to be issued to a Participant under the Plan shall be evidenced in such manner as the Committee may in its sole discretion deem appropriate, including book-entry registration or delivery of stock certificates. References in the Plan or in any Agreement to stock certificates shall be deemed to refer to book-entry registration in the case of any Company Stock evidenced in such manner and the provisions regarding stock certificates shall be applicable to Company Stock evidenced in book-entry form </w:t>
      </w:r>
      <w:r>
        <w:rPr>
          <w:rFonts w:ascii="Arial" w:cs="Arial" w:eastAsia="Arial" w:hAnsi="Arial"/>
          <w:sz w:val="15"/>
          <w:szCs w:val="15"/>
          <w:i w:val="1"/>
          <w:iCs w:val="1"/>
          <w:color w:val="231F20"/>
        </w:rPr>
        <w:t>mutatis mutandis</w:t>
      </w:r>
      <w:r>
        <w:rPr>
          <w:rFonts w:ascii="Arial" w:cs="Arial" w:eastAsia="Arial" w:hAnsi="Arial"/>
          <w:sz w:val="15"/>
          <w:szCs w:val="15"/>
          <w:color w:val="231F20"/>
        </w:rPr>
        <w:t>.</w:t>
      </w:r>
    </w:p>
    <w:p>
      <w:pPr>
        <w:spacing w:after="0" w:line="142" w:lineRule="exact"/>
        <w:rPr>
          <w:sz w:val="20"/>
          <w:szCs w:val="20"/>
          <w:color w:val="auto"/>
        </w:rPr>
      </w:pPr>
    </w:p>
    <w:p>
      <w:pPr>
        <w:jc w:val="both"/>
        <w:ind w:left="460" w:right="699"/>
        <w:spacing w:after="0" w:line="235" w:lineRule="auto"/>
        <w:rPr>
          <w:sz w:val="20"/>
          <w:szCs w:val="20"/>
          <w:color w:val="auto"/>
        </w:rPr>
      </w:pPr>
      <w:r>
        <w:rPr>
          <w:rFonts w:ascii="Arial" w:cs="Arial" w:eastAsia="Arial" w:hAnsi="Arial"/>
          <w:sz w:val="15"/>
          <w:szCs w:val="15"/>
          <w:color w:val="231F20"/>
        </w:rPr>
        <w:t>Notwithstanding anything to the contrary contained in the Plan, any Award granted under the Plan may be (but is not required to be) subject to vesting based on the attainment by the Company of performance goals established by the Committee.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7. Options and Stock Appreciation Rights</w:t>
      </w:r>
    </w:p>
    <w:p>
      <w:pPr>
        <w:spacing w:after="0" w:line="199" w:lineRule="exact"/>
        <w:rPr>
          <w:sz w:val="20"/>
          <w:szCs w:val="20"/>
          <w:color w:val="auto"/>
        </w:rPr>
      </w:pPr>
    </w:p>
    <w:p>
      <w:pPr>
        <w:ind w:left="780" w:hanging="326"/>
        <w:spacing w:after="0"/>
        <w:tabs>
          <w:tab w:leader="none" w:pos="780" w:val="left"/>
        </w:tabs>
        <w:numPr>
          <w:ilvl w:val="0"/>
          <w:numId w:val="233"/>
        </w:numPr>
        <w:rPr>
          <w:rFonts w:ascii="Arial" w:cs="Arial" w:eastAsia="Arial" w:hAnsi="Arial"/>
          <w:sz w:val="15"/>
          <w:szCs w:val="15"/>
          <w:b w:val="1"/>
          <w:bCs w:val="1"/>
          <w:color w:val="231F20"/>
        </w:rPr>
      </w:pPr>
      <w:r>
        <w:rPr>
          <w:rFonts w:ascii="Arial" w:cs="Arial" w:eastAsia="Arial" w:hAnsi="Arial"/>
          <w:sz w:val="15"/>
          <w:szCs w:val="15"/>
          <w:b w:val="1"/>
          <w:bCs w:val="1"/>
          <w:color w:val="231F20"/>
        </w:rPr>
        <w:t>Identification of Options</w:t>
      </w:r>
    </w:p>
    <w:p>
      <w:pPr>
        <w:spacing w:after="0" w:line="7" w:lineRule="exact"/>
        <w:rPr>
          <w:rFonts w:ascii="Arial" w:cs="Arial" w:eastAsia="Arial" w:hAnsi="Arial"/>
          <w:sz w:val="15"/>
          <w:szCs w:val="15"/>
          <w:b w:val="1"/>
          <w:bCs w:val="1"/>
          <w:color w:val="231F20"/>
        </w:rPr>
      </w:pPr>
    </w:p>
    <w:p>
      <w:pPr>
        <w:ind w:left="780" w:right="1039"/>
        <w:spacing w:after="0" w:line="242" w:lineRule="auto"/>
        <w:rPr>
          <w:rFonts w:ascii="Arial" w:cs="Arial" w:eastAsia="Arial" w:hAnsi="Arial"/>
          <w:sz w:val="15"/>
          <w:szCs w:val="15"/>
          <w:b w:val="1"/>
          <w:bCs w:val="1"/>
          <w:color w:val="231F20"/>
        </w:rPr>
      </w:pPr>
      <w:r>
        <w:rPr>
          <w:rFonts w:ascii="Arial" w:cs="Arial" w:eastAsia="Arial" w:hAnsi="Arial"/>
          <w:sz w:val="15"/>
          <w:szCs w:val="15"/>
          <w:color w:val="231F20"/>
        </w:rPr>
        <w:t>Each Option shall be clearly identified in the applicable Agreement as either an Incentive Stock Option or a Nonqualified Stock Option.</w:t>
      </w:r>
    </w:p>
    <w:p>
      <w:pPr>
        <w:spacing w:after="0" w:line="120"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3"/>
        </w:numPr>
        <w:rPr>
          <w:rFonts w:ascii="Arial" w:cs="Arial" w:eastAsia="Arial" w:hAnsi="Arial"/>
          <w:sz w:val="15"/>
          <w:szCs w:val="15"/>
          <w:b w:val="1"/>
          <w:bCs w:val="1"/>
          <w:color w:val="231F20"/>
        </w:rPr>
      </w:pPr>
      <w:r>
        <w:rPr>
          <w:rFonts w:ascii="Arial" w:cs="Arial" w:eastAsia="Arial" w:hAnsi="Arial"/>
          <w:sz w:val="15"/>
          <w:szCs w:val="15"/>
          <w:b w:val="1"/>
          <w:bCs w:val="1"/>
          <w:color w:val="231F20"/>
        </w:rPr>
        <w:t>Exercise Price</w:t>
      </w:r>
    </w:p>
    <w:p>
      <w:pPr>
        <w:spacing w:after="0" w:line="7" w:lineRule="exact"/>
        <w:rPr>
          <w:rFonts w:ascii="Arial" w:cs="Arial" w:eastAsia="Arial" w:hAnsi="Arial"/>
          <w:sz w:val="15"/>
          <w:szCs w:val="15"/>
          <w:b w:val="1"/>
          <w:bCs w:val="1"/>
          <w:color w:val="231F20"/>
        </w:rPr>
      </w:pPr>
    </w:p>
    <w:p>
      <w:pPr>
        <w:ind w:left="780" w:right="399"/>
        <w:spacing w:after="0"/>
        <w:rPr>
          <w:rFonts w:ascii="Arial" w:cs="Arial" w:eastAsia="Arial" w:hAnsi="Arial"/>
          <w:sz w:val="15"/>
          <w:szCs w:val="15"/>
          <w:b w:val="1"/>
          <w:bCs w:val="1"/>
          <w:color w:val="231F20"/>
        </w:rPr>
      </w:pPr>
      <w:r>
        <w:rPr>
          <w:rFonts w:ascii="Arial" w:cs="Arial" w:eastAsia="Arial" w:hAnsi="Arial"/>
          <w:sz w:val="15"/>
          <w:szCs w:val="15"/>
          <w:color w:val="231F20"/>
        </w:rPr>
        <w:t>Each Agreement with respect to an Option shall set forth the amount (the “</w:t>
      </w:r>
      <w:r>
        <w:rPr>
          <w:rFonts w:ascii="Arial" w:cs="Arial" w:eastAsia="Arial" w:hAnsi="Arial"/>
          <w:sz w:val="15"/>
          <w:szCs w:val="15"/>
          <w:u w:val="single" w:color="auto"/>
          <w:color w:val="231F20"/>
        </w:rPr>
        <w:t>Option Exercise Price</w:t>
      </w:r>
      <w:r>
        <w:rPr>
          <w:rFonts w:ascii="Arial" w:cs="Arial" w:eastAsia="Arial" w:hAnsi="Arial"/>
          <w:sz w:val="15"/>
          <w:szCs w:val="15"/>
          <w:color w:val="231F20"/>
        </w:rPr>
        <w:t>”) payable by the grantee to the Company upon exercise of the Option. The Option Exercise Price per share shall be determined by the Committee; provided, however, that (other than in connection with Substitute Awards) the Option Exercise Price shall in no event be less than the Fair Market Value of a share of Company Stock on the date the Option is granted. Without limitation of the authority set forth in Section 3(c) hereof or Section 3(d) hereof, no Option shall be settled, canceled, forfeited, exchanged or surrendered in exchange or otherwise in consideration for a new Option with an Option Exercise Price that is less than that of such settled, canceled, forfeited, exchanged or surrendered Option, nor shall any Option be settled, canceled, forfeited, exchanged or surrendered in exchange or otherwise in consideration for a cash payment from the Company in excess of the difference between the Option Exercise Price of such Option and the Fair Market Value of the shares of Company Stock subject to such Option on the day of such payment.</w:t>
      </w:r>
    </w:p>
    <w:p>
      <w:pPr>
        <w:spacing w:after="0" w:line="201"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3"/>
        </w:numPr>
        <w:rPr>
          <w:rFonts w:ascii="Arial" w:cs="Arial" w:eastAsia="Arial" w:hAnsi="Arial"/>
          <w:sz w:val="15"/>
          <w:szCs w:val="15"/>
          <w:b w:val="1"/>
          <w:bCs w:val="1"/>
          <w:color w:val="231F20"/>
        </w:rPr>
      </w:pPr>
      <w:r>
        <w:rPr>
          <w:rFonts w:ascii="Arial" w:cs="Arial" w:eastAsia="Arial" w:hAnsi="Arial"/>
          <w:sz w:val="15"/>
          <w:szCs w:val="15"/>
          <w:b w:val="1"/>
          <w:bCs w:val="1"/>
          <w:color w:val="231F20"/>
        </w:rPr>
        <w:t>Term and Exercise of Options</w:t>
      </w:r>
    </w:p>
    <w:p>
      <w:pPr>
        <w:spacing w:after="0" w:line="169" w:lineRule="exact"/>
        <w:rPr>
          <w:rFonts w:ascii="Arial" w:cs="Arial" w:eastAsia="Arial" w:hAnsi="Arial"/>
          <w:sz w:val="15"/>
          <w:szCs w:val="15"/>
          <w:b w:val="1"/>
          <w:bCs w:val="1"/>
          <w:color w:val="231F20"/>
        </w:rPr>
      </w:pPr>
    </w:p>
    <w:p>
      <w:pPr>
        <w:ind w:left="1100" w:right="479" w:hanging="322"/>
        <w:spacing w:after="0" w:line="233" w:lineRule="auto"/>
        <w:tabs>
          <w:tab w:leader="none" w:pos="1100" w:val="left"/>
        </w:tabs>
        <w:numPr>
          <w:ilvl w:val="1"/>
          <w:numId w:val="233"/>
        </w:numPr>
        <w:rPr>
          <w:rFonts w:ascii="Arial" w:cs="Arial" w:eastAsia="Arial" w:hAnsi="Arial"/>
          <w:sz w:val="15"/>
          <w:szCs w:val="15"/>
          <w:color w:val="231F20"/>
        </w:rPr>
      </w:pPr>
      <w:r>
        <w:rPr>
          <w:rFonts w:ascii="Arial" w:cs="Arial" w:eastAsia="Arial" w:hAnsi="Arial"/>
          <w:sz w:val="15"/>
          <w:szCs w:val="15"/>
          <w:color w:val="231F20"/>
        </w:rPr>
        <w:t>Unless the applicable Agreement provides otherwise, an Option shall become cumulatively exercisable as to 25% of the shares covered thereby on each of the first, second, third, and fourth anniversaries of the date of grant. The Committee shall determine the expiration date of each Option; provided, however, that no Incentive Stock Option shall be exercisable more than ten (10) years after the date of grant.</w:t>
      </w:r>
    </w:p>
    <w:p>
      <w:pPr>
        <w:spacing w:after="0" w:line="140" w:lineRule="exact"/>
        <w:rPr>
          <w:rFonts w:ascii="Arial" w:cs="Arial" w:eastAsia="Arial" w:hAnsi="Arial"/>
          <w:sz w:val="15"/>
          <w:szCs w:val="15"/>
          <w:color w:val="231F20"/>
        </w:rPr>
      </w:pPr>
    </w:p>
    <w:p>
      <w:pPr>
        <w:ind w:left="1100" w:right="579" w:hanging="322"/>
        <w:spacing w:after="0" w:line="231" w:lineRule="auto"/>
        <w:tabs>
          <w:tab w:leader="none" w:pos="1100" w:val="left"/>
        </w:tabs>
        <w:numPr>
          <w:ilvl w:val="1"/>
          <w:numId w:val="233"/>
        </w:numPr>
        <w:rPr>
          <w:rFonts w:ascii="Arial" w:cs="Arial" w:eastAsia="Arial" w:hAnsi="Arial"/>
          <w:sz w:val="15"/>
          <w:szCs w:val="15"/>
          <w:color w:val="231F20"/>
        </w:rPr>
      </w:pPr>
      <w:r>
        <w:rPr>
          <w:rFonts w:ascii="Arial" w:cs="Arial" w:eastAsia="Arial" w:hAnsi="Arial"/>
          <w:sz w:val="15"/>
          <w:szCs w:val="15"/>
          <w:color w:val="231F20"/>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118  </w:t>
      </w:r>
      <w:r>
        <w:rPr>
          <w:rFonts w:ascii="Arial" w:cs="Arial" w:eastAsia="Arial" w:hAnsi="Arial"/>
          <w:sz w:val="14"/>
          <w:szCs w:val="14"/>
          <w:color w:val="00A5EC"/>
        </w:rPr>
        <w:t xml:space="preserve">/  </w:t>
      </w:r>
      <w:r>
        <w:rPr>
          <w:sz w:val="1"/>
          <w:szCs w:val="1"/>
          <w:color w:val="auto"/>
        </w:rPr>
        <w:drawing>
          <wp:inline distT="0" distB="0" distL="0" distR="0">
            <wp:extent cx="745490" cy="6858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45490" cy="68580"/>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30" w:name="page131"/>
    <w:bookmarkEnd w:id="130"/>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22" w:lineRule="exact"/>
        <w:rPr>
          <w:sz w:val="20"/>
          <w:szCs w:val="20"/>
          <w:color w:val="auto"/>
        </w:rPr>
      </w:pPr>
    </w:p>
    <w:p>
      <w:pPr>
        <w:ind w:left="2220" w:right="1500" w:hanging="322"/>
        <w:spacing w:after="0" w:line="227" w:lineRule="auto"/>
        <w:tabs>
          <w:tab w:leader="none" w:pos="2220" w:val="left"/>
        </w:tabs>
        <w:numPr>
          <w:ilvl w:val="1"/>
          <w:numId w:val="234"/>
        </w:numPr>
        <w:rPr>
          <w:rFonts w:ascii="Arial" w:cs="Arial" w:eastAsia="Arial" w:hAnsi="Arial"/>
          <w:sz w:val="15"/>
          <w:szCs w:val="15"/>
          <w:color w:val="231F20"/>
        </w:rPr>
      </w:pPr>
      <w:r>
        <w:rPr>
          <w:rFonts w:ascii="Arial" w:cs="Arial" w:eastAsia="Arial" w:hAnsi="Arial"/>
          <w:sz w:val="15"/>
          <w:szCs w:val="15"/>
          <w:color w:val="231F20"/>
        </w:rPr>
        <w:t>An Option shall be exercised by delivering notice as specified in the Agreement on the form of notice provided by the Company. Payment for the exercise price of the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(which shall include the use of a broker-assisted cashless exercise procedure and the payment of the exercise price by authorizing the Company to retain shares of Company Stock that otherwise would be distributed to the Participant upon exercise of the Option). In the case of a Participant who is subject to Section 16 of the Exchange Act, the Company may require that the method of making such payment be in compliance with Section 16 of the Exchange Act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146" w:lineRule="exact"/>
        <w:rPr>
          <w:rFonts w:ascii="Arial" w:cs="Arial" w:eastAsia="Arial" w:hAnsi="Arial"/>
          <w:sz w:val="15"/>
          <w:szCs w:val="15"/>
          <w:color w:val="231F20"/>
        </w:rPr>
      </w:pPr>
    </w:p>
    <w:p>
      <w:pPr>
        <w:ind w:left="2220" w:right="1480" w:hanging="322"/>
        <w:spacing w:after="0" w:line="233" w:lineRule="auto"/>
        <w:tabs>
          <w:tab w:leader="none" w:pos="2220" w:val="left"/>
        </w:tabs>
        <w:numPr>
          <w:ilvl w:val="1"/>
          <w:numId w:val="234"/>
        </w:numPr>
        <w:rPr>
          <w:rFonts w:ascii="Arial" w:cs="Arial" w:eastAsia="Arial" w:hAnsi="Arial"/>
          <w:sz w:val="15"/>
          <w:szCs w:val="15"/>
          <w:color w:val="231F20"/>
        </w:rPr>
      </w:pPr>
      <w:r>
        <w:rPr>
          <w:rFonts w:ascii="Arial" w:cs="Arial" w:eastAsia="Arial" w:hAnsi="Arial"/>
          <w:sz w:val="15"/>
          <w:szCs w:val="15"/>
          <w:color w:val="231F20"/>
        </w:rPr>
        <w:t>Certificates (if any) for shares of Company Stock purchased upon the exercise of an Option shall be issued in the name of or for the account of the Participant or other person entitled to receive such shares, and delivered to the Participant or such other person as soon as practicable following the effective date on which the Option is exercised.</w:t>
      </w:r>
    </w:p>
    <w:p>
      <w:pPr>
        <w:spacing w:after="0" w:line="140" w:lineRule="exact"/>
        <w:rPr>
          <w:rFonts w:ascii="Arial" w:cs="Arial" w:eastAsia="Arial" w:hAnsi="Arial"/>
          <w:sz w:val="15"/>
          <w:szCs w:val="15"/>
          <w:color w:val="231F20"/>
        </w:rPr>
      </w:pPr>
    </w:p>
    <w:p>
      <w:pPr>
        <w:ind w:left="2220" w:right="1500" w:hanging="322"/>
        <w:spacing w:after="0" w:line="228" w:lineRule="auto"/>
        <w:tabs>
          <w:tab w:leader="none" w:pos="2220" w:val="left"/>
        </w:tabs>
        <w:numPr>
          <w:ilvl w:val="1"/>
          <w:numId w:val="234"/>
        </w:numPr>
        <w:rPr>
          <w:rFonts w:ascii="Arial" w:cs="Arial" w:eastAsia="Arial" w:hAnsi="Arial"/>
          <w:sz w:val="15"/>
          <w:szCs w:val="15"/>
          <w:color w:val="231F20"/>
        </w:rPr>
      </w:pPr>
      <w:r>
        <w:rPr>
          <w:rFonts w:ascii="Arial" w:cs="Arial" w:eastAsia="Arial" w:hAnsi="Arial"/>
          <w:sz w:val="15"/>
          <w:szCs w:val="15"/>
          <w:color w:val="231F20"/>
        </w:rPr>
        <w:t>Notwithstanding the foregoing, an Agreement may provide that if on the last day of the term of an Option the Fair Market Value of one share of Company Stock exceeds the option price per share of Company Stock, the Participant has not exercised the Option (or a tandem Stock Appreciation Right, if applicable) and the Option has not expired, the Option shall be deemed to have been exercised by the Participant on such day with payment made by withholding shares of Company Stock otherwise issuable in connection with the exercise of the Option. In such event, the Company shall deliver to the Participant the number of shares of Company Stock for which the Option was deemed exercised, less the number of shares of Company Stock required to be withheld for the payment of the total purchase price and required withholding taxes; provided, however, any fractional shares of Company Stock shall be settled in cash.</w:t>
      </w:r>
    </w:p>
    <w:p>
      <w:pPr>
        <w:spacing w:after="0" w:line="127" w:lineRule="exact"/>
        <w:rPr>
          <w:rFonts w:ascii="Arial" w:cs="Arial" w:eastAsia="Arial" w:hAnsi="Arial"/>
          <w:sz w:val="15"/>
          <w:szCs w:val="15"/>
          <w:color w:val="231F20"/>
        </w:rPr>
      </w:pPr>
    </w:p>
    <w:p>
      <w:pPr>
        <w:ind w:left="1900" w:hanging="326"/>
        <w:spacing w:after="0"/>
        <w:tabs>
          <w:tab w:leader="none" w:pos="1900" w:val="left"/>
        </w:tabs>
        <w:numPr>
          <w:ilvl w:val="0"/>
          <w:numId w:val="235"/>
        </w:numPr>
        <w:rPr>
          <w:rFonts w:ascii="Arial" w:cs="Arial" w:eastAsia="Arial" w:hAnsi="Arial"/>
          <w:sz w:val="15"/>
          <w:szCs w:val="15"/>
          <w:b w:val="1"/>
          <w:bCs w:val="1"/>
          <w:color w:val="231F20"/>
        </w:rPr>
      </w:pPr>
      <w:r>
        <w:rPr>
          <w:rFonts w:ascii="Arial" w:cs="Arial" w:eastAsia="Arial" w:hAnsi="Arial"/>
          <w:sz w:val="15"/>
          <w:szCs w:val="15"/>
          <w:b w:val="1"/>
          <w:bCs w:val="1"/>
          <w:color w:val="231F20"/>
        </w:rPr>
        <w:t>Limitations on Incentive Stock Options</w:t>
      </w:r>
    </w:p>
    <w:p>
      <w:pPr>
        <w:spacing w:after="0" w:line="169" w:lineRule="exact"/>
        <w:rPr>
          <w:rFonts w:ascii="Arial" w:cs="Arial" w:eastAsia="Arial" w:hAnsi="Arial"/>
          <w:sz w:val="15"/>
          <w:szCs w:val="15"/>
          <w:b w:val="1"/>
          <w:bCs w:val="1"/>
          <w:color w:val="231F20"/>
        </w:rPr>
      </w:pPr>
    </w:p>
    <w:p>
      <w:pPr>
        <w:ind w:left="2220" w:right="1540" w:hanging="322"/>
        <w:spacing w:after="0" w:line="231" w:lineRule="auto"/>
        <w:tabs>
          <w:tab w:leader="none" w:pos="2220" w:val="left"/>
        </w:tabs>
        <w:numPr>
          <w:ilvl w:val="1"/>
          <w:numId w:val="235"/>
        </w:numPr>
        <w:rPr>
          <w:rFonts w:ascii="Arial" w:cs="Arial" w:eastAsia="Arial" w:hAnsi="Arial"/>
          <w:sz w:val="15"/>
          <w:szCs w:val="15"/>
          <w:color w:val="231F20"/>
        </w:rPr>
      </w:pPr>
      <w:r>
        <w:rPr>
          <w:rFonts w:ascii="Arial" w:cs="Arial" w:eastAsia="Arial" w:hAnsi="Arial"/>
          <w:sz w:val="15"/>
          <w:szCs w:val="15"/>
          <w:color w:val="231F20"/>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141" w:lineRule="exact"/>
        <w:rPr>
          <w:rFonts w:ascii="Arial" w:cs="Arial" w:eastAsia="Arial" w:hAnsi="Arial"/>
          <w:sz w:val="15"/>
          <w:szCs w:val="15"/>
          <w:color w:val="231F20"/>
        </w:rPr>
      </w:pPr>
    </w:p>
    <w:p>
      <w:pPr>
        <w:ind w:left="2220" w:right="1460" w:hanging="322"/>
        <w:spacing w:after="0" w:line="230" w:lineRule="auto"/>
        <w:tabs>
          <w:tab w:leader="none" w:pos="2220" w:val="left"/>
        </w:tabs>
        <w:numPr>
          <w:ilvl w:val="1"/>
          <w:numId w:val="235"/>
        </w:numPr>
        <w:rPr>
          <w:rFonts w:ascii="Arial" w:cs="Arial" w:eastAsia="Arial" w:hAnsi="Arial"/>
          <w:sz w:val="15"/>
          <w:szCs w:val="15"/>
          <w:color w:val="231F20"/>
        </w:rPr>
      </w:pPr>
      <w:r>
        <w:rPr>
          <w:rFonts w:ascii="Arial" w:cs="Arial" w:eastAsia="Arial" w:hAnsi="Arial"/>
          <w:sz w:val="15"/>
          <w:szCs w:val="15"/>
          <w:color w:val="231F20"/>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124" w:lineRule="exact"/>
        <w:rPr>
          <w:rFonts w:ascii="Arial" w:cs="Arial" w:eastAsia="Arial" w:hAnsi="Arial"/>
          <w:sz w:val="15"/>
          <w:szCs w:val="15"/>
          <w:color w:val="231F20"/>
        </w:rPr>
      </w:pPr>
    </w:p>
    <w:p>
      <w:pPr>
        <w:ind w:left="1900" w:hanging="326"/>
        <w:spacing w:after="0"/>
        <w:tabs>
          <w:tab w:leader="none" w:pos="1900" w:val="left"/>
        </w:tabs>
        <w:numPr>
          <w:ilvl w:val="0"/>
          <w:numId w:val="235"/>
        </w:numPr>
        <w:rPr>
          <w:rFonts w:ascii="Arial" w:cs="Arial" w:eastAsia="Arial" w:hAnsi="Arial"/>
          <w:sz w:val="15"/>
          <w:szCs w:val="15"/>
          <w:b w:val="1"/>
          <w:bCs w:val="1"/>
          <w:color w:val="231F20"/>
        </w:rPr>
      </w:pPr>
      <w:r>
        <w:rPr>
          <w:rFonts w:ascii="Arial" w:cs="Arial" w:eastAsia="Arial" w:hAnsi="Arial"/>
          <w:sz w:val="15"/>
          <w:szCs w:val="15"/>
          <w:b w:val="1"/>
          <w:bCs w:val="1"/>
          <w:color w:val="231F20"/>
        </w:rPr>
        <w:t>Effect of Termination of Employment</w:t>
      </w:r>
    </w:p>
    <w:p>
      <w:pPr>
        <w:spacing w:after="0" w:line="159" w:lineRule="exact"/>
        <w:rPr>
          <w:rFonts w:ascii="Arial" w:cs="Arial" w:eastAsia="Arial" w:hAnsi="Arial"/>
          <w:sz w:val="15"/>
          <w:szCs w:val="15"/>
          <w:b w:val="1"/>
          <w:bCs w:val="1"/>
          <w:color w:val="231F20"/>
        </w:rPr>
      </w:pPr>
    </w:p>
    <w:p>
      <w:pPr>
        <w:ind w:left="2220" w:hanging="322"/>
        <w:spacing w:after="0"/>
        <w:tabs>
          <w:tab w:leader="none" w:pos="2220" w:val="left"/>
        </w:tabs>
        <w:numPr>
          <w:ilvl w:val="1"/>
          <w:numId w:val="235"/>
        </w:numPr>
        <w:rPr>
          <w:rFonts w:ascii="Arial" w:cs="Arial" w:eastAsia="Arial" w:hAnsi="Arial"/>
          <w:sz w:val="15"/>
          <w:szCs w:val="15"/>
          <w:color w:val="231F20"/>
        </w:rPr>
      </w:pPr>
      <w:r>
        <w:rPr>
          <w:rFonts w:ascii="Arial" w:cs="Arial" w:eastAsia="Arial" w:hAnsi="Arial"/>
          <w:sz w:val="15"/>
          <w:szCs w:val="15"/>
          <w:color w:val="231F20"/>
        </w:rPr>
        <w:t>In the event that the employment of a Participant with the Company shall terminate for any reason other than</w:t>
      </w:r>
    </w:p>
    <w:p>
      <w:pPr>
        <w:ind w:left="2220" w:right="1600"/>
        <w:spacing w:after="0" w:line="231" w:lineRule="auto"/>
        <w:rPr>
          <w:rFonts w:ascii="Arial" w:cs="Arial" w:eastAsia="Arial" w:hAnsi="Arial"/>
          <w:sz w:val="15"/>
          <w:szCs w:val="15"/>
          <w:color w:val="231F20"/>
        </w:rPr>
      </w:pPr>
      <w:r>
        <w:rPr>
          <w:rFonts w:ascii="Arial" w:cs="Arial" w:eastAsia="Arial" w:hAnsi="Arial"/>
          <w:sz w:val="15"/>
          <w:szCs w:val="15"/>
          <w:color w:val="231F20"/>
        </w:rPr>
        <w:t>(A) Cause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119</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31" w:name="page132"/>
    <w:bookmarkEnd w:id="131"/>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22" w:lineRule="exact"/>
        <w:rPr>
          <w:sz w:val="20"/>
          <w:szCs w:val="20"/>
          <w:color w:val="auto"/>
        </w:rPr>
      </w:pPr>
    </w:p>
    <w:p>
      <w:pPr>
        <w:ind w:left="1100" w:right="419" w:hanging="322"/>
        <w:spacing w:after="0"/>
        <w:tabs>
          <w:tab w:leader="none" w:pos="1100" w:val="left"/>
        </w:tabs>
        <w:numPr>
          <w:ilvl w:val="1"/>
          <w:numId w:val="236"/>
        </w:numPr>
        <w:rPr>
          <w:rFonts w:ascii="Arial" w:cs="Arial" w:eastAsia="Arial" w:hAnsi="Arial"/>
          <w:sz w:val="15"/>
          <w:szCs w:val="15"/>
          <w:color w:val="231F20"/>
        </w:rPr>
      </w:pPr>
      <w:r>
        <w:rPr>
          <w:rFonts w:ascii="Arial" w:cs="Arial" w:eastAsia="Arial" w:hAnsi="Arial"/>
          <w:sz w:val="15"/>
          <w:szCs w:val="15"/>
          <w:color w:val="231F20"/>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their respective terms. Unless the applicable Agreement provides otherwise,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208" w:lineRule="exact"/>
        <w:rPr>
          <w:rFonts w:ascii="Arial" w:cs="Arial" w:eastAsia="Arial" w:hAnsi="Arial"/>
          <w:sz w:val="15"/>
          <w:szCs w:val="15"/>
          <w:color w:val="231F20"/>
        </w:rPr>
      </w:pPr>
    </w:p>
    <w:p>
      <w:pPr>
        <w:ind w:left="1100" w:right="399" w:hanging="322"/>
        <w:spacing w:after="0" w:line="242" w:lineRule="auto"/>
        <w:tabs>
          <w:tab w:leader="none" w:pos="1100" w:val="left"/>
        </w:tabs>
        <w:numPr>
          <w:ilvl w:val="1"/>
          <w:numId w:val="236"/>
        </w:numPr>
        <w:rPr>
          <w:rFonts w:ascii="Arial" w:cs="Arial" w:eastAsia="Arial" w:hAnsi="Arial"/>
          <w:sz w:val="15"/>
          <w:szCs w:val="15"/>
          <w:color w:val="231F20"/>
        </w:rPr>
      </w:pPr>
      <w:r>
        <w:rPr>
          <w:rFonts w:ascii="Arial" w:cs="Arial" w:eastAsia="Arial" w:hAnsi="Arial"/>
          <w:sz w:val="15"/>
          <w:szCs w:val="15"/>
          <w:color w:val="231F20"/>
        </w:rPr>
        <w:t>In the event of the termination of a Participant’s employment for Cause, all outstanding Options granted to such Participant shall expire at the commencement of business on the date of such termination.</w:t>
      </w:r>
    </w:p>
    <w:p>
      <w:pPr>
        <w:spacing w:after="0" w:line="120" w:lineRule="exact"/>
        <w:rPr>
          <w:rFonts w:ascii="Arial" w:cs="Arial" w:eastAsia="Arial" w:hAnsi="Arial"/>
          <w:sz w:val="15"/>
          <w:szCs w:val="15"/>
          <w:color w:val="231F20"/>
        </w:rPr>
      </w:pPr>
    </w:p>
    <w:p>
      <w:pPr>
        <w:ind w:left="780" w:hanging="326"/>
        <w:spacing w:after="0"/>
        <w:tabs>
          <w:tab w:leader="none" w:pos="780" w:val="left"/>
        </w:tabs>
        <w:numPr>
          <w:ilvl w:val="0"/>
          <w:numId w:val="237"/>
        </w:numPr>
        <w:rPr>
          <w:rFonts w:ascii="Arial" w:cs="Arial" w:eastAsia="Arial" w:hAnsi="Arial"/>
          <w:sz w:val="15"/>
          <w:szCs w:val="15"/>
          <w:b w:val="1"/>
          <w:bCs w:val="1"/>
          <w:color w:val="231F20"/>
        </w:rPr>
      </w:pPr>
      <w:r>
        <w:rPr>
          <w:rFonts w:ascii="Arial" w:cs="Arial" w:eastAsia="Arial" w:hAnsi="Arial"/>
          <w:sz w:val="15"/>
          <w:szCs w:val="15"/>
          <w:b w:val="1"/>
          <w:bCs w:val="1"/>
          <w:color w:val="231F20"/>
        </w:rPr>
        <w:t>Acceleration of Exercise Date Upon Change in Control</w:t>
      </w:r>
    </w:p>
    <w:p>
      <w:pPr>
        <w:spacing w:after="0" w:line="7" w:lineRule="exact"/>
        <w:rPr>
          <w:rFonts w:ascii="Arial" w:cs="Arial" w:eastAsia="Arial" w:hAnsi="Arial"/>
          <w:sz w:val="15"/>
          <w:szCs w:val="15"/>
          <w:b w:val="1"/>
          <w:bCs w:val="1"/>
          <w:color w:val="231F20"/>
        </w:rPr>
      </w:pPr>
    </w:p>
    <w:p>
      <w:pPr>
        <w:ind w:left="780" w:right="439"/>
        <w:spacing w:after="0" w:line="231" w:lineRule="auto"/>
        <w:rPr>
          <w:rFonts w:ascii="Arial" w:cs="Arial" w:eastAsia="Arial" w:hAnsi="Arial"/>
          <w:sz w:val="15"/>
          <w:szCs w:val="15"/>
          <w:b w:val="1"/>
          <w:bCs w:val="1"/>
          <w:color w:val="231F20"/>
        </w:rPr>
      </w:pPr>
      <w:r>
        <w:rPr>
          <w:rFonts w:ascii="Arial" w:cs="Arial" w:eastAsia="Arial" w:hAnsi="Arial"/>
          <w:sz w:val="15"/>
          <w:szCs w:val="15"/>
          <w:color w:val="231F20"/>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123"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7"/>
        </w:numPr>
        <w:rPr>
          <w:rFonts w:ascii="Arial" w:cs="Arial" w:eastAsia="Arial" w:hAnsi="Arial"/>
          <w:sz w:val="15"/>
          <w:szCs w:val="15"/>
          <w:b w:val="1"/>
          <w:bCs w:val="1"/>
          <w:color w:val="231F20"/>
        </w:rPr>
      </w:pPr>
      <w:r>
        <w:rPr>
          <w:rFonts w:ascii="Arial" w:cs="Arial" w:eastAsia="Arial" w:hAnsi="Arial"/>
          <w:sz w:val="15"/>
          <w:szCs w:val="15"/>
          <w:b w:val="1"/>
          <w:bCs w:val="1"/>
          <w:color w:val="231F20"/>
        </w:rPr>
        <w:t>Leave of Absence</w:t>
      </w:r>
    </w:p>
    <w:p>
      <w:pPr>
        <w:spacing w:after="0" w:line="7" w:lineRule="exact"/>
        <w:rPr>
          <w:rFonts w:ascii="Arial" w:cs="Arial" w:eastAsia="Arial" w:hAnsi="Arial"/>
          <w:sz w:val="15"/>
          <w:szCs w:val="15"/>
          <w:b w:val="1"/>
          <w:bCs w:val="1"/>
          <w:color w:val="231F20"/>
        </w:rPr>
      </w:pPr>
    </w:p>
    <w:p>
      <w:pPr>
        <w:ind w:left="780" w:right="379"/>
        <w:spacing w:after="0" w:line="235" w:lineRule="auto"/>
        <w:rPr>
          <w:rFonts w:ascii="Arial" w:cs="Arial" w:eastAsia="Arial" w:hAnsi="Arial"/>
          <w:sz w:val="15"/>
          <w:szCs w:val="15"/>
          <w:b w:val="1"/>
          <w:bCs w:val="1"/>
          <w:color w:val="231F20"/>
        </w:rPr>
      </w:pPr>
      <w:r>
        <w:rPr>
          <w:rFonts w:ascii="Arial" w:cs="Arial" w:eastAsia="Arial" w:hAnsi="Arial"/>
          <w:sz w:val="15"/>
          <w:szCs w:val="15"/>
          <w:color w:val="231F20"/>
        </w:rPr>
        <w:t>In the case of any Participant on an approved leave of absence, the Committee may make such provision respecting the continuance of the Options held by such Participant while in the employ or service of the Company as it may deem equitable, except that in no event may an Option be exercised after its expiration.</w:t>
      </w:r>
    </w:p>
    <w:p>
      <w:pPr>
        <w:spacing w:after="0" w:line="123"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37"/>
        </w:numPr>
        <w:rPr>
          <w:rFonts w:ascii="Arial" w:cs="Arial" w:eastAsia="Arial" w:hAnsi="Arial"/>
          <w:sz w:val="15"/>
          <w:szCs w:val="15"/>
          <w:b w:val="1"/>
          <w:bCs w:val="1"/>
          <w:color w:val="231F20"/>
        </w:rPr>
      </w:pPr>
      <w:r>
        <w:rPr>
          <w:rFonts w:ascii="Arial" w:cs="Arial" w:eastAsia="Arial" w:hAnsi="Arial"/>
          <w:sz w:val="15"/>
          <w:szCs w:val="15"/>
          <w:b w:val="1"/>
          <w:bCs w:val="1"/>
          <w:color w:val="231F20"/>
        </w:rPr>
        <w:t>Stock Appreciation Rights</w:t>
      </w:r>
    </w:p>
    <w:p>
      <w:pPr>
        <w:spacing w:after="0" w:line="169" w:lineRule="exact"/>
        <w:rPr>
          <w:rFonts w:ascii="Arial" w:cs="Arial" w:eastAsia="Arial" w:hAnsi="Arial"/>
          <w:sz w:val="15"/>
          <w:szCs w:val="15"/>
          <w:b w:val="1"/>
          <w:bCs w:val="1"/>
          <w:color w:val="231F20"/>
        </w:rPr>
      </w:pPr>
    </w:p>
    <w:p>
      <w:pPr>
        <w:ind w:left="1100" w:right="479" w:hanging="322"/>
        <w:spacing w:after="0" w:line="231" w:lineRule="auto"/>
        <w:tabs>
          <w:tab w:leader="none" w:pos="1100" w:val="left"/>
        </w:tabs>
        <w:numPr>
          <w:ilvl w:val="1"/>
          <w:numId w:val="237"/>
        </w:numPr>
        <w:rPr>
          <w:rFonts w:ascii="Arial" w:cs="Arial" w:eastAsia="Arial" w:hAnsi="Arial"/>
          <w:sz w:val="15"/>
          <w:szCs w:val="15"/>
          <w:color w:val="231F20"/>
        </w:rPr>
      </w:pPr>
      <w:r>
        <w:rPr>
          <w:rFonts w:ascii="Arial" w:cs="Arial" w:eastAsia="Arial" w:hAnsi="Arial"/>
          <w:sz w:val="15"/>
          <w:szCs w:val="15"/>
          <w:color w:val="231F20"/>
        </w:rPr>
        <w:t>The Committee may grant Stock Appreciation Rights (a) in tandem with all or part of any Option granted under the Plan or at any subsequent time during the term of such Option, (b) in tandem with all or part of any Award (other than an Option) granted under the Plan or at any subsequent time during the term of such Award or (c) without regard to any Option or other Award, in each case upon such terms and conditions as the Committee may establish in its sole discretion.</w:t>
      </w:r>
    </w:p>
    <w:p>
      <w:pPr>
        <w:spacing w:after="0" w:line="141" w:lineRule="exact"/>
        <w:rPr>
          <w:rFonts w:ascii="Arial" w:cs="Arial" w:eastAsia="Arial" w:hAnsi="Arial"/>
          <w:sz w:val="15"/>
          <w:szCs w:val="15"/>
          <w:color w:val="231F20"/>
        </w:rPr>
      </w:pPr>
    </w:p>
    <w:p>
      <w:pPr>
        <w:ind w:left="1100" w:right="459" w:hanging="322"/>
        <w:spacing w:after="0" w:line="242" w:lineRule="auto"/>
        <w:tabs>
          <w:tab w:leader="none" w:pos="1100" w:val="left"/>
        </w:tabs>
        <w:numPr>
          <w:ilvl w:val="1"/>
          <w:numId w:val="237"/>
        </w:numPr>
        <w:rPr>
          <w:rFonts w:ascii="Arial" w:cs="Arial" w:eastAsia="Arial" w:hAnsi="Arial"/>
          <w:sz w:val="15"/>
          <w:szCs w:val="15"/>
          <w:color w:val="231F20"/>
        </w:rPr>
      </w:pPr>
      <w:r>
        <w:rPr>
          <w:rFonts w:ascii="Arial" w:cs="Arial" w:eastAsia="Arial" w:hAnsi="Arial"/>
          <w:sz w:val="15"/>
          <w:szCs w:val="15"/>
          <w:color w:val="231F20"/>
        </w:rPr>
        <w:t>Stock Appreciation Rights shall be subject to such terms and conditions, not inconsistent with the provisions of the Plan, as shall be determined from time to time by the Committee, including the following:</w:t>
      </w:r>
    </w:p>
    <w:p>
      <w:pPr>
        <w:spacing w:after="0" w:line="138" w:lineRule="exact"/>
        <w:rPr>
          <w:rFonts w:ascii="Arial" w:cs="Arial" w:eastAsia="Arial" w:hAnsi="Arial"/>
          <w:sz w:val="15"/>
          <w:szCs w:val="15"/>
          <w:color w:val="231F20"/>
        </w:rPr>
      </w:pPr>
    </w:p>
    <w:p>
      <w:pPr>
        <w:ind w:left="1420" w:right="499" w:hanging="318"/>
        <w:spacing w:after="0" w:line="233" w:lineRule="auto"/>
        <w:tabs>
          <w:tab w:leader="none" w:pos="1420" w:val="left"/>
        </w:tabs>
        <w:numPr>
          <w:ilvl w:val="2"/>
          <w:numId w:val="237"/>
        </w:numPr>
        <w:rPr>
          <w:rFonts w:ascii="Arial" w:cs="Arial" w:eastAsia="Arial" w:hAnsi="Arial"/>
          <w:sz w:val="15"/>
          <w:szCs w:val="15"/>
          <w:color w:val="231F20"/>
        </w:rPr>
      </w:pPr>
      <w:r>
        <w:rPr>
          <w:rFonts w:ascii="Arial" w:cs="Arial" w:eastAsia="Arial" w:hAnsi="Arial"/>
          <w:sz w:val="15"/>
          <w:szCs w:val="15"/>
          <w:color w:val="231F20"/>
        </w:rPr>
        <w:t>Unless the applicable Agreement provides otherwise, a Stock Appreciation Right shall become cumulatively exercisable as to 25% of the shares of Company Stock covered thereby on each of the first, second, third, and fourth anniversaries of the date of grant. The Committee shall determine the expiration date of each Stock Appreciation Right.</w:t>
      </w:r>
    </w:p>
    <w:p>
      <w:pPr>
        <w:spacing w:after="0" w:line="140" w:lineRule="exact"/>
        <w:rPr>
          <w:rFonts w:ascii="Arial" w:cs="Arial" w:eastAsia="Arial" w:hAnsi="Arial"/>
          <w:sz w:val="15"/>
          <w:szCs w:val="15"/>
          <w:color w:val="231F20"/>
        </w:rPr>
      </w:pPr>
    </w:p>
    <w:p>
      <w:pPr>
        <w:ind w:left="1420" w:right="419" w:hanging="318"/>
        <w:spacing w:after="0" w:line="233" w:lineRule="auto"/>
        <w:tabs>
          <w:tab w:leader="none" w:pos="1420" w:val="left"/>
        </w:tabs>
        <w:numPr>
          <w:ilvl w:val="2"/>
          <w:numId w:val="237"/>
        </w:numPr>
        <w:rPr>
          <w:rFonts w:ascii="Arial" w:cs="Arial" w:eastAsia="Arial" w:hAnsi="Arial"/>
          <w:sz w:val="15"/>
          <w:szCs w:val="15"/>
          <w:color w:val="231F20"/>
        </w:rPr>
      </w:pPr>
      <w:r>
        <w:rPr>
          <w:rFonts w:ascii="Arial" w:cs="Arial" w:eastAsia="Arial" w:hAnsi="Arial"/>
          <w:sz w:val="15"/>
          <w:szCs w:val="15"/>
          <w:color w:val="231F20"/>
        </w:rPr>
        <w:t>Upon the exercise of a Stock Appreciation Right, the holder shall have the right to receive the excess of (i) the Fair Market Value of one share of Company Stock on the date of exercise (or such amount less than such Fair Market Value as the Committee shall so determine at any time during a specified period before the date of exercise) over (ii) the grant price of the Stock Appreciation Right.</w:t>
      </w:r>
    </w:p>
    <w:p>
      <w:pPr>
        <w:spacing w:after="0" w:line="140" w:lineRule="exact"/>
        <w:rPr>
          <w:rFonts w:ascii="Arial" w:cs="Arial" w:eastAsia="Arial" w:hAnsi="Arial"/>
          <w:sz w:val="15"/>
          <w:szCs w:val="15"/>
          <w:color w:val="231F20"/>
        </w:rPr>
      </w:pPr>
    </w:p>
    <w:p>
      <w:pPr>
        <w:ind w:left="1420" w:right="439" w:hanging="318"/>
        <w:spacing w:after="0" w:line="235" w:lineRule="auto"/>
        <w:tabs>
          <w:tab w:leader="none" w:pos="1420" w:val="left"/>
        </w:tabs>
        <w:numPr>
          <w:ilvl w:val="2"/>
          <w:numId w:val="237"/>
        </w:numPr>
        <w:rPr>
          <w:rFonts w:ascii="Arial" w:cs="Arial" w:eastAsia="Arial" w:hAnsi="Arial"/>
          <w:sz w:val="15"/>
          <w:szCs w:val="15"/>
          <w:color w:val="231F20"/>
        </w:rPr>
      </w:pPr>
      <w:r>
        <w:rPr>
          <w:rFonts w:ascii="Arial" w:cs="Arial" w:eastAsia="Arial" w:hAnsi="Arial"/>
          <w:sz w:val="15"/>
          <w:szCs w:val="15"/>
          <w:color w:val="231F20"/>
        </w:rPr>
        <w:t>The Committee shall determine in its sole discretion whether payment on exercise of a Stock Appreciation Right shall be made in cash, in whole shares of Company Stock or other property, or any combination thereof.</w:t>
      </w:r>
    </w:p>
    <w:p>
      <w:pPr>
        <w:spacing w:after="0" w:line="141" w:lineRule="exact"/>
        <w:rPr>
          <w:rFonts w:ascii="Arial" w:cs="Arial" w:eastAsia="Arial" w:hAnsi="Arial"/>
          <w:sz w:val="15"/>
          <w:szCs w:val="15"/>
          <w:color w:val="231F20"/>
        </w:rPr>
      </w:pPr>
    </w:p>
    <w:p>
      <w:pPr>
        <w:ind w:left="1420" w:right="979" w:hanging="318"/>
        <w:spacing w:after="0" w:line="242" w:lineRule="auto"/>
        <w:tabs>
          <w:tab w:leader="none" w:pos="1420" w:val="left"/>
        </w:tabs>
        <w:numPr>
          <w:ilvl w:val="2"/>
          <w:numId w:val="237"/>
        </w:numPr>
        <w:rPr>
          <w:rFonts w:ascii="Arial" w:cs="Arial" w:eastAsia="Arial" w:hAnsi="Arial"/>
          <w:sz w:val="15"/>
          <w:szCs w:val="15"/>
          <w:color w:val="231F20"/>
        </w:rPr>
      </w:pPr>
      <w:r>
        <w:rPr>
          <w:rFonts w:ascii="Arial" w:cs="Arial" w:eastAsia="Arial" w:hAnsi="Arial"/>
          <w:sz w:val="15"/>
          <w:szCs w:val="15"/>
          <w:color w:val="231F20"/>
        </w:rPr>
        <w:t>The terms and conditions of Stock Appreciation Rights need not be the same with respect to each recipient.</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120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32" w:name="page133"/>
    <w:bookmarkEnd w:id="132"/>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22" w:lineRule="exact"/>
        <w:rPr>
          <w:sz w:val="20"/>
          <w:szCs w:val="20"/>
          <w:color w:val="auto"/>
        </w:rPr>
      </w:pPr>
    </w:p>
    <w:p>
      <w:pPr>
        <w:ind w:left="2540" w:right="1540" w:hanging="318"/>
        <w:spacing w:after="0" w:line="225" w:lineRule="auto"/>
        <w:tabs>
          <w:tab w:leader="none" w:pos="2540" w:val="left"/>
        </w:tabs>
        <w:numPr>
          <w:ilvl w:val="0"/>
          <w:numId w:val="238"/>
        </w:numPr>
        <w:rPr>
          <w:rFonts w:ascii="Arial" w:cs="Arial" w:eastAsia="Arial" w:hAnsi="Arial"/>
          <w:sz w:val="15"/>
          <w:szCs w:val="15"/>
          <w:color w:val="231F20"/>
        </w:rPr>
      </w:pPr>
      <w:r>
        <w:rPr>
          <w:rFonts w:ascii="Arial" w:cs="Arial" w:eastAsia="Arial" w:hAnsi="Arial"/>
          <w:sz w:val="15"/>
          <w:szCs w:val="15"/>
          <w:color w:val="231F20"/>
        </w:rPr>
        <w:t>The Committee may impose such other terms and conditions on the exercise of any Stock Appreciation Right as it shall deem appropriate. A Stock Appreciation Right shall (i) have a grant price per share of Company Stock of no less than the Fair Market Value of one share of Company Stock on the date of grant or, if applicable, on the date of grant of an Option with respect to a Stock Appreciation Right granted in exchange for or in tandem with, but subsequent to, the Option (subject to the requirements of Section</w:t>
      </w:r>
    </w:p>
    <w:p>
      <w:pPr>
        <w:spacing w:after="0" w:line="1" w:lineRule="exact"/>
        <w:rPr>
          <w:rFonts w:ascii="Arial" w:cs="Arial" w:eastAsia="Arial" w:hAnsi="Arial"/>
          <w:sz w:val="15"/>
          <w:szCs w:val="15"/>
          <w:color w:val="231F20"/>
        </w:rPr>
      </w:pPr>
    </w:p>
    <w:p>
      <w:pPr>
        <w:ind w:left="2540" w:right="1500"/>
        <w:spacing w:after="0" w:line="242" w:lineRule="auto"/>
        <w:rPr>
          <w:rFonts w:ascii="Arial" w:cs="Arial" w:eastAsia="Arial" w:hAnsi="Arial"/>
          <w:sz w:val="15"/>
          <w:szCs w:val="15"/>
          <w:color w:val="231F20"/>
        </w:rPr>
      </w:pPr>
      <w:r>
        <w:rPr>
          <w:rFonts w:ascii="Arial" w:cs="Arial" w:eastAsia="Arial" w:hAnsi="Arial"/>
          <w:sz w:val="15"/>
          <w:szCs w:val="15"/>
          <w:color w:val="231F20"/>
        </w:rPr>
        <w:t>409A of the Code) except in the case of Substitute Awards or in connection with an adjustment provided in Section 3(c) hereof.</w:t>
      </w:r>
    </w:p>
    <w:p>
      <w:pPr>
        <w:spacing w:after="0" w:line="138" w:lineRule="exact"/>
        <w:rPr>
          <w:rFonts w:ascii="Arial" w:cs="Arial" w:eastAsia="Arial" w:hAnsi="Arial"/>
          <w:sz w:val="15"/>
          <w:szCs w:val="15"/>
          <w:color w:val="231F20"/>
        </w:rPr>
      </w:pPr>
    </w:p>
    <w:p>
      <w:pPr>
        <w:ind w:left="2540" w:right="1460" w:hanging="318"/>
        <w:spacing w:after="0" w:line="229" w:lineRule="auto"/>
        <w:tabs>
          <w:tab w:leader="none" w:pos="2540" w:val="left"/>
        </w:tabs>
        <w:numPr>
          <w:ilvl w:val="0"/>
          <w:numId w:val="238"/>
        </w:numPr>
        <w:rPr>
          <w:rFonts w:ascii="Arial" w:cs="Arial" w:eastAsia="Arial" w:hAnsi="Arial"/>
          <w:sz w:val="15"/>
          <w:szCs w:val="15"/>
          <w:color w:val="231F20"/>
        </w:rPr>
      </w:pPr>
      <w:r>
        <w:rPr>
          <w:rFonts w:ascii="Arial" w:cs="Arial" w:eastAsia="Arial" w:hAnsi="Arial"/>
          <w:sz w:val="15"/>
          <w:szCs w:val="15"/>
          <w:color w:val="231F20"/>
        </w:rPr>
        <w:t>An Agreement may provide that if on the last day of the term of a Stock Appreciation Right the Fair Market Value of one share of Company Stock exceeds the grant price per share of Company Stock of the Stock Appreciation Right, the Participant has not exercised the Stock Appreciation Right or the tandem Option (if applicable), and the Stock Appreciation Right has not otherwise expired, the Stock Appreciation Right shall be deemed to have been exercised by the Participant on such day. In such event, the Company shall make payment to the Participant in accordance with this Section, reduced by the number of shares of Company Stock (or cash) required for withholding taxes; any fractional share of Company Stock shall be settled in cash.</w:t>
      </w:r>
    </w:p>
    <w:p>
      <w:pPr>
        <w:spacing w:after="0" w:line="141" w:lineRule="exact"/>
        <w:rPr>
          <w:sz w:val="20"/>
          <w:szCs w:val="20"/>
          <w:color w:val="auto"/>
        </w:rPr>
      </w:pPr>
    </w:p>
    <w:p>
      <w:pPr>
        <w:ind w:left="1580" w:right="1680"/>
        <w:spacing w:after="0" w:line="230" w:lineRule="auto"/>
        <w:rPr>
          <w:sz w:val="20"/>
          <w:szCs w:val="20"/>
          <w:color w:val="auto"/>
        </w:rPr>
      </w:pPr>
      <w:r>
        <w:rPr>
          <w:rFonts w:ascii="Arial" w:cs="Arial" w:eastAsia="Arial" w:hAnsi="Arial"/>
          <w:sz w:val="15"/>
          <w:szCs w:val="15"/>
          <w:color w:val="231F20"/>
        </w:rPr>
        <w:t>Without the approval of the Company’s shareholders, other than pursuant to Section 3(e) hereof, the Committee shall not (i) reduce the grant price of any Stock Appreciation Right after the date of grant, (ii) cancel any Stock Appreciation Right when the grant price per Share exceeds the Fair Market Value of one share of Company Stock in exchange for cash or another Award (other than in connection with a Change in Control), or (iii) take any other action with respect to a Stock Appreciation Right that would be treated as a repricing under the rules and regulations of the principal U.S. national securities exchange on which the shares of Company Stock are listed.</w:t>
      </w:r>
    </w:p>
    <w:p>
      <w:pPr>
        <w:spacing w:after="0" w:line="12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8. Restricted Stock</w:t>
      </w:r>
    </w:p>
    <w:p>
      <w:pPr>
        <w:spacing w:after="0" w:line="199" w:lineRule="exact"/>
        <w:rPr>
          <w:sz w:val="20"/>
          <w:szCs w:val="20"/>
          <w:color w:val="auto"/>
        </w:rPr>
      </w:pPr>
    </w:p>
    <w:p>
      <w:pPr>
        <w:ind w:left="1900" w:hanging="326"/>
        <w:spacing w:after="0"/>
        <w:tabs>
          <w:tab w:leader="none" w:pos="1900" w:val="left"/>
        </w:tabs>
        <w:numPr>
          <w:ilvl w:val="0"/>
          <w:numId w:val="239"/>
        </w:numPr>
        <w:rPr>
          <w:rFonts w:ascii="Arial" w:cs="Arial" w:eastAsia="Arial" w:hAnsi="Arial"/>
          <w:sz w:val="15"/>
          <w:szCs w:val="15"/>
          <w:b w:val="1"/>
          <w:bCs w:val="1"/>
          <w:color w:val="231F20"/>
        </w:rPr>
      </w:pPr>
      <w:r>
        <w:rPr>
          <w:rFonts w:ascii="Arial" w:cs="Arial" w:eastAsia="Arial" w:hAnsi="Arial"/>
          <w:sz w:val="15"/>
          <w:szCs w:val="15"/>
          <w:b w:val="1"/>
          <w:bCs w:val="1"/>
          <w:color w:val="231F20"/>
        </w:rPr>
        <w:t>Price</w:t>
      </w:r>
    </w:p>
    <w:p>
      <w:pPr>
        <w:spacing w:after="0" w:line="7" w:lineRule="exact"/>
        <w:rPr>
          <w:rFonts w:ascii="Arial" w:cs="Arial" w:eastAsia="Arial" w:hAnsi="Arial"/>
          <w:sz w:val="15"/>
          <w:szCs w:val="15"/>
          <w:b w:val="1"/>
          <w:bCs w:val="1"/>
          <w:color w:val="231F20"/>
        </w:rPr>
      </w:pPr>
    </w:p>
    <w:p>
      <w:pPr>
        <w:ind w:left="1900" w:right="1600"/>
        <w:spacing w:after="0" w:line="242" w:lineRule="auto"/>
        <w:rPr>
          <w:rFonts w:ascii="Arial" w:cs="Arial" w:eastAsia="Arial" w:hAnsi="Arial"/>
          <w:sz w:val="15"/>
          <w:szCs w:val="15"/>
          <w:b w:val="1"/>
          <w:bCs w:val="1"/>
          <w:color w:val="231F20"/>
        </w:rPr>
      </w:pPr>
      <w:r>
        <w:rPr>
          <w:rFonts w:ascii="Arial" w:cs="Arial" w:eastAsia="Arial" w:hAnsi="Arial"/>
          <w:sz w:val="15"/>
          <w:szCs w:val="15"/>
          <w:color w:val="231F20"/>
        </w:rPr>
        <w:t>At the time of the grant of shares of Restricted Stock, the Committee shall determine the price, if any, to be paid by the Participant for each share of Restricted Stock subject to the Award.</w:t>
      </w:r>
    </w:p>
    <w:p>
      <w:pPr>
        <w:spacing w:after="0" w:line="120"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39"/>
        </w:numPr>
        <w:rPr>
          <w:rFonts w:ascii="Arial" w:cs="Arial" w:eastAsia="Arial" w:hAnsi="Arial"/>
          <w:sz w:val="15"/>
          <w:szCs w:val="15"/>
          <w:b w:val="1"/>
          <w:bCs w:val="1"/>
          <w:color w:val="231F20"/>
        </w:rPr>
      </w:pPr>
      <w:r>
        <w:rPr>
          <w:rFonts w:ascii="Arial" w:cs="Arial" w:eastAsia="Arial" w:hAnsi="Arial"/>
          <w:sz w:val="15"/>
          <w:szCs w:val="15"/>
          <w:b w:val="1"/>
          <w:bCs w:val="1"/>
          <w:color w:val="231F20"/>
        </w:rPr>
        <w:t>Vesting Date</w:t>
      </w:r>
    </w:p>
    <w:p>
      <w:pPr>
        <w:spacing w:after="0" w:line="7" w:lineRule="exact"/>
        <w:rPr>
          <w:rFonts w:ascii="Arial" w:cs="Arial" w:eastAsia="Arial" w:hAnsi="Arial"/>
          <w:sz w:val="15"/>
          <w:szCs w:val="15"/>
          <w:b w:val="1"/>
          <w:bCs w:val="1"/>
          <w:color w:val="231F20"/>
        </w:rPr>
      </w:pPr>
    </w:p>
    <w:p>
      <w:pPr>
        <w:ind w:left="1900" w:right="1500"/>
        <w:spacing w:after="0" w:line="230" w:lineRule="auto"/>
        <w:rPr>
          <w:rFonts w:ascii="Arial" w:cs="Arial" w:eastAsia="Arial" w:hAnsi="Arial"/>
          <w:sz w:val="15"/>
          <w:szCs w:val="15"/>
          <w:b w:val="1"/>
          <w:bCs w:val="1"/>
          <w:color w:val="231F20"/>
        </w:rPr>
      </w:pPr>
      <w:r>
        <w:rPr>
          <w:rFonts w:ascii="Arial" w:cs="Arial" w:eastAsia="Arial" w:hAnsi="Arial"/>
          <w:sz w:val="15"/>
          <w:szCs w:val="15"/>
          <w:color w:val="231F20"/>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hereof are satisfied, and except as provided in Section 8(h), upon the occurrence of the Vesting Date with respect to a share of Restricted Stock, such share shall vest and the restrictions of Section 8(d) hereof shall lapse.</w:t>
      </w:r>
    </w:p>
    <w:p>
      <w:pPr>
        <w:spacing w:after="0" w:line="124"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39"/>
        </w:numPr>
        <w:rPr>
          <w:rFonts w:ascii="Arial" w:cs="Arial" w:eastAsia="Arial" w:hAnsi="Arial"/>
          <w:sz w:val="15"/>
          <w:szCs w:val="15"/>
          <w:b w:val="1"/>
          <w:bCs w:val="1"/>
          <w:color w:val="231F20"/>
        </w:rPr>
      </w:pPr>
      <w:r>
        <w:rPr>
          <w:rFonts w:ascii="Arial" w:cs="Arial" w:eastAsia="Arial" w:hAnsi="Arial"/>
          <w:sz w:val="15"/>
          <w:szCs w:val="15"/>
          <w:b w:val="1"/>
          <w:bCs w:val="1"/>
          <w:color w:val="231F20"/>
        </w:rPr>
        <w:t>Conditions to Vesting</w:t>
      </w:r>
    </w:p>
    <w:p>
      <w:pPr>
        <w:spacing w:after="0" w:line="7" w:lineRule="exact"/>
        <w:rPr>
          <w:rFonts w:ascii="Arial" w:cs="Arial" w:eastAsia="Arial" w:hAnsi="Arial"/>
          <w:sz w:val="15"/>
          <w:szCs w:val="15"/>
          <w:b w:val="1"/>
          <w:bCs w:val="1"/>
          <w:color w:val="231F20"/>
        </w:rPr>
      </w:pPr>
    </w:p>
    <w:p>
      <w:pPr>
        <w:ind w:left="1900" w:right="1500"/>
        <w:spacing w:after="0" w:line="242" w:lineRule="auto"/>
        <w:rPr>
          <w:rFonts w:ascii="Arial" w:cs="Arial" w:eastAsia="Arial" w:hAnsi="Arial"/>
          <w:sz w:val="15"/>
          <w:szCs w:val="15"/>
          <w:b w:val="1"/>
          <w:bCs w:val="1"/>
          <w:color w:val="231F20"/>
        </w:rPr>
      </w:pPr>
      <w:r>
        <w:rPr>
          <w:rFonts w:ascii="Arial" w:cs="Arial" w:eastAsia="Arial" w:hAnsi="Arial"/>
          <w:sz w:val="15"/>
          <w:szCs w:val="15"/>
          <w:color w:val="231F20"/>
        </w:rPr>
        <w:t>Subject to Section 31 hereof, at the time of the grant of shares of Restricted Stock, the Committee may impose such restrictions or conditions to the vesting of such shares as it, in its absolute discretion, deems appropriate.</w:t>
      </w:r>
    </w:p>
    <w:p>
      <w:pPr>
        <w:spacing w:after="0" w:line="120"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39"/>
        </w:numPr>
        <w:rPr>
          <w:rFonts w:ascii="Arial" w:cs="Arial" w:eastAsia="Arial" w:hAnsi="Arial"/>
          <w:sz w:val="15"/>
          <w:szCs w:val="15"/>
          <w:b w:val="1"/>
          <w:bCs w:val="1"/>
          <w:color w:val="231F20"/>
        </w:rPr>
      </w:pPr>
      <w:r>
        <w:rPr>
          <w:rFonts w:ascii="Arial" w:cs="Arial" w:eastAsia="Arial" w:hAnsi="Arial"/>
          <w:sz w:val="15"/>
          <w:szCs w:val="15"/>
          <w:b w:val="1"/>
          <w:bCs w:val="1"/>
          <w:color w:val="231F20"/>
        </w:rPr>
        <w:t>Restrictions on Transfer Prior to Vesting</w:t>
      </w:r>
    </w:p>
    <w:p>
      <w:pPr>
        <w:spacing w:after="0" w:line="7" w:lineRule="exact"/>
        <w:rPr>
          <w:rFonts w:ascii="Arial" w:cs="Arial" w:eastAsia="Arial" w:hAnsi="Arial"/>
          <w:sz w:val="15"/>
          <w:szCs w:val="15"/>
          <w:b w:val="1"/>
          <w:bCs w:val="1"/>
          <w:color w:val="231F20"/>
        </w:rPr>
      </w:pPr>
    </w:p>
    <w:p>
      <w:pPr>
        <w:ind w:left="1900" w:right="1520"/>
        <w:spacing w:after="0" w:line="235" w:lineRule="auto"/>
        <w:rPr>
          <w:rFonts w:ascii="Arial" w:cs="Arial" w:eastAsia="Arial" w:hAnsi="Arial"/>
          <w:sz w:val="15"/>
          <w:szCs w:val="15"/>
          <w:b w:val="1"/>
          <w:bCs w:val="1"/>
          <w:color w:val="231F20"/>
        </w:rPr>
      </w:pPr>
      <w:r>
        <w:rPr>
          <w:rFonts w:ascii="Arial" w:cs="Arial" w:eastAsia="Arial" w:hAnsi="Arial"/>
          <w:sz w:val="15"/>
          <w:szCs w:val="15"/>
          <w:color w:val="231F20"/>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23"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39"/>
        </w:numPr>
        <w:rPr>
          <w:rFonts w:ascii="Arial" w:cs="Arial" w:eastAsia="Arial" w:hAnsi="Arial"/>
          <w:sz w:val="15"/>
          <w:szCs w:val="15"/>
          <w:b w:val="1"/>
          <w:bCs w:val="1"/>
          <w:color w:val="231F20"/>
        </w:rPr>
      </w:pPr>
      <w:r>
        <w:rPr>
          <w:rFonts w:ascii="Arial" w:cs="Arial" w:eastAsia="Arial" w:hAnsi="Arial"/>
          <w:sz w:val="15"/>
          <w:szCs w:val="15"/>
          <w:b w:val="1"/>
          <w:bCs w:val="1"/>
          <w:color w:val="231F20"/>
        </w:rPr>
        <w:t>Dividends on Restricted Stock</w:t>
      </w:r>
    </w:p>
    <w:p>
      <w:pPr>
        <w:spacing w:after="0" w:line="7" w:lineRule="exact"/>
        <w:rPr>
          <w:rFonts w:ascii="Arial" w:cs="Arial" w:eastAsia="Arial" w:hAnsi="Arial"/>
          <w:sz w:val="15"/>
          <w:szCs w:val="15"/>
          <w:b w:val="1"/>
          <w:bCs w:val="1"/>
          <w:color w:val="231F20"/>
        </w:rPr>
      </w:pPr>
    </w:p>
    <w:p>
      <w:pPr>
        <w:ind w:left="1900" w:right="1520"/>
        <w:spacing w:after="0" w:line="242" w:lineRule="auto"/>
        <w:rPr>
          <w:rFonts w:ascii="Arial" w:cs="Arial" w:eastAsia="Arial" w:hAnsi="Arial"/>
          <w:sz w:val="15"/>
          <w:szCs w:val="15"/>
          <w:b w:val="1"/>
          <w:bCs w:val="1"/>
          <w:color w:val="231F20"/>
        </w:rPr>
      </w:pPr>
      <w:r>
        <w:rPr>
          <w:rFonts w:ascii="Arial" w:cs="Arial" w:eastAsia="Arial" w:hAnsi="Arial"/>
          <w:sz w:val="15"/>
          <w:szCs w:val="15"/>
          <w:color w:val="231F20"/>
        </w:rPr>
        <w:t>The Committee in its discretion may require that any dividends paid on shares of Restricted Stock be held in escrow until all restrictions on such shares have lapsed.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121</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33" w:name="page134"/>
    <w:bookmarkEnd w:id="133"/>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4" w:lineRule="exact"/>
        <w:rPr>
          <w:sz w:val="20"/>
          <w:szCs w:val="20"/>
          <w:color w:val="auto"/>
        </w:rPr>
      </w:pPr>
    </w:p>
    <w:p>
      <w:pPr>
        <w:ind w:left="780" w:hanging="326"/>
        <w:spacing w:after="0"/>
        <w:tabs>
          <w:tab w:leader="none" w:pos="780" w:val="left"/>
        </w:tabs>
        <w:numPr>
          <w:ilvl w:val="0"/>
          <w:numId w:val="240"/>
        </w:numPr>
        <w:rPr>
          <w:rFonts w:ascii="Arial" w:cs="Arial" w:eastAsia="Arial" w:hAnsi="Arial"/>
          <w:sz w:val="15"/>
          <w:szCs w:val="15"/>
          <w:b w:val="1"/>
          <w:bCs w:val="1"/>
          <w:color w:val="231F20"/>
        </w:rPr>
      </w:pPr>
      <w:r>
        <w:rPr>
          <w:rFonts w:ascii="Arial" w:cs="Arial" w:eastAsia="Arial" w:hAnsi="Arial"/>
          <w:sz w:val="15"/>
          <w:szCs w:val="15"/>
          <w:b w:val="1"/>
          <w:bCs w:val="1"/>
          <w:color w:val="231F20"/>
        </w:rPr>
        <w:t>Issuance of Certificates</w:t>
      </w:r>
    </w:p>
    <w:p>
      <w:pPr>
        <w:spacing w:after="0" w:line="169" w:lineRule="exact"/>
        <w:rPr>
          <w:rFonts w:ascii="Arial" w:cs="Arial" w:eastAsia="Arial" w:hAnsi="Arial"/>
          <w:sz w:val="15"/>
          <w:szCs w:val="15"/>
          <w:b w:val="1"/>
          <w:bCs w:val="1"/>
          <w:color w:val="231F20"/>
        </w:rPr>
      </w:pPr>
    </w:p>
    <w:p>
      <w:pPr>
        <w:ind w:left="1100" w:right="359" w:hanging="322"/>
        <w:spacing w:after="0" w:line="233" w:lineRule="auto"/>
        <w:tabs>
          <w:tab w:leader="none" w:pos="1100" w:val="left"/>
        </w:tabs>
        <w:numPr>
          <w:ilvl w:val="1"/>
          <w:numId w:val="240"/>
        </w:numPr>
        <w:rPr>
          <w:rFonts w:ascii="Arial" w:cs="Arial" w:eastAsia="Arial" w:hAnsi="Arial"/>
          <w:sz w:val="15"/>
          <w:szCs w:val="15"/>
          <w:color w:val="231F20"/>
        </w:rPr>
      </w:pPr>
      <w:r>
        <w:rPr>
          <w:rFonts w:ascii="Arial" w:cs="Arial" w:eastAsia="Arial" w:hAnsi="Arial"/>
          <w:sz w:val="15"/>
          <w:szCs w:val="15"/>
          <w:color w:val="231F20"/>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a legend substantially in the following form:</w:t>
      </w:r>
    </w:p>
    <w:p>
      <w:pPr>
        <w:spacing w:after="0" w:line="122" w:lineRule="exact"/>
        <w:rPr>
          <w:rFonts w:ascii="Arial" w:cs="Arial" w:eastAsia="Arial" w:hAnsi="Arial"/>
          <w:sz w:val="15"/>
          <w:szCs w:val="15"/>
          <w:color w:val="231F20"/>
        </w:rPr>
      </w:pPr>
    </w:p>
    <w:p>
      <w:pPr>
        <w:ind w:left="1100" w:right="399"/>
        <w:spacing w:after="0" w:line="234" w:lineRule="auto"/>
        <w:rPr>
          <w:rFonts w:ascii="Arial" w:cs="Arial" w:eastAsia="Arial" w:hAnsi="Arial"/>
          <w:sz w:val="15"/>
          <w:szCs w:val="15"/>
          <w:color w:val="231F20"/>
        </w:rPr>
      </w:pPr>
      <w:r>
        <w:rPr>
          <w:rFonts w:ascii="Arial" w:cs="Arial" w:eastAsia="Arial" w:hAnsi="Arial"/>
          <w:sz w:val="15"/>
          <w:szCs w:val="15"/>
          <w:b w:val="1"/>
          <w:bCs w:val="1"/>
          <w:color w:val="231F20"/>
        </w:rPr>
        <w:t>The transferability of this certificate and the shares of stock represented hereby are subject to the restrictions, terms and conditions (including forfeiture provisions and restrictions against transfer) contained in the Second Amended and Restated Regeneron Pharmaceuticals, Inc. 2014 Long-Term Incentive Plan and an Agreement entered into between the registered owner of such shares and the Company. A copy of the Plan and the Agreement is on file in the office of the Secretary of the Company, 777 Old Saw Mill River Road, Tarrytown, New York 10591-6707.</w:t>
      </w:r>
    </w:p>
    <w:p>
      <w:pPr>
        <w:spacing w:after="0" w:line="142" w:lineRule="exact"/>
        <w:rPr>
          <w:rFonts w:ascii="Arial" w:cs="Arial" w:eastAsia="Arial" w:hAnsi="Arial"/>
          <w:sz w:val="15"/>
          <w:szCs w:val="15"/>
          <w:color w:val="231F20"/>
        </w:rPr>
      </w:pPr>
    </w:p>
    <w:p>
      <w:pPr>
        <w:ind w:left="1100" w:right="499"/>
        <w:spacing w:after="0" w:line="242" w:lineRule="auto"/>
        <w:rPr>
          <w:rFonts w:ascii="Arial" w:cs="Arial" w:eastAsia="Arial" w:hAnsi="Arial"/>
          <w:sz w:val="15"/>
          <w:szCs w:val="15"/>
          <w:color w:val="231F20"/>
        </w:rPr>
      </w:pPr>
      <w:r>
        <w:rPr>
          <w:rFonts w:ascii="Arial" w:cs="Arial" w:eastAsia="Arial" w:hAnsi="Arial"/>
          <w:sz w:val="15"/>
          <w:szCs w:val="15"/>
          <w:color w:val="231F20"/>
        </w:rPr>
        <w:t>Such legend shall not be removed until such shares vest pursuant to the terms hereof. Alternatively, in its sole discretion, the Company may document ownership of such shares in book-entry form.</w:t>
      </w:r>
    </w:p>
    <w:p>
      <w:pPr>
        <w:spacing w:after="0" w:line="138" w:lineRule="exact"/>
        <w:rPr>
          <w:rFonts w:ascii="Arial" w:cs="Arial" w:eastAsia="Arial" w:hAnsi="Arial"/>
          <w:sz w:val="15"/>
          <w:szCs w:val="15"/>
          <w:color w:val="231F20"/>
        </w:rPr>
      </w:pPr>
    </w:p>
    <w:p>
      <w:pPr>
        <w:ind w:left="1100" w:right="359" w:hanging="322"/>
        <w:spacing w:after="0" w:line="235" w:lineRule="auto"/>
        <w:tabs>
          <w:tab w:leader="none" w:pos="1100" w:val="left"/>
        </w:tabs>
        <w:numPr>
          <w:ilvl w:val="1"/>
          <w:numId w:val="240"/>
        </w:numPr>
        <w:rPr>
          <w:rFonts w:ascii="Arial" w:cs="Arial" w:eastAsia="Arial" w:hAnsi="Arial"/>
          <w:sz w:val="15"/>
          <w:szCs w:val="15"/>
          <w:color w:val="231F20"/>
        </w:rPr>
      </w:pPr>
      <w:r>
        <w:rPr>
          <w:rFonts w:ascii="Arial" w:cs="Arial" w:eastAsia="Arial" w:hAnsi="Arial"/>
          <w:sz w:val="15"/>
          <w:szCs w:val="15"/>
          <w:color w:val="231F20"/>
        </w:rPr>
        <w:t>Each certificate (if any) issued pursuant to this Section 8(f) hereof, together with the stock powers relating to the shares of Restricted Stock evidenced by such certificate, shall be held by the Company unless the Committee determines otherwise.</w:t>
      </w:r>
    </w:p>
    <w:p>
      <w:pPr>
        <w:spacing w:after="0" w:line="123" w:lineRule="exact"/>
        <w:rPr>
          <w:rFonts w:ascii="Arial" w:cs="Arial" w:eastAsia="Arial" w:hAnsi="Arial"/>
          <w:sz w:val="15"/>
          <w:szCs w:val="15"/>
          <w:color w:val="231F20"/>
        </w:rPr>
      </w:pPr>
    </w:p>
    <w:p>
      <w:pPr>
        <w:ind w:left="780" w:hanging="326"/>
        <w:spacing w:after="0"/>
        <w:tabs>
          <w:tab w:leader="none" w:pos="780" w:val="left"/>
        </w:tabs>
        <w:numPr>
          <w:ilvl w:val="0"/>
          <w:numId w:val="240"/>
        </w:numPr>
        <w:rPr>
          <w:rFonts w:ascii="Arial" w:cs="Arial" w:eastAsia="Arial" w:hAnsi="Arial"/>
          <w:sz w:val="15"/>
          <w:szCs w:val="15"/>
          <w:b w:val="1"/>
          <w:bCs w:val="1"/>
          <w:color w:val="231F20"/>
        </w:rPr>
      </w:pPr>
      <w:r>
        <w:rPr>
          <w:rFonts w:ascii="Arial" w:cs="Arial" w:eastAsia="Arial" w:hAnsi="Arial"/>
          <w:sz w:val="15"/>
          <w:szCs w:val="15"/>
          <w:b w:val="1"/>
          <w:bCs w:val="1"/>
          <w:color w:val="231F20"/>
        </w:rPr>
        <w:t>Consequences of Vesting</w:t>
      </w:r>
    </w:p>
    <w:p>
      <w:pPr>
        <w:spacing w:after="0" w:line="7" w:lineRule="exact"/>
        <w:rPr>
          <w:rFonts w:ascii="Arial" w:cs="Arial" w:eastAsia="Arial" w:hAnsi="Arial"/>
          <w:sz w:val="15"/>
          <w:szCs w:val="15"/>
          <w:b w:val="1"/>
          <w:bCs w:val="1"/>
          <w:color w:val="231F20"/>
        </w:rPr>
      </w:pPr>
    </w:p>
    <w:p>
      <w:pPr>
        <w:ind w:left="780" w:right="379"/>
        <w:spacing w:after="0" w:line="231" w:lineRule="auto"/>
        <w:rPr>
          <w:rFonts w:ascii="Arial" w:cs="Arial" w:eastAsia="Arial" w:hAnsi="Arial"/>
          <w:sz w:val="15"/>
          <w:szCs w:val="15"/>
          <w:b w:val="1"/>
          <w:bCs w:val="1"/>
          <w:color w:val="231F20"/>
        </w:rPr>
      </w:pPr>
      <w:r>
        <w:rPr>
          <w:rFonts w:ascii="Arial" w:cs="Arial" w:eastAsia="Arial" w:hAnsi="Arial"/>
          <w:sz w:val="15"/>
          <w:szCs w:val="15"/>
          <w:color w:val="231F20"/>
        </w:rPr>
        <w:t>Upon the vesting of a share of Restricted Stock pursuant to the terms hereof, the restrictions of Section 8(d) hereof shall lapse with respect to such share. Reasonably promptly after a share of Restricted Stock vests, the Company shall cause to be delivered to the Participant to whom such shares were granted a certificate evidencing such share, free of the legend set forth in Section 8(f) hereof, or cause a removal of such legend from the book entry evidencing such shares.</w:t>
      </w:r>
    </w:p>
    <w:p>
      <w:pPr>
        <w:spacing w:after="0" w:line="123"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40"/>
        </w:numPr>
        <w:rPr>
          <w:rFonts w:ascii="Arial" w:cs="Arial" w:eastAsia="Arial" w:hAnsi="Arial"/>
          <w:sz w:val="15"/>
          <w:szCs w:val="15"/>
          <w:b w:val="1"/>
          <w:bCs w:val="1"/>
          <w:color w:val="231F20"/>
        </w:rPr>
      </w:pPr>
      <w:r>
        <w:rPr>
          <w:rFonts w:ascii="Arial" w:cs="Arial" w:eastAsia="Arial" w:hAnsi="Arial"/>
          <w:sz w:val="15"/>
          <w:szCs w:val="15"/>
          <w:b w:val="1"/>
          <w:bCs w:val="1"/>
          <w:color w:val="231F20"/>
        </w:rPr>
        <w:t>Effect of Termination of Employment</w:t>
      </w:r>
    </w:p>
    <w:p>
      <w:pPr>
        <w:spacing w:after="0" w:line="169" w:lineRule="exact"/>
        <w:rPr>
          <w:rFonts w:ascii="Arial" w:cs="Arial" w:eastAsia="Arial" w:hAnsi="Arial"/>
          <w:sz w:val="15"/>
          <w:szCs w:val="15"/>
          <w:b w:val="1"/>
          <w:bCs w:val="1"/>
          <w:color w:val="231F20"/>
        </w:rPr>
      </w:pPr>
    </w:p>
    <w:p>
      <w:pPr>
        <w:ind w:left="1100" w:right="359" w:hanging="322"/>
        <w:spacing w:after="0" w:line="228" w:lineRule="auto"/>
        <w:tabs>
          <w:tab w:leader="none" w:pos="1100" w:val="left"/>
        </w:tabs>
        <w:numPr>
          <w:ilvl w:val="1"/>
          <w:numId w:val="240"/>
        </w:numPr>
        <w:rPr>
          <w:rFonts w:ascii="Arial" w:cs="Arial" w:eastAsia="Arial" w:hAnsi="Arial"/>
          <w:sz w:val="15"/>
          <w:szCs w:val="15"/>
          <w:color w:val="231F20"/>
        </w:rPr>
      </w:pPr>
      <w:r>
        <w:rPr>
          <w:rFonts w:ascii="Arial" w:cs="Arial" w:eastAsia="Arial" w:hAnsi="Arial"/>
          <w:sz w:val="15"/>
          <w:szCs w:val="15"/>
          <w:color w:val="231F20"/>
        </w:rPr>
        <w:t>Except as the Committee in its sole and absolute discretion may otherwise provide in the applicable Agreement, and subject to the Committee’s authority pursuant to Section 4 hereof,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39" w:lineRule="exact"/>
        <w:rPr>
          <w:rFonts w:ascii="Arial" w:cs="Arial" w:eastAsia="Arial" w:hAnsi="Arial"/>
          <w:sz w:val="15"/>
          <w:szCs w:val="15"/>
          <w:color w:val="231F20"/>
        </w:rPr>
      </w:pPr>
    </w:p>
    <w:p>
      <w:pPr>
        <w:ind w:left="1100" w:right="459" w:hanging="322"/>
        <w:spacing w:after="0" w:line="233" w:lineRule="auto"/>
        <w:tabs>
          <w:tab w:leader="none" w:pos="1100" w:val="left"/>
        </w:tabs>
        <w:numPr>
          <w:ilvl w:val="1"/>
          <w:numId w:val="240"/>
        </w:numPr>
        <w:rPr>
          <w:rFonts w:ascii="Arial" w:cs="Arial" w:eastAsia="Arial" w:hAnsi="Arial"/>
          <w:sz w:val="15"/>
          <w:szCs w:val="15"/>
          <w:color w:val="231F20"/>
        </w:rPr>
      </w:pPr>
      <w:r>
        <w:rPr>
          <w:rFonts w:ascii="Arial" w:cs="Arial" w:eastAsia="Arial" w:hAnsi="Arial"/>
          <w:sz w:val="15"/>
          <w:szCs w:val="15"/>
          <w:color w:val="231F20"/>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22" w:lineRule="exact"/>
        <w:rPr>
          <w:rFonts w:ascii="Arial" w:cs="Arial" w:eastAsia="Arial" w:hAnsi="Arial"/>
          <w:sz w:val="15"/>
          <w:szCs w:val="15"/>
          <w:color w:val="231F20"/>
        </w:rPr>
      </w:pPr>
    </w:p>
    <w:p>
      <w:pPr>
        <w:ind w:left="780" w:hanging="326"/>
        <w:spacing w:after="0"/>
        <w:tabs>
          <w:tab w:leader="none" w:pos="780" w:val="left"/>
        </w:tabs>
        <w:numPr>
          <w:ilvl w:val="0"/>
          <w:numId w:val="240"/>
        </w:numPr>
        <w:rPr>
          <w:rFonts w:ascii="Arial" w:cs="Arial" w:eastAsia="Arial" w:hAnsi="Arial"/>
          <w:sz w:val="15"/>
          <w:szCs w:val="15"/>
          <w:b w:val="1"/>
          <w:bCs w:val="1"/>
          <w:color w:val="231F20"/>
        </w:rPr>
      </w:pPr>
      <w:r>
        <w:rPr>
          <w:rFonts w:ascii="Arial" w:cs="Arial" w:eastAsia="Arial" w:hAnsi="Arial"/>
          <w:sz w:val="15"/>
          <w:szCs w:val="15"/>
          <w:b w:val="1"/>
          <w:bCs w:val="1"/>
          <w:color w:val="231F20"/>
        </w:rPr>
        <w:t>Effect of Change in Control</w:t>
      </w:r>
    </w:p>
    <w:p>
      <w:pPr>
        <w:spacing w:after="0" w:line="7" w:lineRule="exact"/>
        <w:rPr>
          <w:rFonts w:ascii="Arial" w:cs="Arial" w:eastAsia="Arial" w:hAnsi="Arial"/>
          <w:sz w:val="15"/>
          <w:szCs w:val="15"/>
          <w:b w:val="1"/>
          <w:bCs w:val="1"/>
          <w:color w:val="231F20"/>
        </w:rPr>
      </w:pPr>
    </w:p>
    <w:p>
      <w:pPr>
        <w:ind w:left="780" w:right="399"/>
        <w:spacing w:after="0" w:line="235" w:lineRule="auto"/>
        <w:rPr>
          <w:rFonts w:ascii="Arial" w:cs="Arial" w:eastAsia="Arial" w:hAnsi="Arial"/>
          <w:sz w:val="15"/>
          <w:szCs w:val="15"/>
          <w:b w:val="1"/>
          <w:bCs w:val="1"/>
          <w:color w:val="231F20"/>
        </w:rPr>
      </w:pPr>
      <w:r>
        <w:rPr>
          <w:rFonts w:ascii="Arial" w:cs="Arial" w:eastAsia="Arial" w:hAnsi="Arial"/>
          <w:sz w:val="15"/>
          <w:szCs w:val="15"/>
          <w:color w:val="231F20"/>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122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34" w:name="page135"/>
    <w:bookmarkEnd w:id="134"/>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9. Phantom Stock</w:t>
      </w:r>
    </w:p>
    <w:p>
      <w:pPr>
        <w:spacing w:after="0" w:line="199" w:lineRule="exact"/>
        <w:rPr>
          <w:sz w:val="20"/>
          <w:szCs w:val="20"/>
          <w:color w:val="auto"/>
        </w:rPr>
      </w:pPr>
    </w:p>
    <w:p>
      <w:pPr>
        <w:ind w:left="1900" w:hanging="326"/>
        <w:spacing w:after="0"/>
        <w:tabs>
          <w:tab w:leader="none" w:pos="1900" w:val="left"/>
        </w:tabs>
        <w:numPr>
          <w:ilvl w:val="0"/>
          <w:numId w:val="241"/>
        </w:numPr>
        <w:rPr>
          <w:rFonts w:ascii="Arial" w:cs="Arial" w:eastAsia="Arial" w:hAnsi="Arial"/>
          <w:sz w:val="15"/>
          <w:szCs w:val="15"/>
          <w:b w:val="1"/>
          <w:bCs w:val="1"/>
          <w:color w:val="231F20"/>
        </w:rPr>
      </w:pPr>
      <w:r>
        <w:rPr>
          <w:rFonts w:ascii="Arial" w:cs="Arial" w:eastAsia="Arial" w:hAnsi="Arial"/>
          <w:sz w:val="15"/>
          <w:szCs w:val="15"/>
          <w:b w:val="1"/>
          <w:bCs w:val="1"/>
          <w:color w:val="231F20"/>
        </w:rPr>
        <w:t>Vesting Date</w:t>
      </w:r>
    </w:p>
    <w:p>
      <w:pPr>
        <w:spacing w:after="0" w:line="7" w:lineRule="exact"/>
        <w:rPr>
          <w:rFonts w:ascii="Arial" w:cs="Arial" w:eastAsia="Arial" w:hAnsi="Arial"/>
          <w:sz w:val="15"/>
          <w:szCs w:val="15"/>
          <w:b w:val="1"/>
          <w:bCs w:val="1"/>
          <w:color w:val="231F20"/>
        </w:rPr>
      </w:pPr>
    </w:p>
    <w:p>
      <w:pPr>
        <w:ind w:left="1900" w:right="1480"/>
        <w:spacing w:after="0" w:line="231" w:lineRule="auto"/>
        <w:rPr>
          <w:rFonts w:ascii="Arial" w:cs="Arial" w:eastAsia="Arial" w:hAnsi="Arial"/>
          <w:sz w:val="15"/>
          <w:szCs w:val="15"/>
          <w:b w:val="1"/>
          <w:bCs w:val="1"/>
          <w:color w:val="231F20"/>
        </w:rPr>
      </w:pPr>
      <w:r>
        <w:rPr>
          <w:rFonts w:ascii="Arial" w:cs="Arial" w:eastAsia="Arial" w:hAnsi="Arial"/>
          <w:sz w:val="15"/>
          <w:szCs w:val="15"/>
          <w:color w:val="231F20"/>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hereof are satisfied, and except as provided in Section 9(d) hereof, upon the occurrence of the Vesting Date with respect to a share of Phantom Stock, such share shall vest.</w:t>
      </w:r>
    </w:p>
    <w:p>
      <w:pPr>
        <w:spacing w:after="0" w:line="123"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41"/>
        </w:numPr>
        <w:rPr>
          <w:rFonts w:ascii="Arial" w:cs="Arial" w:eastAsia="Arial" w:hAnsi="Arial"/>
          <w:sz w:val="15"/>
          <w:szCs w:val="15"/>
          <w:b w:val="1"/>
          <w:bCs w:val="1"/>
          <w:color w:val="231F20"/>
        </w:rPr>
      </w:pPr>
      <w:r>
        <w:rPr>
          <w:rFonts w:ascii="Arial" w:cs="Arial" w:eastAsia="Arial" w:hAnsi="Arial"/>
          <w:sz w:val="15"/>
          <w:szCs w:val="15"/>
          <w:b w:val="1"/>
          <w:bCs w:val="1"/>
          <w:color w:val="231F20"/>
        </w:rPr>
        <w:t>Benefit Upon Vesting</w:t>
      </w:r>
    </w:p>
    <w:p>
      <w:pPr>
        <w:spacing w:after="0" w:line="7" w:lineRule="exact"/>
        <w:rPr>
          <w:rFonts w:ascii="Arial" w:cs="Arial" w:eastAsia="Arial" w:hAnsi="Arial"/>
          <w:sz w:val="15"/>
          <w:szCs w:val="15"/>
          <w:b w:val="1"/>
          <w:bCs w:val="1"/>
          <w:color w:val="231F20"/>
        </w:rPr>
      </w:pPr>
    </w:p>
    <w:p>
      <w:pPr>
        <w:ind w:left="1900" w:right="1600"/>
        <w:spacing w:after="0" w:line="229" w:lineRule="auto"/>
        <w:rPr>
          <w:rFonts w:ascii="Arial" w:cs="Arial" w:eastAsia="Arial" w:hAnsi="Arial"/>
          <w:sz w:val="15"/>
          <w:szCs w:val="15"/>
          <w:b w:val="1"/>
          <w:bCs w:val="1"/>
          <w:color w:val="231F20"/>
        </w:rPr>
      </w:pPr>
      <w:r>
        <w:rPr>
          <w:rFonts w:ascii="Arial" w:cs="Arial" w:eastAsia="Arial" w:hAnsi="Arial"/>
          <w:sz w:val="15"/>
          <w:szCs w:val="15"/>
          <w:color w:val="231F20"/>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 (unless such dividends have already been paid to the Participant).</w:t>
      </w:r>
    </w:p>
    <w:p>
      <w:pPr>
        <w:spacing w:after="0" w:line="125"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41"/>
        </w:numPr>
        <w:rPr>
          <w:rFonts w:ascii="Arial" w:cs="Arial" w:eastAsia="Arial" w:hAnsi="Arial"/>
          <w:sz w:val="15"/>
          <w:szCs w:val="15"/>
          <w:b w:val="1"/>
          <w:bCs w:val="1"/>
          <w:color w:val="231F20"/>
        </w:rPr>
      </w:pPr>
      <w:r>
        <w:rPr>
          <w:rFonts w:ascii="Arial" w:cs="Arial" w:eastAsia="Arial" w:hAnsi="Arial"/>
          <w:sz w:val="15"/>
          <w:szCs w:val="15"/>
          <w:b w:val="1"/>
          <w:bCs w:val="1"/>
          <w:color w:val="231F20"/>
        </w:rPr>
        <w:t>Conditions to Vesting</w:t>
      </w:r>
    </w:p>
    <w:p>
      <w:pPr>
        <w:spacing w:after="0" w:line="7" w:lineRule="exact"/>
        <w:rPr>
          <w:rFonts w:ascii="Arial" w:cs="Arial" w:eastAsia="Arial" w:hAnsi="Arial"/>
          <w:sz w:val="15"/>
          <w:szCs w:val="15"/>
          <w:b w:val="1"/>
          <w:bCs w:val="1"/>
          <w:color w:val="231F20"/>
        </w:rPr>
      </w:pPr>
    </w:p>
    <w:p>
      <w:pPr>
        <w:ind w:left="1900" w:right="1580"/>
        <w:spacing w:after="0" w:line="235" w:lineRule="auto"/>
        <w:rPr>
          <w:rFonts w:ascii="Arial" w:cs="Arial" w:eastAsia="Arial" w:hAnsi="Arial"/>
          <w:sz w:val="15"/>
          <w:szCs w:val="15"/>
          <w:b w:val="1"/>
          <w:bCs w:val="1"/>
          <w:color w:val="231F20"/>
        </w:rPr>
      </w:pPr>
      <w:r>
        <w:rPr>
          <w:rFonts w:ascii="Arial" w:cs="Arial" w:eastAsia="Arial" w:hAnsi="Arial"/>
          <w:sz w:val="15"/>
          <w:szCs w:val="15"/>
          <w:color w:val="231F20"/>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123"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41"/>
        </w:numPr>
        <w:rPr>
          <w:rFonts w:ascii="Arial" w:cs="Arial" w:eastAsia="Arial" w:hAnsi="Arial"/>
          <w:sz w:val="15"/>
          <w:szCs w:val="15"/>
          <w:b w:val="1"/>
          <w:bCs w:val="1"/>
          <w:color w:val="231F20"/>
        </w:rPr>
      </w:pPr>
      <w:r>
        <w:rPr>
          <w:rFonts w:ascii="Arial" w:cs="Arial" w:eastAsia="Arial" w:hAnsi="Arial"/>
          <w:sz w:val="15"/>
          <w:szCs w:val="15"/>
          <w:b w:val="1"/>
          <w:bCs w:val="1"/>
          <w:color w:val="231F20"/>
        </w:rPr>
        <w:t>Effect of Termination of Employment</w:t>
      </w:r>
    </w:p>
    <w:p>
      <w:pPr>
        <w:spacing w:after="0" w:line="7" w:lineRule="exact"/>
        <w:rPr>
          <w:rFonts w:ascii="Arial" w:cs="Arial" w:eastAsia="Arial" w:hAnsi="Arial"/>
          <w:sz w:val="15"/>
          <w:szCs w:val="15"/>
          <w:b w:val="1"/>
          <w:bCs w:val="1"/>
          <w:color w:val="231F20"/>
        </w:rPr>
      </w:pPr>
    </w:p>
    <w:p>
      <w:pPr>
        <w:ind w:left="1900" w:right="1480"/>
        <w:spacing w:after="0" w:line="233" w:lineRule="auto"/>
        <w:rPr>
          <w:rFonts w:ascii="Arial" w:cs="Arial" w:eastAsia="Arial" w:hAnsi="Arial"/>
          <w:sz w:val="15"/>
          <w:szCs w:val="15"/>
          <w:b w:val="1"/>
          <w:bCs w:val="1"/>
          <w:color w:val="231F20"/>
        </w:rPr>
      </w:pPr>
      <w:r>
        <w:rPr>
          <w:rFonts w:ascii="Arial" w:cs="Arial" w:eastAsia="Arial" w:hAnsi="Arial"/>
          <w:sz w:val="15"/>
          <w:szCs w:val="15"/>
          <w:color w:val="231F20"/>
        </w:rPr>
        <w:t>Except as the Committee in its sole and absolute discretion may otherwise provide in the applicable Agreement, and subject to the Committee’s authority pursuant to Section 4 hereof, shares of Phantom Stock that have not vested, together with any dividends credited on such shares, shall be forfeited upon the Participant’s termination of employment for any reason.</w:t>
      </w:r>
    </w:p>
    <w:p>
      <w:pPr>
        <w:spacing w:after="0" w:line="122" w:lineRule="exact"/>
        <w:rPr>
          <w:rFonts w:ascii="Arial" w:cs="Arial" w:eastAsia="Arial" w:hAnsi="Arial"/>
          <w:sz w:val="15"/>
          <w:szCs w:val="15"/>
          <w:b w:val="1"/>
          <w:bCs w:val="1"/>
          <w:color w:val="231F20"/>
        </w:rPr>
      </w:pPr>
    </w:p>
    <w:p>
      <w:pPr>
        <w:ind w:left="1900" w:hanging="326"/>
        <w:spacing w:after="0"/>
        <w:tabs>
          <w:tab w:leader="none" w:pos="1900" w:val="left"/>
        </w:tabs>
        <w:numPr>
          <w:ilvl w:val="0"/>
          <w:numId w:val="241"/>
        </w:numPr>
        <w:rPr>
          <w:rFonts w:ascii="Arial" w:cs="Arial" w:eastAsia="Arial" w:hAnsi="Arial"/>
          <w:sz w:val="15"/>
          <w:szCs w:val="15"/>
          <w:b w:val="1"/>
          <w:bCs w:val="1"/>
          <w:color w:val="231F20"/>
        </w:rPr>
      </w:pPr>
      <w:r>
        <w:rPr>
          <w:rFonts w:ascii="Arial" w:cs="Arial" w:eastAsia="Arial" w:hAnsi="Arial"/>
          <w:sz w:val="15"/>
          <w:szCs w:val="15"/>
          <w:b w:val="1"/>
          <w:bCs w:val="1"/>
          <w:color w:val="231F20"/>
        </w:rPr>
        <w:t>Effect of Change in Control</w:t>
      </w:r>
    </w:p>
    <w:p>
      <w:pPr>
        <w:spacing w:after="0" w:line="7" w:lineRule="exact"/>
        <w:rPr>
          <w:rFonts w:ascii="Arial" w:cs="Arial" w:eastAsia="Arial" w:hAnsi="Arial"/>
          <w:sz w:val="15"/>
          <w:szCs w:val="15"/>
          <w:b w:val="1"/>
          <w:bCs w:val="1"/>
          <w:color w:val="231F20"/>
        </w:rPr>
      </w:pPr>
    </w:p>
    <w:p>
      <w:pPr>
        <w:ind w:left="1900" w:right="1480"/>
        <w:spacing w:after="0" w:line="233" w:lineRule="auto"/>
        <w:rPr>
          <w:rFonts w:ascii="Arial" w:cs="Arial" w:eastAsia="Arial" w:hAnsi="Arial"/>
          <w:sz w:val="15"/>
          <w:szCs w:val="15"/>
          <w:b w:val="1"/>
          <w:bCs w:val="1"/>
          <w:color w:val="231F20"/>
        </w:rPr>
      </w:pPr>
      <w:r>
        <w:rPr>
          <w:rFonts w:ascii="Arial" w:cs="Arial" w:eastAsia="Arial" w:hAnsi="Arial"/>
          <w:sz w:val="15"/>
          <w:szCs w:val="15"/>
          <w:color w:val="231F20"/>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16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10. Stock Bonuses</w:t>
      </w:r>
    </w:p>
    <w:p>
      <w:pPr>
        <w:spacing w:after="0" w:line="207"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In the event that the Committee grants a Stock Bonus, a certificate for the shares of Company Stock constituting such</w:t>
      </w:r>
    </w:p>
    <w:p>
      <w:pPr>
        <w:ind w:left="1580"/>
        <w:spacing w:after="0" w:line="225" w:lineRule="auto"/>
        <w:rPr>
          <w:sz w:val="20"/>
          <w:szCs w:val="20"/>
          <w:color w:val="auto"/>
        </w:rPr>
      </w:pPr>
      <w:r>
        <w:rPr>
          <w:rFonts w:ascii="Arial" w:cs="Arial" w:eastAsia="Arial" w:hAnsi="Arial"/>
          <w:sz w:val="15"/>
          <w:szCs w:val="15"/>
          <w:color w:val="231F20"/>
        </w:rPr>
        <w:t>Stock Bonus shall be issued in the name of the Participant to whom such grant was made and delivered to such</w:t>
      </w:r>
    </w:p>
    <w:p>
      <w:pPr>
        <w:ind w:left="1580"/>
        <w:spacing w:after="0"/>
        <w:rPr>
          <w:sz w:val="20"/>
          <w:szCs w:val="20"/>
          <w:color w:val="auto"/>
        </w:rPr>
      </w:pPr>
      <w:r>
        <w:rPr>
          <w:rFonts w:ascii="Arial" w:cs="Arial" w:eastAsia="Arial" w:hAnsi="Arial"/>
          <w:sz w:val="15"/>
          <w:szCs w:val="15"/>
          <w:color w:val="231F20"/>
        </w:rPr>
        <w:t>Participant as soon as practicable after the date on which such Stock Bonus is payable.</w:t>
      </w:r>
    </w:p>
    <w:p>
      <w:pPr>
        <w:spacing w:after="0" w:line="13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11. Other Awards</w:t>
      </w:r>
    </w:p>
    <w:p>
      <w:pPr>
        <w:spacing w:after="0" w:line="217" w:lineRule="exact"/>
        <w:rPr>
          <w:sz w:val="20"/>
          <w:szCs w:val="20"/>
          <w:color w:val="auto"/>
        </w:rPr>
      </w:pPr>
    </w:p>
    <w:p>
      <w:pPr>
        <w:ind w:left="1580" w:right="1700"/>
        <w:spacing w:after="0" w:line="231" w:lineRule="auto"/>
        <w:rPr>
          <w:sz w:val="20"/>
          <w:szCs w:val="20"/>
          <w:color w:val="auto"/>
        </w:rPr>
      </w:pPr>
      <w:r>
        <w:rPr>
          <w:rFonts w:ascii="Arial" w:cs="Arial" w:eastAsia="Arial" w:hAnsi="Arial"/>
          <w:sz w:val="15"/>
          <w:szCs w:val="15"/>
          <w:color w:val="231F20"/>
        </w:rPr>
        <w:t>Other forms of Awards (“</w:t>
      </w:r>
      <w:r>
        <w:rPr>
          <w:rFonts w:ascii="Arial" w:cs="Arial" w:eastAsia="Arial" w:hAnsi="Arial"/>
          <w:sz w:val="15"/>
          <w:szCs w:val="15"/>
          <w:u w:val="single" w:color="auto"/>
          <w:color w:val="231F20"/>
        </w:rPr>
        <w:t>Other Awards</w:t>
      </w:r>
      <w:r>
        <w:rPr>
          <w:rFonts w:ascii="Arial" w:cs="Arial" w:eastAsia="Arial" w:hAnsi="Arial"/>
          <w:sz w:val="15"/>
          <w:szCs w:val="15"/>
          <w:color w:val="231F20"/>
        </w:rPr>
        <w:t>”)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12. Additional Provisions Regarding Nonemployee Director Awards</w:t>
      </w:r>
    </w:p>
    <w:p>
      <w:pPr>
        <w:spacing w:after="0" w:line="217" w:lineRule="exact"/>
        <w:rPr>
          <w:sz w:val="20"/>
          <w:szCs w:val="20"/>
          <w:color w:val="auto"/>
        </w:rPr>
      </w:pPr>
    </w:p>
    <w:p>
      <w:pPr>
        <w:ind w:left="1580" w:right="2000"/>
        <w:spacing w:after="0" w:line="242" w:lineRule="auto"/>
        <w:rPr>
          <w:sz w:val="20"/>
          <w:szCs w:val="20"/>
          <w:color w:val="auto"/>
        </w:rPr>
      </w:pPr>
      <w:r>
        <w:rPr>
          <w:rFonts w:ascii="Arial" w:cs="Arial" w:eastAsia="Arial" w:hAnsi="Arial"/>
          <w:sz w:val="15"/>
          <w:szCs w:val="15"/>
          <w:color w:val="231F20"/>
        </w:rPr>
        <w:t>In addition to the other applicable provisions of the Plan, the provisions of this Section 12 shall apply to Awards to Nonemployee Directors.</w:t>
      </w:r>
    </w:p>
    <w:p>
      <w:pPr>
        <w:spacing w:after="0" w:line="120" w:lineRule="exact"/>
        <w:rPr>
          <w:sz w:val="20"/>
          <w:szCs w:val="20"/>
          <w:color w:val="auto"/>
        </w:rPr>
      </w:pPr>
    </w:p>
    <w:p>
      <w:pPr>
        <w:ind w:left="1900" w:hanging="326"/>
        <w:spacing w:after="0"/>
        <w:tabs>
          <w:tab w:leader="none" w:pos="1900" w:val="left"/>
        </w:tabs>
        <w:numPr>
          <w:ilvl w:val="0"/>
          <w:numId w:val="242"/>
        </w:numPr>
        <w:rPr>
          <w:rFonts w:ascii="Arial" w:cs="Arial" w:eastAsia="Arial" w:hAnsi="Arial"/>
          <w:sz w:val="15"/>
          <w:szCs w:val="15"/>
          <w:b w:val="1"/>
          <w:bCs w:val="1"/>
          <w:color w:val="231F20"/>
        </w:rPr>
      </w:pPr>
      <w:r>
        <w:rPr>
          <w:rFonts w:ascii="Arial" w:cs="Arial" w:eastAsia="Arial" w:hAnsi="Arial"/>
          <w:sz w:val="15"/>
          <w:szCs w:val="15"/>
          <w:b w:val="1"/>
          <w:bCs w:val="1"/>
          <w:color w:val="231F20"/>
        </w:rPr>
        <w:t>General</w:t>
      </w:r>
    </w:p>
    <w:p>
      <w:pPr>
        <w:spacing w:after="0" w:line="7" w:lineRule="exact"/>
        <w:rPr>
          <w:rFonts w:ascii="Arial" w:cs="Arial" w:eastAsia="Arial" w:hAnsi="Arial"/>
          <w:sz w:val="15"/>
          <w:szCs w:val="15"/>
          <w:b w:val="1"/>
          <w:bCs w:val="1"/>
          <w:color w:val="231F20"/>
        </w:rPr>
      </w:pPr>
    </w:p>
    <w:p>
      <w:pPr>
        <w:ind w:left="1900"/>
        <w:spacing w:after="0"/>
        <w:rPr>
          <w:rFonts w:ascii="Arial" w:cs="Arial" w:eastAsia="Arial" w:hAnsi="Arial"/>
          <w:sz w:val="15"/>
          <w:szCs w:val="15"/>
          <w:b w:val="1"/>
          <w:bCs w:val="1"/>
          <w:color w:val="231F20"/>
        </w:rPr>
      </w:pPr>
      <w:r>
        <w:rPr>
          <w:rFonts w:ascii="Arial" w:cs="Arial" w:eastAsia="Arial" w:hAnsi="Arial"/>
          <w:sz w:val="15"/>
          <w:szCs w:val="15"/>
          <w:color w:val="231F20"/>
        </w:rPr>
        <w:t>Nonemployee Directors shall be eligible to receive Awards under the Plan (other than Incentive Stock Options).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123</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35" w:name="page136"/>
    <w:bookmarkEnd w:id="135"/>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4" w:lineRule="exact"/>
        <w:rPr>
          <w:sz w:val="20"/>
          <w:szCs w:val="20"/>
          <w:color w:val="auto"/>
        </w:rPr>
      </w:pPr>
    </w:p>
    <w:p>
      <w:pPr>
        <w:ind w:left="780" w:hanging="326"/>
        <w:spacing w:after="0"/>
        <w:tabs>
          <w:tab w:leader="none" w:pos="780" w:val="left"/>
        </w:tabs>
        <w:numPr>
          <w:ilvl w:val="0"/>
          <w:numId w:val="243"/>
        </w:numPr>
        <w:rPr>
          <w:rFonts w:ascii="Arial" w:cs="Arial" w:eastAsia="Arial" w:hAnsi="Arial"/>
          <w:sz w:val="15"/>
          <w:szCs w:val="15"/>
          <w:b w:val="1"/>
          <w:bCs w:val="1"/>
          <w:color w:val="231F20"/>
        </w:rPr>
      </w:pPr>
      <w:r>
        <w:rPr>
          <w:rFonts w:ascii="Arial" w:cs="Arial" w:eastAsia="Arial" w:hAnsi="Arial"/>
          <w:sz w:val="15"/>
          <w:szCs w:val="15"/>
          <w:b w:val="1"/>
          <w:bCs w:val="1"/>
          <w:color w:val="231F20"/>
        </w:rPr>
        <w:t>Timing and Amount of Grant</w:t>
      </w:r>
    </w:p>
    <w:p>
      <w:pPr>
        <w:spacing w:after="0" w:line="7" w:lineRule="exact"/>
        <w:rPr>
          <w:rFonts w:ascii="Arial" w:cs="Arial" w:eastAsia="Arial" w:hAnsi="Arial"/>
          <w:sz w:val="15"/>
          <w:szCs w:val="15"/>
          <w:b w:val="1"/>
          <w:bCs w:val="1"/>
          <w:color w:val="231F20"/>
        </w:rPr>
      </w:pPr>
    </w:p>
    <w:p>
      <w:pPr>
        <w:jc w:val="both"/>
        <w:ind w:left="780" w:right="619"/>
        <w:spacing w:after="0" w:line="235" w:lineRule="auto"/>
        <w:rPr>
          <w:rFonts w:ascii="Arial" w:cs="Arial" w:eastAsia="Arial" w:hAnsi="Arial"/>
          <w:sz w:val="15"/>
          <w:szCs w:val="15"/>
          <w:b w:val="1"/>
          <w:bCs w:val="1"/>
          <w:color w:val="231F20"/>
        </w:rPr>
      </w:pPr>
      <w:r>
        <w:rPr>
          <w:rFonts w:ascii="Arial" w:cs="Arial" w:eastAsia="Arial" w:hAnsi="Arial"/>
          <w:sz w:val="15"/>
          <w:szCs w:val="15"/>
          <w:color w:val="231F20"/>
        </w:rPr>
        <w:t>Subject to Section 12(f) hereof, at such times as the Committee may determine, each then serving Nonemployee Director shall be granted an Award of such type and size and with such terms and conditions (consistent with the Plan) as the Committee in its sole and absolute discretion may determine.</w:t>
      </w:r>
    </w:p>
    <w:p>
      <w:pPr>
        <w:spacing w:after="0" w:line="123"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43"/>
        </w:numPr>
        <w:rPr>
          <w:rFonts w:ascii="Arial" w:cs="Arial" w:eastAsia="Arial" w:hAnsi="Arial"/>
          <w:sz w:val="15"/>
          <w:szCs w:val="15"/>
          <w:b w:val="1"/>
          <w:bCs w:val="1"/>
          <w:color w:val="231F20"/>
        </w:rPr>
      </w:pPr>
      <w:r>
        <w:rPr>
          <w:rFonts w:ascii="Arial" w:cs="Arial" w:eastAsia="Arial" w:hAnsi="Arial"/>
          <w:sz w:val="15"/>
          <w:szCs w:val="15"/>
          <w:b w:val="1"/>
          <w:bCs w:val="1"/>
          <w:color w:val="231F20"/>
        </w:rPr>
        <w:t>[Reserved.]</w:t>
      </w:r>
    </w:p>
    <w:p>
      <w:pPr>
        <w:spacing w:after="0" w:line="151"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43"/>
        </w:numPr>
        <w:rPr>
          <w:rFonts w:ascii="Arial" w:cs="Arial" w:eastAsia="Arial" w:hAnsi="Arial"/>
          <w:sz w:val="15"/>
          <w:szCs w:val="15"/>
          <w:b w:val="1"/>
          <w:bCs w:val="1"/>
          <w:color w:val="231F20"/>
        </w:rPr>
      </w:pPr>
      <w:r>
        <w:rPr>
          <w:rFonts w:ascii="Arial" w:cs="Arial" w:eastAsia="Arial" w:hAnsi="Arial"/>
          <w:sz w:val="15"/>
          <w:szCs w:val="15"/>
          <w:b w:val="1"/>
          <w:bCs w:val="1"/>
          <w:color w:val="231F20"/>
        </w:rPr>
        <w:t>Term and Exercisability</w:t>
      </w:r>
    </w:p>
    <w:p>
      <w:pPr>
        <w:spacing w:after="0" w:line="7" w:lineRule="exact"/>
        <w:rPr>
          <w:rFonts w:ascii="Arial" w:cs="Arial" w:eastAsia="Arial" w:hAnsi="Arial"/>
          <w:sz w:val="15"/>
          <w:szCs w:val="15"/>
          <w:b w:val="1"/>
          <w:bCs w:val="1"/>
          <w:color w:val="231F20"/>
        </w:rPr>
      </w:pPr>
    </w:p>
    <w:p>
      <w:pPr>
        <w:jc w:val="both"/>
        <w:ind w:left="780" w:right="419"/>
        <w:spacing w:after="0" w:line="235" w:lineRule="auto"/>
        <w:rPr>
          <w:rFonts w:ascii="Arial" w:cs="Arial" w:eastAsia="Arial" w:hAnsi="Arial"/>
          <w:sz w:val="15"/>
          <w:szCs w:val="15"/>
          <w:b w:val="1"/>
          <w:bCs w:val="1"/>
          <w:color w:val="231F20"/>
        </w:rPr>
      </w:pPr>
      <w:r>
        <w:rPr>
          <w:rFonts w:ascii="Arial" w:cs="Arial" w:eastAsia="Arial" w:hAnsi="Arial"/>
          <w:sz w:val="15"/>
          <w:szCs w:val="15"/>
          <w:color w:val="231F20"/>
        </w:rPr>
        <w:t>Each Award granted to a Nonemployee Director shall become vested on such terms and conditions (consistent with the Plan) as the Committee in its sole and absolute discretion may determine. The vesting of each Award granted to a Nonemployee Director shall be fully accelerated upon a Change in Control.</w:t>
      </w:r>
    </w:p>
    <w:p>
      <w:pPr>
        <w:spacing w:after="0" w:line="123"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43"/>
        </w:numPr>
        <w:rPr>
          <w:rFonts w:ascii="Arial" w:cs="Arial" w:eastAsia="Arial" w:hAnsi="Arial"/>
          <w:sz w:val="15"/>
          <w:szCs w:val="15"/>
          <w:b w:val="1"/>
          <w:bCs w:val="1"/>
          <w:color w:val="231F20"/>
        </w:rPr>
      </w:pPr>
      <w:r>
        <w:rPr>
          <w:rFonts w:ascii="Arial" w:cs="Arial" w:eastAsia="Arial" w:hAnsi="Arial"/>
          <w:sz w:val="15"/>
          <w:szCs w:val="15"/>
          <w:b w:val="1"/>
          <w:bCs w:val="1"/>
          <w:color w:val="231F20"/>
        </w:rPr>
        <w:t>Termination</w:t>
      </w:r>
    </w:p>
    <w:p>
      <w:pPr>
        <w:spacing w:after="0" w:line="7" w:lineRule="exact"/>
        <w:rPr>
          <w:rFonts w:ascii="Arial" w:cs="Arial" w:eastAsia="Arial" w:hAnsi="Arial"/>
          <w:sz w:val="15"/>
          <w:szCs w:val="15"/>
          <w:b w:val="1"/>
          <w:bCs w:val="1"/>
          <w:color w:val="231F20"/>
        </w:rPr>
      </w:pPr>
    </w:p>
    <w:p>
      <w:pPr>
        <w:ind w:left="780" w:right="359"/>
        <w:spacing w:after="0" w:line="230" w:lineRule="auto"/>
        <w:rPr>
          <w:rFonts w:ascii="Arial" w:cs="Arial" w:eastAsia="Arial" w:hAnsi="Arial"/>
          <w:sz w:val="15"/>
          <w:szCs w:val="15"/>
          <w:b w:val="1"/>
          <w:bCs w:val="1"/>
          <w:color w:val="231F20"/>
        </w:rPr>
      </w:pPr>
      <w:r>
        <w:rPr>
          <w:rFonts w:ascii="Arial" w:cs="Arial" w:eastAsia="Arial" w:hAnsi="Arial"/>
          <w:sz w:val="15"/>
          <w:szCs w:val="15"/>
          <w:color w:val="231F20"/>
        </w:rPr>
        <w:t>Except as the Committee in its sole and absolute discretion may otherwise provide in an applicable Agreement, and subject to the Committee’s authority pursuant to Section 4 hereof, in the event of the termination of a Nonemployee Director’s service with the Company, any outstanding and unvested Award held by such Nonemployee Director granted under the Plan shall expire at the commencement of business on the date of such termination. For purposes of the Plan, any termination of a Nonemployee Director’s service with the Company shall not be deemed to occur if the Nonemployee Director continues to serve for the Company as consultant, employee or in any other capacity.</w:t>
      </w:r>
    </w:p>
    <w:p>
      <w:pPr>
        <w:spacing w:after="0" w:line="124" w:lineRule="exact"/>
        <w:rPr>
          <w:rFonts w:ascii="Arial" w:cs="Arial" w:eastAsia="Arial" w:hAnsi="Arial"/>
          <w:sz w:val="15"/>
          <w:szCs w:val="15"/>
          <w:b w:val="1"/>
          <w:bCs w:val="1"/>
          <w:color w:val="231F20"/>
        </w:rPr>
      </w:pPr>
    </w:p>
    <w:p>
      <w:pPr>
        <w:ind w:left="780" w:hanging="326"/>
        <w:spacing w:after="0"/>
        <w:tabs>
          <w:tab w:leader="none" w:pos="780" w:val="left"/>
        </w:tabs>
        <w:numPr>
          <w:ilvl w:val="0"/>
          <w:numId w:val="243"/>
        </w:numPr>
        <w:rPr>
          <w:rFonts w:ascii="Arial" w:cs="Arial" w:eastAsia="Arial" w:hAnsi="Arial"/>
          <w:sz w:val="15"/>
          <w:szCs w:val="15"/>
          <w:b w:val="1"/>
          <w:bCs w:val="1"/>
          <w:color w:val="231F20"/>
        </w:rPr>
      </w:pPr>
      <w:r>
        <w:rPr>
          <w:rFonts w:ascii="Arial" w:cs="Arial" w:eastAsia="Arial" w:hAnsi="Arial"/>
          <w:sz w:val="15"/>
          <w:szCs w:val="15"/>
          <w:b w:val="1"/>
          <w:bCs w:val="1"/>
          <w:color w:val="231F20"/>
        </w:rPr>
        <w:t>Limitations on Compensation of Nonemployee Directors and Chairman of Board of Directors</w:t>
      </w:r>
    </w:p>
    <w:p>
      <w:pPr>
        <w:spacing w:after="0" w:line="169" w:lineRule="exact"/>
        <w:rPr>
          <w:rFonts w:ascii="Arial" w:cs="Arial" w:eastAsia="Arial" w:hAnsi="Arial"/>
          <w:sz w:val="15"/>
          <w:szCs w:val="15"/>
          <w:b w:val="1"/>
          <w:bCs w:val="1"/>
          <w:color w:val="231F20"/>
        </w:rPr>
      </w:pPr>
    </w:p>
    <w:p>
      <w:pPr>
        <w:ind w:left="1100" w:right="439" w:hanging="322"/>
        <w:spacing w:after="0" w:line="229" w:lineRule="auto"/>
        <w:tabs>
          <w:tab w:leader="none" w:pos="1100" w:val="left"/>
        </w:tabs>
        <w:numPr>
          <w:ilvl w:val="1"/>
          <w:numId w:val="243"/>
        </w:numPr>
        <w:rPr>
          <w:rFonts w:ascii="Arial" w:cs="Arial" w:eastAsia="Arial" w:hAnsi="Arial"/>
          <w:sz w:val="15"/>
          <w:szCs w:val="15"/>
          <w:color w:val="231F20"/>
        </w:rPr>
      </w:pPr>
      <w:r>
        <w:rPr>
          <w:rFonts w:ascii="Arial" w:cs="Arial" w:eastAsia="Arial" w:hAnsi="Arial"/>
          <w:sz w:val="15"/>
          <w:szCs w:val="15"/>
          <w:color w:val="231F20"/>
        </w:rPr>
        <w:t>Except as provided in the last sentence of this Section 12(f)(1) and in Sections 12(f)(2) and 12(f)(3) hereof, during any calendar year, the aggregate number of shares of Company Stock subject to one or more Awards granted to a Nonemployee Director in such year shall not exceed 12,750 shares of Company Stock (calculated as described in Section 12(g) hereof). Notwithstanding the foregoing, except as provided in Section 12(f)(3) hereof, during the first calendar year in which a Nonemployee Director serves on the Board of Directors, the aggregate number of shares of Company Stock subject to one or more Awards granted to such Nonemployee Director in such year shall not exceed 34,000 shares of Company Stock (calculated as described in Section 12(g) hereof).</w:t>
      </w:r>
    </w:p>
    <w:p>
      <w:pPr>
        <w:spacing w:after="0" w:line="141" w:lineRule="exact"/>
        <w:rPr>
          <w:rFonts w:ascii="Arial" w:cs="Arial" w:eastAsia="Arial" w:hAnsi="Arial"/>
          <w:sz w:val="15"/>
          <w:szCs w:val="15"/>
          <w:color w:val="231F20"/>
        </w:rPr>
      </w:pPr>
    </w:p>
    <w:p>
      <w:pPr>
        <w:ind w:left="1100" w:right="359" w:hanging="322"/>
        <w:spacing w:after="0"/>
        <w:tabs>
          <w:tab w:leader="none" w:pos="1100" w:val="left"/>
        </w:tabs>
        <w:numPr>
          <w:ilvl w:val="1"/>
          <w:numId w:val="243"/>
        </w:numPr>
        <w:rPr>
          <w:rFonts w:ascii="Arial" w:cs="Arial" w:eastAsia="Arial" w:hAnsi="Arial"/>
          <w:sz w:val="15"/>
          <w:szCs w:val="15"/>
          <w:color w:val="231F20"/>
        </w:rPr>
      </w:pPr>
      <w:r>
        <w:rPr>
          <w:rFonts w:ascii="Arial" w:cs="Arial" w:eastAsia="Arial" w:hAnsi="Arial"/>
          <w:sz w:val="15"/>
          <w:szCs w:val="15"/>
          <w:color w:val="231F20"/>
        </w:rPr>
        <w:t>Except as provided in Section 12(f)(3) hereof, during any calendar year, the aggregate number of shares of Company Stock subject to one or more Awards granted to a Nonemployee Director then serving as Chairman of the Board of Directors in such year shall not exceed 25,500 shares of Company Stock (calculated as described in Section 12(g) hereof). Notwithstanding the foregoing, except as provided in Section 12(f)(3) hereof, during the first calendar year in which a Nonemployee Director serves as Chairman of the Board of Directors, the aggregate number of shares of Company Stock subject to one or more Awards granted to such Nonemployee Director in such year shall not exceed 68,000 shares of Company Stock (calculated as described in Section 12(g) hereof).</w:t>
      </w:r>
    </w:p>
    <w:p>
      <w:pPr>
        <w:spacing w:after="0" w:line="250" w:lineRule="exact"/>
        <w:rPr>
          <w:rFonts w:ascii="Arial" w:cs="Arial" w:eastAsia="Arial" w:hAnsi="Arial"/>
          <w:sz w:val="15"/>
          <w:szCs w:val="15"/>
          <w:color w:val="231F20"/>
        </w:rPr>
      </w:pPr>
    </w:p>
    <w:p>
      <w:pPr>
        <w:ind w:left="1100" w:right="359" w:hanging="322"/>
        <w:spacing w:after="0"/>
        <w:tabs>
          <w:tab w:leader="none" w:pos="1100" w:val="left"/>
        </w:tabs>
        <w:numPr>
          <w:ilvl w:val="1"/>
          <w:numId w:val="243"/>
        </w:numPr>
        <w:rPr>
          <w:rFonts w:ascii="Arial" w:cs="Arial" w:eastAsia="Arial" w:hAnsi="Arial"/>
          <w:sz w:val="15"/>
          <w:szCs w:val="15"/>
          <w:color w:val="231F20"/>
        </w:rPr>
      </w:pPr>
      <w:r>
        <w:rPr>
          <w:rFonts w:ascii="Arial" w:cs="Arial" w:eastAsia="Arial" w:hAnsi="Arial"/>
          <w:sz w:val="15"/>
          <w:szCs w:val="15"/>
          <w:color w:val="231F20"/>
        </w:rPr>
        <w:t>Notwithstanding the foregoing, any equity compensation of the Nonemployee Directors and the Chairman of the Board of Directors shall be, for the years set forth in the Settlement (as defined below), subject to the terms of the Stipulation of Compromise and Settlement, dated as of October 5, 2018, by and among the Plaintiffs and the Individual Defendants (each as defined therein) and the Company, as nominal defendant (the “</w:t>
      </w:r>
      <w:r>
        <w:rPr>
          <w:rFonts w:ascii="Arial" w:cs="Arial" w:eastAsia="Arial" w:hAnsi="Arial"/>
          <w:sz w:val="15"/>
          <w:szCs w:val="15"/>
          <w:u w:val="single" w:color="auto"/>
          <w:color w:val="231F20"/>
        </w:rPr>
        <w:t>Settlement</w:t>
      </w:r>
      <w:r>
        <w:rPr>
          <w:rFonts w:ascii="Arial" w:cs="Arial" w:eastAsia="Arial" w:hAnsi="Arial"/>
          <w:sz w:val="15"/>
          <w:szCs w:val="15"/>
          <w:color w:val="231F20"/>
        </w:rPr>
        <w:t xml:space="preserve">”) in the shareholder derivative actions entitled </w:t>
      </w:r>
      <w:r>
        <w:rPr>
          <w:rFonts w:ascii="Arial" w:cs="Arial" w:eastAsia="Arial" w:hAnsi="Arial"/>
          <w:sz w:val="15"/>
          <w:szCs w:val="15"/>
          <w:i w:val="1"/>
          <w:iCs w:val="1"/>
          <w:color w:val="231F20"/>
        </w:rPr>
        <w:t>Cement Masons Local 780 Pension Fund, et ano. v. Leonard S.</w:t>
      </w:r>
      <w:r>
        <w:rPr>
          <w:rFonts w:ascii="Arial" w:cs="Arial" w:eastAsia="Arial" w:hAnsi="Arial"/>
          <w:sz w:val="15"/>
          <w:szCs w:val="15"/>
          <w:color w:val="231F20"/>
        </w:rPr>
        <w:t xml:space="preserve"> </w:t>
      </w:r>
      <w:r>
        <w:rPr>
          <w:rFonts w:ascii="Arial" w:cs="Arial" w:eastAsia="Arial" w:hAnsi="Arial"/>
          <w:sz w:val="15"/>
          <w:szCs w:val="15"/>
          <w:i w:val="1"/>
          <w:iCs w:val="1"/>
          <w:color w:val="231F20"/>
        </w:rPr>
        <w:t xml:space="preserve">Schleifer, et al., </w:t>
      </w:r>
      <w:r>
        <w:rPr>
          <w:rFonts w:ascii="Arial" w:cs="Arial" w:eastAsia="Arial" w:hAnsi="Arial"/>
          <w:sz w:val="15"/>
          <w:szCs w:val="15"/>
          <w:color w:val="231F20"/>
        </w:rPr>
        <w:t>Index No. 654453/2015 (N.Y. Co.) (filed December 30, 2015) and</w:t>
      </w:r>
      <w:r>
        <w:rPr>
          <w:rFonts w:ascii="Arial" w:cs="Arial" w:eastAsia="Arial" w:hAnsi="Arial"/>
          <w:sz w:val="15"/>
          <w:szCs w:val="15"/>
          <w:i w:val="1"/>
          <w:iCs w:val="1"/>
          <w:color w:val="231F20"/>
        </w:rPr>
        <w:t xml:space="preserve"> Public Employees’ Retirement System of Mississippi v. Leonard S. Schleifer, et al., </w:t>
      </w:r>
      <w:r>
        <w:rPr>
          <w:rFonts w:ascii="Arial" w:cs="Arial" w:eastAsia="Arial" w:hAnsi="Arial"/>
          <w:sz w:val="15"/>
          <w:szCs w:val="15"/>
          <w:color w:val="231F20"/>
        </w:rPr>
        <w:t>Index No. 656813/2017 (N.Y. Co.) (filed</w:t>
      </w:r>
      <w:r>
        <w:rPr>
          <w:rFonts w:ascii="Arial" w:cs="Arial" w:eastAsia="Arial" w:hAnsi="Arial"/>
          <w:sz w:val="15"/>
          <w:szCs w:val="15"/>
          <w:i w:val="1"/>
          <w:iCs w:val="1"/>
          <w:color w:val="231F20"/>
        </w:rPr>
        <w:t xml:space="preserve"> </w:t>
      </w:r>
      <w:r>
        <w:rPr>
          <w:rFonts w:ascii="Arial" w:cs="Arial" w:eastAsia="Arial" w:hAnsi="Arial"/>
          <w:sz w:val="15"/>
          <w:szCs w:val="15"/>
          <w:color w:val="231F20"/>
        </w:rPr>
        <w:t>November 8, 2017).</w:t>
      </w:r>
    </w:p>
    <w:p>
      <w:pPr>
        <w:spacing w:after="0" w:line="232" w:lineRule="exact"/>
        <w:rPr>
          <w:rFonts w:ascii="Arial" w:cs="Arial" w:eastAsia="Arial" w:hAnsi="Arial"/>
          <w:sz w:val="15"/>
          <w:szCs w:val="15"/>
          <w:color w:val="231F20"/>
        </w:rPr>
      </w:pPr>
    </w:p>
    <w:p>
      <w:pPr>
        <w:ind w:left="780" w:hanging="326"/>
        <w:spacing w:after="0"/>
        <w:tabs>
          <w:tab w:leader="none" w:pos="780" w:val="left"/>
        </w:tabs>
        <w:numPr>
          <w:ilvl w:val="0"/>
          <w:numId w:val="243"/>
        </w:numPr>
        <w:rPr>
          <w:rFonts w:ascii="Arial" w:cs="Arial" w:eastAsia="Arial" w:hAnsi="Arial"/>
          <w:sz w:val="15"/>
          <w:szCs w:val="15"/>
          <w:b w:val="1"/>
          <w:bCs w:val="1"/>
          <w:color w:val="231F20"/>
        </w:rPr>
      </w:pPr>
      <w:r>
        <w:rPr>
          <w:rFonts w:ascii="Arial" w:cs="Arial" w:eastAsia="Arial" w:hAnsi="Arial"/>
          <w:sz w:val="15"/>
          <w:szCs w:val="15"/>
          <w:b w:val="1"/>
          <w:bCs w:val="1"/>
          <w:color w:val="231F20"/>
        </w:rPr>
        <w:t>Calculation of Limitations on Nonemployee Director Compensation</w:t>
      </w:r>
    </w:p>
    <w:p>
      <w:pPr>
        <w:spacing w:after="0" w:line="7" w:lineRule="exact"/>
        <w:rPr>
          <w:rFonts w:ascii="Arial" w:cs="Arial" w:eastAsia="Arial" w:hAnsi="Arial"/>
          <w:sz w:val="15"/>
          <w:szCs w:val="15"/>
          <w:b w:val="1"/>
          <w:bCs w:val="1"/>
          <w:color w:val="231F20"/>
        </w:rPr>
      </w:pPr>
    </w:p>
    <w:p>
      <w:pPr>
        <w:ind w:left="780"/>
        <w:spacing w:after="0" w:line="225" w:lineRule="auto"/>
        <w:rPr>
          <w:rFonts w:ascii="Arial" w:cs="Arial" w:eastAsia="Arial" w:hAnsi="Arial"/>
          <w:sz w:val="15"/>
          <w:szCs w:val="15"/>
          <w:b w:val="1"/>
          <w:bCs w:val="1"/>
          <w:color w:val="231F20"/>
        </w:rPr>
      </w:pPr>
      <w:r>
        <w:rPr>
          <w:rFonts w:ascii="Arial" w:cs="Arial" w:eastAsia="Arial" w:hAnsi="Arial"/>
          <w:sz w:val="15"/>
          <w:szCs w:val="15"/>
          <w:color w:val="231F20"/>
        </w:rPr>
        <w:t>For purposes of applying the limits on the Awards to Nonemployee Directors specified in Sections 12(f)(1) and 12(f)</w:t>
      </w:r>
    </w:p>
    <w:p>
      <w:pPr>
        <w:jc w:val="both"/>
        <w:ind w:left="780" w:right="519" w:hanging="2"/>
        <w:spacing w:after="0" w:line="233" w:lineRule="auto"/>
        <w:tabs>
          <w:tab w:leader="none" w:pos="1009" w:val="left"/>
        </w:tabs>
        <w:numPr>
          <w:ilvl w:val="1"/>
          <w:numId w:val="244"/>
        </w:numPr>
        <w:rPr>
          <w:rFonts w:ascii="Arial" w:cs="Arial" w:eastAsia="Arial" w:hAnsi="Arial"/>
          <w:sz w:val="15"/>
          <w:szCs w:val="15"/>
          <w:color w:val="231F20"/>
        </w:rPr>
      </w:pPr>
      <w:r>
        <w:rPr>
          <w:rFonts w:ascii="Arial" w:cs="Arial" w:eastAsia="Arial" w:hAnsi="Arial"/>
          <w:sz w:val="15"/>
          <w:szCs w:val="15"/>
          <w:color w:val="231F20"/>
        </w:rPr>
        <w:t>hereof, (1) an Award other than a Nonqualified Stock Option or Stock Appreciation Right shall be treated as an Award of one and one-half (1.5) shares of Company Stock for each share actually subject to such Award and (2) a Nonqualified Option or Stock Appreciation Right shall be treated as an Award of one share of Company Stock for each share actually subject to such Award.</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124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36" w:name="page137"/>
    <w:bookmarkEnd w:id="136"/>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13. Rights as a Shareholder</w:t>
      </w:r>
    </w:p>
    <w:p>
      <w:pPr>
        <w:spacing w:after="0" w:line="217" w:lineRule="exact"/>
        <w:rPr>
          <w:sz w:val="20"/>
          <w:szCs w:val="20"/>
          <w:color w:val="auto"/>
        </w:rPr>
      </w:pPr>
    </w:p>
    <w:p>
      <w:pPr>
        <w:ind w:left="1580" w:right="1720"/>
        <w:spacing w:after="0" w:line="231" w:lineRule="auto"/>
        <w:rPr>
          <w:sz w:val="20"/>
          <w:szCs w:val="20"/>
          <w:color w:val="auto"/>
        </w:rPr>
      </w:pPr>
      <w:r>
        <w:rPr>
          <w:rFonts w:ascii="Arial" w:cs="Arial" w:eastAsia="Arial" w:hAnsi="Arial"/>
          <w:sz w:val="15"/>
          <w:szCs w:val="15"/>
          <w:color w:val="231F20"/>
        </w:rPr>
        <w:t>No person shall have any rights as a shareholder with respect to any shares of Company Stock covered by or relating to any Award until the date of issuance of a stock certificate with respect to such shares or registering a book entry evidencing the issuance of such shares. Except as otherwise provided in Section 3(c) hereof, no adjustment to any Award shall be made for dividends or other rights for which the record date occurs prior to the date such stock certificate is issued or such book entry is registered.</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14. No Employment Rights; No Right to Award</w:t>
      </w:r>
    </w:p>
    <w:p>
      <w:pPr>
        <w:spacing w:after="0" w:line="217" w:lineRule="exact"/>
        <w:rPr>
          <w:sz w:val="20"/>
          <w:szCs w:val="20"/>
          <w:color w:val="auto"/>
        </w:rPr>
      </w:pPr>
    </w:p>
    <w:p>
      <w:pPr>
        <w:ind w:left="1580" w:right="2080"/>
        <w:spacing w:after="0" w:line="233" w:lineRule="auto"/>
        <w:rPr>
          <w:sz w:val="20"/>
          <w:szCs w:val="20"/>
          <w:color w:val="auto"/>
        </w:rPr>
      </w:pPr>
      <w:r>
        <w:rPr>
          <w:rFonts w:ascii="Arial" w:cs="Arial" w:eastAsia="Arial" w:hAnsi="Arial"/>
          <w:sz w:val="15"/>
          <w:szCs w:val="15"/>
          <w:color w:val="231F20"/>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40" w:lineRule="exact"/>
        <w:rPr>
          <w:sz w:val="20"/>
          <w:szCs w:val="20"/>
          <w:color w:val="auto"/>
        </w:rPr>
      </w:pPr>
    </w:p>
    <w:p>
      <w:pPr>
        <w:ind w:left="1580" w:right="1660"/>
        <w:spacing w:after="0" w:line="235" w:lineRule="auto"/>
        <w:rPr>
          <w:sz w:val="20"/>
          <w:szCs w:val="20"/>
          <w:color w:val="auto"/>
        </w:rPr>
      </w:pPr>
      <w:r>
        <w:rPr>
          <w:rFonts w:ascii="Arial" w:cs="Arial" w:eastAsia="Arial" w:hAnsi="Arial"/>
          <w:sz w:val="15"/>
          <w:szCs w:val="15"/>
          <w:color w:val="231F20"/>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15. Securities Matters</w:t>
      </w:r>
    </w:p>
    <w:p>
      <w:pPr>
        <w:spacing w:after="0" w:line="217" w:lineRule="exact"/>
        <w:rPr>
          <w:sz w:val="20"/>
          <w:szCs w:val="20"/>
          <w:color w:val="auto"/>
        </w:rPr>
      </w:pPr>
    </w:p>
    <w:p>
      <w:pPr>
        <w:ind w:left="1900" w:right="1540" w:hanging="326"/>
        <w:spacing w:after="0" w:line="228" w:lineRule="auto"/>
        <w:tabs>
          <w:tab w:leader="none" w:pos="1900" w:val="left"/>
        </w:tabs>
        <w:numPr>
          <w:ilvl w:val="0"/>
          <w:numId w:val="245"/>
        </w:numPr>
        <w:rPr>
          <w:rFonts w:ascii="Arial" w:cs="Arial" w:eastAsia="Arial" w:hAnsi="Arial"/>
          <w:sz w:val="15"/>
          <w:szCs w:val="15"/>
          <w:color w:val="231F20"/>
        </w:rPr>
      </w:pPr>
      <w:r>
        <w:rPr>
          <w:rFonts w:ascii="Arial" w:cs="Arial" w:eastAsia="Arial" w:hAnsi="Arial"/>
          <w:sz w:val="15"/>
          <w:szCs w:val="15"/>
          <w:color w:val="231F20"/>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or to cause to be registered any book entries, evidencing shares of Company Stock pursuant to the Plan unless and until the Company is advised by its counsel that the issuance and delivery of such certificates, or the book-entry registration, is in compliance with all applicable laws, regulations of governmental authority and the requirements of any securities exchange on which shares of Company Stock are traded. The Committee may require, as a condition of the issuance and delivery of certificates, or the book-entry registration, evidencing shares of Company Stock pursuant to the terms hereof, that the recipient of such shares make such agreements and representations, and that such certificates or book entries bear or are subject to such legends, as the Committee, in its sole discretion, deems necessary or desirable.</w:t>
      </w:r>
    </w:p>
    <w:p>
      <w:pPr>
        <w:spacing w:after="0" w:line="141" w:lineRule="exact"/>
        <w:rPr>
          <w:rFonts w:ascii="Arial" w:cs="Arial" w:eastAsia="Arial" w:hAnsi="Arial"/>
          <w:sz w:val="15"/>
          <w:szCs w:val="15"/>
          <w:color w:val="231F20"/>
        </w:rPr>
      </w:pPr>
    </w:p>
    <w:p>
      <w:pPr>
        <w:ind w:left="1900" w:right="1680" w:hanging="326"/>
        <w:spacing w:after="0" w:line="228" w:lineRule="auto"/>
        <w:tabs>
          <w:tab w:leader="none" w:pos="1900" w:val="left"/>
        </w:tabs>
        <w:numPr>
          <w:ilvl w:val="0"/>
          <w:numId w:val="245"/>
        </w:numPr>
        <w:rPr>
          <w:rFonts w:ascii="Arial" w:cs="Arial" w:eastAsia="Arial" w:hAnsi="Arial"/>
          <w:sz w:val="15"/>
          <w:szCs w:val="15"/>
          <w:color w:val="231F20"/>
        </w:rPr>
      </w:pPr>
      <w:r>
        <w:rPr>
          <w:rFonts w:ascii="Arial" w:cs="Arial" w:eastAsia="Arial" w:hAnsi="Arial"/>
          <w:sz w:val="15"/>
          <w:szCs w:val="15"/>
          <w:color w:val="231F20"/>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2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16. Withholding Taxes</w:t>
      </w:r>
    </w:p>
    <w:p>
      <w:pPr>
        <w:spacing w:after="0" w:line="217" w:lineRule="exact"/>
        <w:rPr>
          <w:sz w:val="20"/>
          <w:szCs w:val="20"/>
          <w:color w:val="auto"/>
        </w:rPr>
      </w:pPr>
    </w:p>
    <w:p>
      <w:pPr>
        <w:ind w:left="1580" w:right="1780"/>
        <w:spacing w:after="0" w:line="242" w:lineRule="auto"/>
        <w:rPr>
          <w:sz w:val="20"/>
          <w:szCs w:val="20"/>
          <w:color w:val="auto"/>
        </w:rPr>
      </w:pPr>
      <w:r>
        <w:rPr>
          <w:rFonts w:ascii="Arial" w:cs="Arial" w:eastAsia="Arial" w:hAnsi="Arial"/>
          <w:sz w:val="15"/>
          <w:szCs w:val="15"/>
          <w:color w:val="231F20"/>
        </w:rPr>
        <w:t>Whenever cash is to be paid pursuant to an Award, the Company shall have the right to deduct therefrom an amount sufficient to satisfy any federal, state and local withholding tax requirements related thereto.</w:t>
      </w:r>
    </w:p>
    <w:p>
      <w:pPr>
        <w:spacing w:after="0" w:line="138" w:lineRule="exact"/>
        <w:rPr>
          <w:sz w:val="20"/>
          <w:szCs w:val="20"/>
          <w:color w:val="auto"/>
        </w:rPr>
      </w:pPr>
    </w:p>
    <w:p>
      <w:pPr>
        <w:ind w:left="1580" w:right="1660"/>
        <w:spacing w:after="0"/>
        <w:rPr>
          <w:sz w:val="20"/>
          <w:szCs w:val="20"/>
          <w:color w:val="auto"/>
        </w:rPr>
      </w:pPr>
      <w:r>
        <w:rPr>
          <w:rFonts w:ascii="Arial" w:cs="Arial" w:eastAsia="Arial" w:hAnsi="Arial"/>
          <w:sz w:val="15"/>
          <w:szCs w:val="15"/>
          <w:color w:val="231F20"/>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up to the maximum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125</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37" w:name="page138"/>
    <w:bookmarkEnd w:id="137"/>
    <w:p>
      <w:pPr>
        <w:ind w:left="46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14605</wp:posOffset>
            </wp:positionV>
            <wp:extent cx="68580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17. Notification of Election Under Section 83(b) of the Code</w:t>
      </w:r>
    </w:p>
    <w:p>
      <w:pPr>
        <w:spacing w:after="0" w:line="217" w:lineRule="exact"/>
        <w:rPr>
          <w:sz w:val="20"/>
          <w:szCs w:val="20"/>
          <w:color w:val="auto"/>
        </w:rPr>
      </w:pPr>
    </w:p>
    <w:p>
      <w:pPr>
        <w:ind w:left="460" w:right="719"/>
        <w:spacing w:after="0" w:line="235" w:lineRule="auto"/>
        <w:rPr>
          <w:sz w:val="20"/>
          <w:szCs w:val="20"/>
          <w:color w:val="auto"/>
        </w:rPr>
      </w:pPr>
      <w:r>
        <w:rPr>
          <w:rFonts w:ascii="Arial" w:cs="Arial" w:eastAsia="Arial" w:hAnsi="Arial"/>
          <w:sz w:val="15"/>
          <w:szCs w:val="15"/>
          <w:color w:val="231F20"/>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18. Notification Upon Disqualifying Disposition Under Section 421(b) of the Code</w:t>
      </w:r>
    </w:p>
    <w:p>
      <w:pPr>
        <w:spacing w:after="0" w:line="217" w:lineRule="exact"/>
        <w:rPr>
          <w:sz w:val="20"/>
          <w:szCs w:val="20"/>
          <w:color w:val="auto"/>
        </w:rPr>
      </w:pPr>
    </w:p>
    <w:p>
      <w:pPr>
        <w:ind w:left="460" w:right="719"/>
        <w:spacing w:after="0" w:line="233" w:lineRule="auto"/>
        <w:rPr>
          <w:sz w:val="20"/>
          <w:szCs w:val="20"/>
          <w:color w:val="auto"/>
        </w:rPr>
      </w:pPr>
      <w:r>
        <w:rPr>
          <w:rFonts w:ascii="Arial" w:cs="Arial" w:eastAsia="Arial" w:hAnsi="Arial"/>
          <w:sz w:val="15"/>
          <w:szCs w:val="15"/>
          <w:color w:val="231F20"/>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19. Amendment or Termination of the Plan</w:t>
      </w:r>
    </w:p>
    <w:p>
      <w:pPr>
        <w:spacing w:after="0" w:line="217" w:lineRule="exact"/>
        <w:rPr>
          <w:sz w:val="20"/>
          <w:szCs w:val="20"/>
          <w:color w:val="auto"/>
        </w:rPr>
      </w:pPr>
    </w:p>
    <w:p>
      <w:pPr>
        <w:ind w:left="460" w:right="579"/>
        <w:spacing w:after="0" w:line="228" w:lineRule="auto"/>
        <w:rPr>
          <w:sz w:val="20"/>
          <w:szCs w:val="20"/>
          <w:color w:val="auto"/>
        </w:rPr>
      </w:pPr>
      <w:r>
        <w:rPr>
          <w:rFonts w:ascii="Arial" w:cs="Arial" w:eastAsia="Arial" w:hAnsi="Arial"/>
          <w:sz w:val="15"/>
          <w:szCs w:val="15"/>
          <w:color w:val="231F20"/>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 422 of the Code or Rule 16b-3 or other applicable law or regulation (including listing standards).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hereof, which discretion may be exercised without amendment to the Plan. Without limiting the authority of the Committee under Section 3(c) hereof or Section 3(d) hereof, and subject to Section 32 hereof, no action hereunder may, without the consent of a Participant, reduce the Participant’s rights under any outstanding Award.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20. Transferability</w:t>
      </w:r>
    </w:p>
    <w:p>
      <w:pPr>
        <w:spacing w:after="0" w:line="217" w:lineRule="exact"/>
        <w:rPr>
          <w:sz w:val="20"/>
          <w:szCs w:val="20"/>
          <w:color w:val="auto"/>
        </w:rPr>
      </w:pPr>
    </w:p>
    <w:p>
      <w:pPr>
        <w:ind w:left="460" w:right="559"/>
        <w:spacing w:after="0" w:line="229" w:lineRule="auto"/>
        <w:rPr>
          <w:sz w:val="20"/>
          <w:szCs w:val="20"/>
          <w:color w:val="auto"/>
        </w:rPr>
      </w:pPr>
      <w:r>
        <w:rPr>
          <w:rFonts w:ascii="Arial" w:cs="Arial" w:eastAsia="Arial" w:hAnsi="Arial"/>
          <w:sz w:val="15"/>
          <w:szCs w:val="15"/>
          <w:color w:val="231F20"/>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or in connection with the grant of the Award.</w:t>
      </w:r>
    </w:p>
    <w:p>
      <w:pPr>
        <w:spacing w:after="0" w:line="141" w:lineRule="exact"/>
        <w:rPr>
          <w:sz w:val="20"/>
          <w:szCs w:val="20"/>
          <w:color w:val="auto"/>
        </w:rPr>
      </w:pPr>
    </w:p>
    <w:p>
      <w:pPr>
        <w:ind w:left="460" w:right="579"/>
        <w:spacing w:after="0" w:line="229" w:lineRule="auto"/>
        <w:rPr>
          <w:sz w:val="20"/>
          <w:szCs w:val="20"/>
          <w:color w:val="auto"/>
        </w:rPr>
      </w:pPr>
      <w:r>
        <w:rPr>
          <w:rFonts w:ascii="Arial" w:cs="Arial" w:eastAsia="Arial" w:hAnsi="Arial"/>
          <w:sz w:val="15"/>
          <w:szCs w:val="15"/>
          <w:color w:val="231F20"/>
        </w:rPr>
        <w:t>During the lifetime of a Participant,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may be made in exchange for consideration.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21. Expenses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The expenses of the Plan shall be paid by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952A4"/>
        </w:rPr>
        <w:t>22. Failure to Comply</w:t>
      </w:r>
    </w:p>
    <w:p>
      <w:pPr>
        <w:spacing w:after="0" w:line="217" w:lineRule="exact"/>
        <w:rPr>
          <w:sz w:val="20"/>
          <w:szCs w:val="20"/>
          <w:color w:val="auto"/>
        </w:rPr>
      </w:pPr>
    </w:p>
    <w:p>
      <w:pPr>
        <w:ind w:left="460" w:right="679"/>
        <w:spacing w:after="0" w:line="231" w:lineRule="auto"/>
        <w:rPr>
          <w:sz w:val="20"/>
          <w:szCs w:val="20"/>
          <w:color w:val="auto"/>
        </w:rPr>
      </w:pPr>
      <w:r>
        <w:rPr>
          <w:rFonts w:ascii="Arial" w:cs="Arial" w:eastAsia="Arial" w:hAnsi="Arial"/>
          <w:sz w:val="15"/>
          <w:szCs w:val="15"/>
          <w:color w:val="231F20"/>
        </w:rPr>
        <w:t>In addition to the remedies of the Company elsewhere provided for herein, failure by a Participant (or beneficiary) to comply with any of the terms and conditions of the Plan or the applicable Agreement, unless such failure is remedied by such Participant (or beneficiary) within ten days after notice of such failure by the Committee, shall be grounds for the cancellation and forfeiture of such Award, in whole or in part, as the Committee, in its absolute discretion, may determine.</w:t>
      </w:r>
    </w:p>
    <w:p>
      <w:pPr>
        <w:spacing w:after="0" w:line="34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A5EC"/>
        </w:rPr>
        <w:t xml:space="preserve">126  </w:t>
      </w:r>
      <w:r>
        <w:rPr>
          <w:rFonts w:ascii="Arial" w:cs="Arial" w:eastAsia="Arial" w:hAnsi="Arial"/>
          <w:sz w:val="14"/>
          <w:szCs w:val="14"/>
          <w:color w:val="00A5EC"/>
        </w:rPr>
        <w:t xml:space="preserve">/  </w:t>
      </w:r>
      <w:r>
        <w:rPr>
          <w:sz w:val="1"/>
          <w:szCs w:val="1"/>
          <w:color w:val="auto"/>
        </w:rPr>
        <w:drawing>
          <wp:inline distT="0" distB="0" distL="0" distR="0">
            <wp:extent cx="745490" cy="85725"/>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45490" cy="85725"/>
                    </a:xfrm>
                    <a:prstGeom prst="rect">
                      <a:avLst/>
                    </a:prstGeom>
                    <a:noFill/>
                    <a:ln>
                      <a:noFill/>
                    </a:ln>
                  </pic:spPr>
                </pic:pic>
              </a:graphicData>
            </a:graphic>
          </wp:inline>
        </w:drawing>
      </w:r>
      <w:r>
        <w:rPr>
          <w:rFonts w:ascii="Arial" w:cs="Arial" w:eastAsia="Arial" w:hAnsi="Arial"/>
          <w:sz w:val="13"/>
          <w:szCs w:val="13"/>
          <w:b w:val="1"/>
          <w:bCs w:val="1"/>
          <w:color w:val="2952A4"/>
        </w:rPr>
        <w:t xml:space="preserve">                              2020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138" w:name="page139"/>
    <w:bookmarkEnd w:id="138"/>
    <w:p>
      <w:pPr>
        <w:ind w:left="6980"/>
        <w:spacing w:after="0"/>
        <w:rPr>
          <w:sz w:val="20"/>
          <w:szCs w:val="20"/>
          <w:color w:val="auto"/>
        </w:rPr>
      </w:pPr>
      <w:r>
        <w:rPr>
          <w:rFonts w:ascii="Arial" w:cs="Arial" w:eastAsia="Arial" w:hAnsi="Arial"/>
          <w:sz w:val="16"/>
          <w:szCs w:val="16"/>
          <w:b w:val="1"/>
          <w:bCs w:val="1"/>
          <w:color w:val="2952A4"/>
        </w:rPr>
        <w:t xml:space="preserve">OTHER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23. Effective Date and Term of Plan</w:t>
      </w:r>
    </w:p>
    <w:p>
      <w:pPr>
        <w:spacing w:after="0" w:line="217" w:lineRule="exact"/>
        <w:rPr>
          <w:sz w:val="20"/>
          <w:szCs w:val="20"/>
          <w:color w:val="auto"/>
        </w:rPr>
      </w:pPr>
    </w:p>
    <w:p>
      <w:pPr>
        <w:ind w:left="1580" w:right="1840"/>
        <w:spacing w:after="0" w:line="233" w:lineRule="auto"/>
        <w:rPr>
          <w:sz w:val="20"/>
          <w:szCs w:val="20"/>
          <w:color w:val="auto"/>
        </w:rPr>
      </w:pPr>
      <w:r>
        <w:rPr>
          <w:rFonts w:ascii="Arial" w:cs="Arial" w:eastAsia="Arial" w:hAnsi="Arial"/>
          <w:sz w:val="15"/>
          <w:szCs w:val="15"/>
          <w:color w:val="231F20"/>
        </w:rPr>
        <w:t>The Plan shall be subject to the requisite approval of the shareholders of the Company. Unless earlier terminated by the Board of Directors, the right to grant Awards under the Plan shall terminate on the tenth anniversary of the Effective Date. Awards outstanding at Plan termination shall remain in effect according to their terms and the provisions of the Plan.</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24. Applicable Law</w:t>
      </w:r>
    </w:p>
    <w:p>
      <w:pPr>
        <w:spacing w:after="0" w:line="217" w:lineRule="exact"/>
        <w:rPr>
          <w:sz w:val="20"/>
          <w:szCs w:val="20"/>
          <w:color w:val="auto"/>
        </w:rPr>
      </w:pPr>
    </w:p>
    <w:p>
      <w:pPr>
        <w:ind w:left="1580" w:right="2240"/>
        <w:spacing w:after="0" w:line="242" w:lineRule="auto"/>
        <w:rPr>
          <w:sz w:val="20"/>
          <w:szCs w:val="20"/>
          <w:color w:val="auto"/>
        </w:rPr>
      </w:pPr>
      <w:r>
        <w:rPr>
          <w:rFonts w:ascii="Arial" w:cs="Arial" w:eastAsia="Arial" w:hAnsi="Arial"/>
          <w:sz w:val="15"/>
          <w:szCs w:val="15"/>
          <w:color w:val="231F20"/>
        </w:rPr>
        <w:t>Except to the extent preempted by any applicable federal law, the Plan shall be construed and administered in accordance with the laws of the State of New York without reference to its principles of conflicts of law.</w:t>
      </w:r>
    </w:p>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25. Participant Rights</w:t>
      </w:r>
    </w:p>
    <w:p>
      <w:pPr>
        <w:spacing w:after="0" w:line="217" w:lineRule="exact"/>
        <w:rPr>
          <w:sz w:val="20"/>
          <w:szCs w:val="20"/>
          <w:color w:val="auto"/>
        </w:rPr>
      </w:pPr>
    </w:p>
    <w:p>
      <w:pPr>
        <w:ind w:left="1580" w:right="1660"/>
        <w:spacing w:after="0" w:line="231" w:lineRule="auto"/>
        <w:rPr>
          <w:sz w:val="20"/>
          <w:szCs w:val="20"/>
          <w:color w:val="auto"/>
        </w:rPr>
      </w:pPr>
      <w:r>
        <w:rPr>
          <w:rFonts w:ascii="Arial" w:cs="Arial" w:eastAsia="Arial" w:hAnsi="Arial"/>
          <w:sz w:val="15"/>
          <w:szCs w:val="15"/>
          <w:color w:val="231F20"/>
        </w:rPr>
        <w:t>No Participant shall have any claim to be granted any award under the Plan, and there is no obligation for uniformity of treatment for Participants. Except as provided specifically herein, a Participant or a transferee of an Award shall have no rights as a shareholder with respect to any shares covered by any Award until the date of the issuance of a Company Stock certificate to him or her or the book-entry registration in such Participant’s or such transferee’s name for such shares.</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26. Unfunded Status of Awards</w:t>
      </w:r>
    </w:p>
    <w:p>
      <w:pPr>
        <w:spacing w:after="0" w:line="217" w:lineRule="exact"/>
        <w:rPr>
          <w:sz w:val="20"/>
          <w:szCs w:val="20"/>
          <w:color w:val="auto"/>
        </w:rPr>
      </w:pPr>
    </w:p>
    <w:p>
      <w:pPr>
        <w:jc w:val="both"/>
        <w:ind w:left="1580" w:right="1840"/>
        <w:spacing w:after="0" w:line="235" w:lineRule="auto"/>
        <w:rPr>
          <w:sz w:val="20"/>
          <w:szCs w:val="20"/>
          <w:color w:val="auto"/>
        </w:rPr>
      </w:pPr>
      <w:r>
        <w:rPr>
          <w:rFonts w:ascii="Arial" w:cs="Arial" w:eastAsia="Arial" w:hAnsi="Arial"/>
          <w:sz w:val="15"/>
          <w:szCs w:val="15"/>
          <w:color w:val="231F20"/>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27. No Fractional Shares</w:t>
      </w:r>
    </w:p>
    <w:p>
      <w:pPr>
        <w:spacing w:after="0" w:line="217" w:lineRule="exact"/>
        <w:rPr>
          <w:sz w:val="20"/>
          <w:szCs w:val="20"/>
          <w:color w:val="auto"/>
        </w:rPr>
      </w:pPr>
    </w:p>
    <w:p>
      <w:pPr>
        <w:ind w:left="1580" w:right="1960"/>
        <w:spacing w:after="0" w:line="235" w:lineRule="auto"/>
        <w:rPr>
          <w:sz w:val="20"/>
          <w:szCs w:val="20"/>
          <w:color w:val="auto"/>
        </w:rPr>
      </w:pPr>
      <w:r>
        <w:rPr>
          <w:rFonts w:ascii="Arial" w:cs="Arial" w:eastAsia="Arial" w:hAnsi="Arial"/>
          <w:sz w:val="15"/>
          <w:szCs w:val="15"/>
          <w:color w:val="231F20"/>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28. Beneficiary</w:t>
      </w:r>
    </w:p>
    <w:p>
      <w:pPr>
        <w:spacing w:after="0" w:line="217" w:lineRule="exact"/>
        <w:rPr>
          <w:sz w:val="20"/>
          <w:szCs w:val="20"/>
          <w:color w:val="auto"/>
        </w:rPr>
      </w:pPr>
    </w:p>
    <w:p>
      <w:pPr>
        <w:ind w:left="1580" w:right="1720"/>
        <w:spacing w:after="0"/>
        <w:rPr>
          <w:sz w:val="20"/>
          <w:szCs w:val="20"/>
          <w:color w:val="auto"/>
        </w:rPr>
      </w:pPr>
      <w:r>
        <w:rPr>
          <w:rFonts w:ascii="Arial" w:cs="Arial" w:eastAsia="Arial" w:hAnsi="Arial"/>
          <w:sz w:val="15"/>
          <w:szCs w:val="15"/>
          <w:color w:val="231F20"/>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27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29. Substitute Awards</w:t>
      </w:r>
    </w:p>
    <w:p>
      <w:pPr>
        <w:spacing w:after="0" w:line="217" w:lineRule="exact"/>
        <w:rPr>
          <w:sz w:val="20"/>
          <w:szCs w:val="20"/>
          <w:color w:val="auto"/>
        </w:rPr>
      </w:pPr>
    </w:p>
    <w:p>
      <w:pPr>
        <w:ind w:left="1580" w:right="1860"/>
        <w:spacing w:after="0" w:line="235" w:lineRule="auto"/>
        <w:rPr>
          <w:sz w:val="20"/>
          <w:szCs w:val="20"/>
          <w:color w:val="auto"/>
        </w:rPr>
      </w:pPr>
      <w:r>
        <w:rPr>
          <w:rFonts w:ascii="Arial" w:cs="Arial" w:eastAsia="Arial" w:hAnsi="Arial"/>
          <w:sz w:val="15"/>
          <w:szCs w:val="15"/>
          <w:color w:val="231F20"/>
        </w:rPr>
        <w:t>Notwithstanding any other provision of the Plan, the terms of Substitute Awards may vary from the terms set forth in the Plan to the extent the Committee deems appropriate to conform, in whole or in part, to the provisions of the awards in substitution for which such Substitute Awards are granted.</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30. Interpretation</w:t>
      </w:r>
    </w:p>
    <w:p>
      <w:pPr>
        <w:spacing w:after="0" w:line="207" w:lineRule="exact"/>
        <w:rPr>
          <w:sz w:val="20"/>
          <w:szCs w:val="20"/>
          <w:color w:val="auto"/>
        </w:rPr>
      </w:pPr>
    </w:p>
    <w:p>
      <w:pPr>
        <w:ind w:left="1580"/>
        <w:spacing w:after="0"/>
        <w:rPr>
          <w:sz w:val="20"/>
          <w:szCs w:val="20"/>
          <w:color w:val="auto"/>
        </w:rPr>
      </w:pPr>
      <w:r>
        <w:rPr>
          <w:rFonts w:ascii="Arial" w:cs="Arial" w:eastAsia="Arial" w:hAnsi="Arial"/>
          <w:sz w:val="15"/>
          <w:szCs w:val="15"/>
          <w:color w:val="231F20"/>
        </w:rPr>
        <w:t>The Plan is designed and intended to permit the grant of Awards which comply with the exemption set forth in</w:t>
      </w:r>
    </w:p>
    <w:p>
      <w:pPr>
        <w:ind w:left="1580" w:right="1760"/>
        <w:spacing w:after="0" w:line="242" w:lineRule="auto"/>
        <w:rPr>
          <w:sz w:val="20"/>
          <w:szCs w:val="20"/>
          <w:color w:val="auto"/>
        </w:rPr>
      </w:pPr>
      <w:r>
        <w:rPr>
          <w:rFonts w:ascii="Arial" w:cs="Arial" w:eastAsia="Arial" w:hAnsi="Arial"/>
          <w:sz w:val="15"/>
          <w:szCs w:val="15"/>
          <w:color w:val="231F20"/>
        </w:rPr>
        <w:t>Rule 16b-3 and to permit the grant of awards which either comply with or exempt from the provisions of Section 409A of the Code. All provisions hereof shall be construed in a manner to so comply with such intention.</w:t>
      </w:r>
    </w:p>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31. Severability</w:t>
      </w:r>
    </w:p>
    <w:p>
      <w:pPr>
        <w:spacing w:after="0" w:line="217" w:lineRule="exact"/>
        <w:rPr>
          <w:sz w:val="20"/>
          <w:szCs w:val="20"/>
          <w:color w:val="auto"/>
        </w:rPr>
      </w:pPr>
    </w:p>
    <w:p>
      <w:pPr>
        <w:ind w:left="1580" w:right="1720"/>
        <w:spacing w:after="0" w:line="242" w:lineRule="auto"/>
        <w:rPr>
          <w:sz w:val="20"/>
          <w:szCs w:val="20"/>
          <w:color w:val="auto"/>
        </w:rPr>
      </w:pPr>
      <w:r>
        <w:rPr>
          <w:rFonts w:ascii="Arial" w:cs="Arial" w:eastAsia="Arial" w:hAnsi="Arial"/>
          <w:sz w:val="15"/>
          <w:szCs w:val="15"/>
          <w:color w:val="231F20"/>
        </w:rPr>
        <w:t>If any provision of the Plan is held to be invalid or unenforceable, the other provisions of the Plan shall not be affected but shall be applied as if the invalid or unenforceable provision had not been included in the Plan.</w:t>
      </w:r>
    </w:p>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2952A4"/>
        </w:rPr>
        <w:t>32. Applicability of Company Policy</w:t>
      </w:r>
    </w:p>
    <w:p>
      <w:pPr>
        <w:spacing w:after="0" w:line="217" w:lineRule="exact"/>
        <w:rPr>
          <w:sz w:val="20"/>
          <w:szCs w:val="20"/>
          <w:color w:val="auto"/>
        </w:rPr>
      </w:pPr>
    </w:p>
    <w:p>
      <w:pPr>
        <w:ind w:left="1580" w:right="1680"/>
        <w:spacing w:after="0" w:line="235" w:lineRule="auto"/>
        <w:rPr>
          <w:sz w:val="20"/>
          <w:szCs w:val="20"/>
          <w:color w:val="auto"/>
        </w:rPr>
      </w:pPr>
      <w:r>
        <w:rPr>
          <w:rFonts w:ascii="Arial" w:cs="Arial" w:eastAsia="Arial" w:hAnsi="Arial"/>
          <w:sz w:val="15"/>
          <w:szCs w:val="15"/>
          <w:color w:val="231F20"/>
        </w:rPr>
        <w:t>By accepting an Award under the Plan, each Participant agrees that the terms and conditions of the Company’s Policy Regarding Recoupment or Reduction of Incentive Compensation for Compliance Violations, as in effect from time to time, shall apply to such Participant’s Award(s) under the Plan.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1540"/>
              <w:spacing w:after="0"/>
              <w:rPr>
                <w:sz w:val="20"/>
                <w:szCs w:val="20"/>
                <w:color w:val="auto"/>
              </w:rPr>
            </w:pPr>
            <w:r>
              <w:rPr>
                <w:rFonts w:ascii="Arial" w:cs="Arial" w:eastAsia="Arial" w:hAnsi="Arial"/>
                <w:sz w:val="13"/>
                <w:szCs w:val="13"/>
                <w:b w:val="1"/>
                <w:bCs w:val="1"/>
                <w:color w:val="2952A4"/>
              </w:rPr>
              <w:t>2020 PROXY STATEMENT AND NOTICE OF ANNUAL SHAREHOLDER MEETING</w:t>
            </w:r>
          </w:p>
        </w:tc>
        <w:tc>
          <w:tcPr>
            <w:tcW w:w="3300" w:type="dxa"/>
            <w:vAlign w:val="bottom"/>
          </w:tcPr>
          <w:p>
            <w:pPr>
              <w:jc w:val="right"/>
              <w:ind w:right="118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127</w:t>
            </w:r>
          </w:p>
        </w:tc>
      </w:tr>
      <w:tr>
        <w:trPr>
          <w:trHeight w:val="262"/>
        </w:trPr>
        <w:tc>
          <w:tcPr>
            <w:tcW w:w="7940" w:type="dxa"/>
            <w:vAlign w:val="bottom"/>
            <w:tcBorders>
              <w:bottom w:val="single" w:sz="8" w:color="C0C0C0"/>
            </w:tcBorders>
          </w:tcPr>
          <w:p>
            <w:pPr>
              <w:spacing w:after="0"/>
              <w:rPr>
                <w:sz w:val="22"/>
                <w:szCs w:val="22"/>
                <w:color w:val="auto"/>
              </w:rPr>
            </w:pPr>
          </w:p>
        </w:tc>
        <w:tc>
          <w:tcPr>
            <w:tcW w:w="330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-290830</wp:posOffset>
            </wp:positionV>
            <wp:extent cx="746125" cy="857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46125" cy="8572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636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9163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9839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98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777 OLD SAW MILL RIVER ROAD</w:t>
      </w:r>
    </w:p>
    <w:p>
      <w:pPr>
        <w:spacing w:after="0" w:line="2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FFFFFF"/>
        </w:rPr>
        <w:t>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2123440</wp:posOffset>
            </wp:positionV>
            <wp:extent cx="713232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9"/>
          <w:szCs w:val="9"/>
          <w:b w:val="1"/>
          <w:bCs w:val="1"/>
          <w:i w:val="1"/>
          <w:iCs w:val="1"/>
          <w:color w:val="auto"/>
        </w:rPr>
        <w:t>REGENERON PHARMACEUTICALS, INC.</w:t>
      </w:r>
    </w:p>
    <w:p>
      <w:pPr>
        <w:ind w:left="360"/>
        <w:spacing w:after="0" w:line="221" w:lineRule="auto"/>
        <w:rPr>
          <w:sz w:val="20"/>
          <w:szCs w:val="20"/>
          <w:color w:val="auto"/>
        </w:rPr>
      </w:pPr>
      <w:r>
        <w:rPr>
          <w:rFonts w:ascii="Arial" w:cs="Arial" w:eastAsia="Arial" w:hAnsi="Arial"/>
          <w:sz w:val="9"/>
          <w:szCs w:val="9"/>
          <w:b w:val="1"/>
          <w:bCs w:val="1"/>
          <w:i w:val="1"/>
          <w:iCs w:val="1"/>
          <w:color w:val="auto"/>
        </w:rPr>
        <w:t>777 OLD SAW MILL RIVER ROAD</w:t>
      </w:r>
    </w:p>
    <w:p>
      <w:pPr>
        <w:ind w:left="360"/>
        <w:spacing w:after="0" w:line="219" w:lineRule="auto"/>
        <w:rPr>
          <w:sz w:val="20"/>
          <w:szCs w:val="20"/>
          <w:color w:val="auto"/>
        </w:rPr>
      </w:pPr>
      <w:r>
        <w:rPr>
          <w:rFonts w:ascii="Arial" w:cs="Arial" w:eastAsia="Arial" w:hAnsi="Arial"/>
          <w:sz w:val="9"/>
          <w:szCs w:val="9"/>
          <w:b w:val="1"/>
          <w:bCs w:val="1"/>
          <w:i w:val="1"/>
          <w:iCs w:val="1"/>
          <w:color w:val="auto"/>
        </w:rPr>
        <w:t>TARRYTOWN, NY 10591-6707</w:t>
      </w:r>
    </w:p>
    <w:p>
      <w:pPr>
        <w:ind w:left="360"/>
        <w:spacing w:after="0"/>
        <w:rPr>
          <w:sz w:val="20"/>
          <w:szCs w:val="20"/>
          <w:color w:val="auto"/>
        </w:rPr>
      </w:pPr>
      <w:r>
        <w:rPr>
          <w:rFonts w:ascii="Arial" w:cs="Arial" w:eastAsia="Arial" w:hAnsi="Arial"/>
          <w:sz w:val="9"/>
          <w:szCs w:val="9"/>
          <w:b w:val="1"/>
          <w:bCs w:val="1"/>
          <w:i w:val="1"/>
          <w:iCs w:val="1"/>
          <w:color w:val="auto"/>
        </w:rPr>
        <w:t>ATTN: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p>
    <w:p>
      <w:pPr>
        <w:spacing w:after="0" w:line="121" w:lineRule="exact"/>
        <w:rPr>
          <w:sz w:val="20"/>
          <w:szCs w:val="20"/>
          <w:color w:val="auto"/>
        </w:rPr>
      </w:pPr>
    </w:p>
    <w:p>
      <w:pPr>
        <w:jc w:val="both"/>
        <w:ind w:right="38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www.virtualshareholdermeeting.com/REGN2020</w:t>
      </w:r>
    </w:p>
    <w:p>
      <w:pPr>
        <w:spacing w:after="0" w:line="137"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You may attend the meeting via the Internet and vote during the meeting. Have the information that is printed in the box marked by the arrow available and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400"/>
          </w:cols>
          <w:pgMar w:left="320" w:top="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4840" w:type="dxa"/>
            <w:vAlign w:val="bottom"/>
            <w:gridSpan w:val="6"/>
          </w:tcPr>
          <w:p>
            <w:pPr>
              <w:spacing w:after="0"/>
              <w:rPr>
                <w:sz w:val="20"/>
                <w:szCs w:val="20"/>
                <w:color w:val="auto"/>
              </w:rPr>
            </w:pPr>
            <w:r>
              <w:rPr>
                <w:rFonts w:ascii="Arial" w:cs="Arial" w:eastAsia="Arial" w:hAnsi="Arial"/>
                <w:sz w:val="13"/>
                <w:szCs w:val="13"/>
                <w:color w:val="231F20"/>
              </w:rPr>
              <w:t>TO VOTE, MARK BLOCKS BELOW IN BLUE OR BLACK INK AS FOLLOWS:</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0" w:type="dxa"/>
            <w:vAlign w:val="bottom"/>
          </w:tcPr>
          <w:p>
            <w:pPr>
              <w:ind w:left="160"/>
              <w:spacing w:after="0"/>
              <w:rPr>
                <w:sz w:val="20"/>
                <w:szCs w:val="20"/>
                <w:color w:val="auto"/>
              </w:rPr>
            </w:pPr>
            <w:r>
              <w:rPr>
                <w:rFonts w:ascii="Arial" w:cs="Arial" w:eastAsia="Arial" w:hAnsi="Arial"/>
                <w:sz w:val="13"/>
                <w:szCs w:val="13"/>
                <w:color w:val="231F20"/>
              </w:rPr>
              <w:t>D13186-P35010-Z76486</w:t>
            </w:r>
          </w:p>
        </w:tc>
        <w:tc>
          <w:tcPr>
            <w:tcW w:w="3040" w:type="dxa"/>
            <w:vAlign w:val="bottom"/>
            <w:gridSpan w:val="6"/>
          </w:tcPr>
          <w:p>
            <w:pPr>
              <w:jc w:val="right"/>
              <w:spacing w:after="0"/>
              <w:rPr>
                <w:sz w:val="20"/>
                <w:szCs w:val="20"/>
                <w:color w:val="auto"/>
              </w:rPr>
            </w:pPr>
            <w:r>
              <w:rPr>
                <w:rFonts w:ascii="Arial" w:cs="Arial" w:eastAsia="Arial" w:hAnsi="Arial"/>
                <w:sz w:val="13"/>
                <w:szCs w:val="13"/>
                <w:color w:val="231F20"/>
              </w:rPr>
              <w:t>KEEP THIS PORTION FOR YOUR RECORDS</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3040" w:type="dxa"/>
            <w:vAlign w:val="bottom"/>
            <w:gridSpan w:val="6"/>
          </w:tcPr>
          <w:p>
            <w:pPr>
              <w:jc w:val="right"/>
              <w:spacing w:after="0"/>
              <w:rPr>
                <w:sz w:val="20"/>
                <w:szCs w:val="20"/>
                <w:color w:val="auto"/>
              </w:rPr>
            </w:pPr>
            <w:r>
              <w:rPr>
                <w:rFonts w:ascii="Arial" w:cs="Arial" w:eastAsia="Arial" w:hAnsi="Arial"/>
                <w:sz w:val="13"/>
                <w:szCs w:val="13"/>
                <w:color w:val="231F20"/>
              </w:rPr>
              <w:t>DETACH AND RETURN THIS PORTION ONLY</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0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40" w:type="dxa"/>
            <w:vAlign w:val="bottom"/>
            <w:tcBorders>
              <w:left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REGENERON PHARMACEUTICALS, INC.</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360" w:type="dxa"/>
            <w:vAlign w:val="bottom"/>
            <w:tcBorders>
              <w:left w:val="single" w:sz="8" w:color="auto"/>
            </w:tcBorders>
            <w:vMerge w:val="restart"/>
          </w:tcPr>
          <w:p>
            <w:pPr>
              <w:spacing w:after="0"/>
              <w:rPr>
                <w:sz w:val="4"/>
                <w:szCs w:val="4"/>
                <w:color w:val="auto"/>
              </w:rPr>
            </w:pPr>
          </w:p>
        </w:tc>
        <w:tc>
          <w:tcPr>
            <w:tcW w:w="448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360" w:type="dxa"/>
            <w:vAlign w:val="bottom"/>
            <w:tcBorders>
              <w:left w:val="single" w:sz="8" w:color="auto"/>
            </w:tcBorders>
            <w:vMerge w:val="continue"/>
          </w:tcPr>
          <w:p>
            <w:pPr>
              <w:spacing w:after="0"/>
              <w:rPr>
                <w:sz w:val="7"/>
                <w:szCs w:val="7"/>
                <w:color w:val="auto"/>
              </w:rPr>
            </w:pPr>
          </w:p>
        </w:tc>
        <w:tc>
          <w:tcPr>
            <w:tcW w:w="4480" w:type="dxa"/>
            <w:vAlign w:val="bottom"/>
            <w:gridSpan w:val="5"/>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60" w:type="dxa"/>
            <w:vAlign w:val="bottom"/>
            <w:tcBorders>
              <w:left w:val="single" w:sz="8" w:color="auto"/>
            </w:tcBorders>
          </w:tcPr>
          <w:p>
            <w:pPr>
              <w:spacing w:after="0"/>
              <w:rPr>
                <w:sz w:val="14"/>
                <w:szCs w:val="14"/>
                <w:color w:val="auto"/>
              </w:rPr>
            </w:pPr>
          </w:p>
        </w:tc>
        <w:tc>
          <w:tcPr>
            <w:tcW w:w="2580" w:type="dxa"/>
            <w:vAlign w:val="bottom"/>
            <w:gridSpan w:val="2"/>
          </w:tcPr>
          <w:p>
            <w:pPr>
              <w:ind w:left="60"/>
              <w:spacing w:after="0"/>
              <w:rPr>
                <w:sz w:val="20"/>
                <w:szCs w:val="20"/>
                <w:color w:val="auto"/>
              </w:rPr>
            </w:pPr>
            <w:r>
              <w:rPr>
                <w:rFonts w:ascii="Arial" w:cs="Arial" w:eastAsia="Arial" w:hAnsi="Arial"/>
                <w:sz w:val="13"/>
                <w:szCs w:val="13"/>
                <w:b w:val="1"/>
                <w:bCs w:val="1"/>
                <w:color w:val="auto"/>
              </w:rPr>
              <w:t>the following proposals: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gridSpan w:val="2"/>
          </w:tcPr>
          <w:p>
            <w:pPr>
              <w:ind w:left="420"/>
              <w:spacing w:after="0"/>
              <w:rPr>
                <w:sz w:val="20"/>
                <w:szCs w:val="20"/>
                <w:color w:val="auto"/>
              </w:rPr>
            </w:pPr>
            <w:r>
              <w:rPr>
                <w:rFonts w:ascii="Arial" w:cs="Arial" w:eastAsia="Arial" w:hAnsi="Arial"/>
                <w:sz w:val="13"/>
                <w:szCs w:val="13"/>
                <w:color w:val="auto"/>
              </w:rPr>
              <w:t>1.</w:t>
            </w:r>
          </w:p>
        </w:tc>
        <w:tc>
          <w:tcPr>
            <w:tcW w:w="2280" w:type="dxa"/>
            <w:vAlign w:val="bottom"/>
          </w:tcPr>
          <w:p>
            <w:pPr>
              <w:ind w:left="160"/>
              <w:spacing w:after="0"/>
              <w:rPr>
                <w:sz w:val="20"/>
                <w:szCs w:val="20"/>
                <w:color w:val="auto"/>
              </w:rPr>
            </w:pPr>
            <w:r>
              <w:rPr>
                <w:rFonts w:ascii="Arial" w:cs="Arial" w:eastAsia="Arial" w:hAnsi="Arial"/>
                <w:sz w:val="13"/>
                <w:szCs w:val="13"/>
                <w:color w:val="auto"/>
              </w:rPr>
              <w:t>Election of Directors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jc w:val="center"/>
              <w:ind w:left="357"/>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2820" w:type="dxa"/>
            <w:vAlign w:val="bottom"/>
            <w:gridSpan w:val="2"/>
            <w:vMerge w:val="restart"/>
          </w:tcPr>
          <w:p>
            <w:pPr>
              <w:jc w:val="center"/>
              <w:ind w:right="2217"/>
              <w:spacing w:after="0"/>
              <w:rPr>
                <w:sz w:val="20"/>
                <w:szCs w:val="20"/>
                <w:color w:val="auto"/>
              </w:rPr>
            </w:pPr>
            <w:r>
              <w:rPr>
                <w:rFonts w:ascii="Arial" w:cs="Arial" w:eastAsia="Arial" w:hAnsi="Arial"/>
                <w:sz w:val="13"/>
                <w:szCs w:val="13"/>
                <w:b w:val="1"/>
                <w:bCs w:val="1"/>
                <w:color w:val="auto"/>
                <w:w w:val="96"/>
              </w:rPr>
              <w:t>Abstain</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3"/>
                <w:szCs w:val="13"/>
                <w:b w:val="1"/>
                <w:bCs w:val="1"/>
                <w:color w:val="auto"/>
              </w:rPr>
              <w:t>Nominees: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1a.  N. Anthony Coles, M.D.</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center"/>
              <w:ind w:left="357"/>
              <w:spacing w:after="0"/>
              <w:rPr>
                <w:sz w:val="20"/>
                <w:szCs w:val="20"/>
                <w:color w:val="auto"/>
              </w:rPr>
            </w:pPr>
            <w:r>
              <w:rPr>
                <w:rFonts w:ascii="Arial" w:cs="Arial" w:eastAsia="Arial" w:hAnsi="Arial"/>
                <w:sz w:val="13"/>
                <w:szCs w:val="13"/>
                <w:color w:val="auto"/>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820" w:type="dxa"/>
            <w:vAlign w:val="bottom"/>
            <w:gridSpan w:val="2"/>
          </w:tcPr>
          <w:p>
            <w:pPr>
              <w:jc w:val="center"/>
              <w:ind w:right="2217"/>
              <w:spacing w:after="0"/>
              <w:rPr>
                <w:sz w:val="20"/>
                <w:szCs w:val="20"/>
                <w:color w:val="auto"/>
              </w:rPr>
            </w:pPr>
            <w:r>
              <w:rPr>
                <w:rFonts w:ascii="Arial" w:cs="Arial" w:eastAsia="Arial" w:hAnsi="Arial"/>
                <w:sz w:val="13"/>
                <w:szCs w:val="13"/>
                <w:color w:val="auto"/>
                <w:w w:val="82"/>
              </w:rPr>
              <w:t>o</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1b.  Joseph L. Goldstein, M.D.</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center"/>
              <w:ind w:left="357"/>
              <w:spacing w:after="0"/>
              <w:rPr>
                <w:sz w:val="20"/>
                <w:szCs w:val="20"/>
                <w:color w:val="auto"/>
              </w:rPr>
            </w:pPr>
            <w:r>
              <w:rPr>
                <w:rFonts w:ascii="Arial" w:cs="Arial" w:eastAsia="Arial" w:hAnsi="Arial"/>
                <w:sz w:val="13"/>
                <w:szCs w:val="13"/>
                <w:color w:val="auto"/>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820" w:type="dxa"/>
            <w:vAlign w:val="bottom"/>
            <w:gridSpan w:val="2"/>
          </w:tcPr>
          <w:p>
            <w:pPr>
              <w:jc w:val="center"/>
              <w:ind w:right="2217"/>
              <w:spacing w:after="0"/>
              <w:rPr>
                <w:sz w:val="20"/>
                <w:szCs w:val="20"/>
                <w:color w:val="auto"/>
              </w:rPr>
            </w:pPr>
            <w:r>
              <w:rPr>
                <w:rFonts w:ascii="Arial" w:cs="Arial" w:eastAsia="Arial" w:hAnsi="Arial"/>
                <w:sz w:val="13"/>
                <w:szCs w:val="13"/>
                <w:color w:val="auto"/>
                <w:w w:val="82"/>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1c.  Christine A. Poon</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center"/>
              <w:ind w:left="357"/>
              <w:spacing w:after="0"/>
              <w:rPr>
                <w:sz w:val="20"/>
                <w:szCs w:val="20"/>
                <w:color w:val="auto"/>
              </w:rPr>
            </w:pPr>
            <w:r>
              <w:rPr>
                <w:rFonts w:ascii="Arial" w:cs="Arial" w:eastAsia="Arial" w:hAnsi="Arial"/>
                <w:sz w:val="13"/>
                <w:szCs w:val="13"/>
                <w:color w:val="auto"/>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820" w:type="dxa"/>
            <w:vAlign w:val="bottom"/>
            <w:gridSpan w:val="2"/>
          </w:tcPr>
          <w:p>
            <w:pPr>
              <w:jc w:val="center"/>
              <w:ind w:right="2217"/>
              <w:spacing w:after="0"/>
              <w:rPr>
                <w:sz w:val="20"/>
                <w:szCs w:val="20"/>
                <w:color w:val="auto"/>
              </w:rPr>
            </w:pPr>
            <w:r>
              <w:rPr>
                <w:rFonts w:ascii="Arial" w:cs="Arial" w:eastAsia="Arial" w:hAnsi="Arial"/>
                <w:sz w:val="13"/>
                <w:szCs w:val="13"/>
                <w:color w:val="auto"/>
                <w:w w:val="82"/>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1d.  P. Roy Vagelos, M.D.</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center"/>
              <w:ind w:left="357"/>
              <w:spacing w:after="0"/>
              <w:rPr>
                <w:sz w:val="20"/>
                <w:szCs w:val="20"/>
                <w:color w:val="auto"/>
              </w:rPr>
            </w:pPr>
            <w:r>
              <w:rPr>
                <w:rFonts w:ascii="Arial" w:cs="Arial" w:eastAsia="Arial" w:hAnsi="Arial"/>
                <w:sz w:val="13"/>
                <w:szCs w:val="13"/>
                <w:color w:val="auto"/>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820" w:type="dxa"/>
            <w:vAlign w:val="bottom"/>
            <w:gridSpan w:val="2"/>
          </w:tcPr>
          <w:p>
            <w:pPr>
              <w:jc w:val="center"/>
              <w:ind w:right="2217"/>
              <w:spacing w:after="0"/>
              <w:rPr>
                <w:sz w:val="20"/>
                <w:szCs w:val="20"/>
                <w:color w:val="auto"/>
              </w:rPr>
            </w:pPr>
            <w:r>
              <w:rPr>
                <w:rFonts w:ascii="Arial" w:cs="Arial" w:eastAsia="Arial" w:hAnsi="Arial"/>
                <w:sz w:val="13"/>
                <w:szCs w:val="13"/>
                <w:color w:val="auto"/>
                <w:w w:val="82"/>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1e.  Huda Y. Zoghbi, M.D.</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center"/>
              <w:ind w:left="357"/>
              <w:spacing w:after="0"/>
              <w:rPr>
                <w:sz w:val="20"/>
                <w:szCs w:val="20"/>
                <w:color w:val="auto"/>
              </w:rPr>
            </w:pPr>
            <w:r>
              <w:rPr>
                <w:rFonts w:ascii="Arial" w:cs="Arial" w:eastAsia="Arial" w:hAnsi="Arial"/>
                <w:sz w:val="13"/>
                <w:szCs w:val="13"/>
                <w:color w:val="auto"/>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820" w:type="dxa"/>
            <w:vAlign w:val="bottom"/>
            <w:gridSpan w:val="2"/>
          </w:tcPr>
          <w:p>
            <w:pPr>
              <w:jc w:val="center"/>
              <w:ind w:right="2217"/>
              <w:spacing w:after="0"/>
              <w:rPr>
                <w:sz w:val="20"/>
                <w:szCs w:val="20"/>
                <w:color w:val="auto"/>
              </w:rPr>
            </w:pPr>
            <w:r>
              <w:rPr>
                <w:rFonts w:ascii="Arial" w:cs="Arial" w:eastAsia="Arial" w:hAnsi="Arial"/>
                <w:sz w:val="13"/>
                <w:szCs w:val="13"/>
                <w:color w:val="auto"/>
                <w:w w:val="82"/>
              </w:rPr>
              <w:t>o</w:t>
            </w:r>
          </w:p>
        </w:tc>
        <w:tc>
          <w:tcPr>
            <w:tcW w:w="720" w:type="dxa"/>
            <w:vAlign w:val="bottom"/>
          </w:tcPr>
          <w:p>
            <w:pPr>
              <w:spacing w:after="0"/>
              <w:rPr>
                <w:sz w:val="23"/>
                <w:szCs w:val="23"/>
                <w:color w:val="auto"/>
              </w:rPr>
            </w:pPr>
          </w:p>
        </w:tc>
        <w:tc>
          <w:tcPr>
            <w:tcW w:w="780" w:type="dxa"/>
            <w:vAlign w:val="bottom"/>
          </w:tcPr>
          <w:p>
            <w:pPr>
              <w:jc w:val="center"/>
              <w:ind w:left="477"/>
              <w:spacing w:after="0"/>
              <w:rPr>
                <w:sz w:val="20"/>
                <w:szCs w:val="20"/>
                <w:color w:val="auto"/>
              </w:rPr>
            </w:pPr>
            <w:r>
              <w:rPr>
                <w:rFonts w:ascii="Arial" w:cs="Arial" w:eastAsia="Arial" w:hAnsi="Arial"/>
                <w:sz w:val="13"/>
                <w:szCs w:val="13"/>
                <w:b w:val="1"/>
                <w:bCs w:val="1"/>
                <w:color w:val="auto"/>
                <w:w w:val="95"/>
              </w:rPr>
              <w:t>For</w:t>
            </w: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96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53"/>
        </w:trPr>
        <w:tc>
          <w:tcPr>
            <w:tcW w:w="660" w:type="dxa"/>
            <w:vAlign w:val="bottom"/>
            <w:tcBorders>
              <w:left w:val="single" w:sz="8" w:color="auto"/>
            </w:tcBorders>
            <w:gridSpan w:val="2"/>
          </w:tcPr>
          <w:p>
            <w:pPr>
              <w:ind w:left="420"/>
              <w:spacing w:after="0"/>
              <w:rPr>
                <w:sz w:val="20"/>
                <w:szCs w:val="20"/>
                <w:color w:val="auto"/>
              </w:rPr>
            </w:pPr>
            <w:r>
              <w:rPr>
                <w:rFonts w:ascii="Arial" w:cs="Arial" w:eastAsia="Arial" w:hAnsi="Arial"/>
                <w:sz w:val="13"/>
                <w:szCs w:val="13"/>
                <w:color w:val="auto"/>
              </w:rPr>
              <w:t>2.</w:t>
            </w:r>
          </w:p>
        </w:tc>
        <w:tc>
          <w:tcPr>
            <w:tcW w:w="9040" w:type="dxa"/>
            <w:vAlign w:val="bottom"/>
            <w:gridSpan w:val="9"/>
          </w:tcPr>
          <w:p>
            <w:pPr>
              <w:ind w:left="160"/>
              <w:spacing w:after="0"/>
              <w:rPr>
                <w:sz w:val="20"/>
                <w:szCs w:val="20"/>
                <w:color w:val="auto"/>
              </w:rPr>
            </w:pPr>
            <w:r>
              <w:rPr>
                <w:rFonts w:ascii="Arial" w:cs="Arial" w:eastAsia="Arial" w:hAnsi="Arial"/>
                <w:sz w:val="13"/>
                <w:szCs w:val="13"/>
                <w:color w:val="auto"/>
                <w:w w:val="97"/>
              </w:rPr>
              <w:t>Ratification of the appointment of PricewaterhouseCoopers LLP as the Company’s independent registered public accounting firm for the fiscal year ending   o</w:t>
            </w:r>
          </w:p>
        </w:tc>
        <w:tc>
          <w:tcPr>
            <w:tcW w:w="580" w:type="dxa"/>
            <w:vAlign w:val="bottom"/>
            <w:gridSpan w:val="2"/>
          </w:tcPr>
          <w:p>
            <w:pPr>
              <w:jc w:val="center"/>
              <w:spacing w:after="0"/>
              <w:rPr>
                <w:sz w:val="20"/>
                <w:szCs w:val="20"/>
                <w:color w:val="auto"/>
              </w:rPr>
            </w:pPr>
            <w:r>
              <w:rPr>
                <w:rFonts w:ascii="Arial" w:cs="Arial" w:eastAsia="Arial" w:hAnsi="Arial"/>
                <w:sz w:val="13"/>
                <w:szCs w:val="13"/>
                <w:color w:val="auto"/>
                <w:w w:val="82"/>
              </w:rPr>
              <w:t>o</w:t>
            </w:r>
          </w:p>
        </w:tc>
        <w:tc>
          <w:tcPr>
            <w:tcW w:w="96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December 31, 2020.</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60" w:type="dxa"/>
            <w:vAlign w:val="bottom"/>
            <w:tcBorders>
              <w:left w:val="single" w:sz="8" w:color="auto"/>
            </w:tcBorders>
            <w:gridSpan w:val="2"/>
          </w:tcPr>
          <w:p>
            <w:pPr>
              <w:ind w:left="420"/>
              <w:spacing w:after="0"/>
              <w:rPr>
                <w:sz w:val="20"/>
                <w:szCs w:val="20"/>
                <w:color w:val="auto"/>
              </w:rPr>
            </w:pPr>
            <w:r>
              <w:rPr>
                <w:rFonts w:ascii="Arial" w:cs="Arial" w:eastAsia="Arial" w:hAnsi="Arial"/>
                <w:sz w:val="13"/>
                <w:szCs w:val="13"/>
                <w:color w:val="auto"/>
              </w:rPr>
              <w:t>3.</w:t>
            </w:r>
          </w:p>
        </w:tc>
        <w:tc>
          <w:tcPr>
            <w:tcW w:w="7540" w:type="dxa"/>
            <w:vAlign w:val="bottom"/>
            <w:gridSpan w:val="7"/>
          </w:tcPr>
          <w:p>
            <w:pPr>
              <w:ind w:left="160"/>
              <w:spacing w:after="0"/>
              <w:rPr>
                <w:sz w:val="20"/>
                <w:szCs w:val="20"/>
                <w:color w:val="auto"/>
              </w:rPr>
            </w:pPr>
            <w:r>
              <w:rPr>
                <w:rFonts w:ascii="Arial" w:cs="Arial" w:eastAsia="Arial" w:hAnsi="Arial"/>
                <w:sz w:val="13"/>
                <w:szCs w:val="13"/>
                <w:color w:val="auto"/>
              </w:rPr>
              <w:t>Proposal to approve the Second Amended and Restated Regeneron Pharmaceuticals, Inc. 2014 Long-Term Incentive Plan.</w:t>
            </w:r>
          </w:p>
        </w:tc>
        <w:tc>
          <w:tcPr>
            <w:tcW w:w="720" w:type="dxa"/>
            <w:vAlign w:val="bottom"/>
          </w:tcPr>
          <w:p>
            <w:pPr>
              <w:spacing w:after="0"/>
              <w:rPr>
                <w:sz w:val="23"/>
                <w:szCs w:val="23"/>
                <w:color w:val="auto"/>
              </w:rPr>
            </w:pPr>
          </w:p>
        </w:tc>
        <w:tc>
          <w:tcPr>
            <w:tcW w:w="780" w:type="dxa"/>
            <w:vAlign w:val="bottom"/>
          </w:tcPr>
          <w:p>
            <w:pPr>
              <w:jc w:val="center"/>
              <w:ind w:left="477"/>
              <w:spacing w:after="0"/>
              <w:rPr>
                <w:sz w:val="20"/>
                <w:szCs w:val="20"/>
                <w:color w:val="auto"/>
              </w:rPr>
            </w:pPr>
            <w:r>
              <w:rPr>
                <w:rFonts w:ascii="Arial" w:cs="Arial" w:eastAsia="Arial" w:hAnsi="Arial"/>
                <w:sz w:val="13"/>
                <w:szCs w:val="13"/>
                <w:color w:val="auto"/>
              </w:rPr>
              <w:t>o</w:t>
            </w:r>
          </w:p>
        </w:tc>
        <w:tc>
          <w:tcPr>
            <w:tcW w:w="580" w:type="dxa"/>
            <w:vAlign w:val="bottom"/>
            <w:gridSpan w:val="2"/>
          </w:tcPr>
          <w:p>
            <w:pPr>
              <w:jc w:val="center"/>
              <w:spacing w:after="0"/>
              <w:rPr>
                <w:sz w:val="20"/>
                <w:szCs w:val="20"/>
                <w:color w:val="auto"/>
              </w:rPr>
            </w:pPr>
            <w:r>
              <w:rPr>
                <w:rFonts w:ascii="Arial" w:cs="Arial" w:eastAsia="Arial" w:hAnsi="Arial"/>
                <w:sz w:val="13"/>
                <w:szCs w:val="13"/>
                <w:color w:val="auto"/>
                <w:w w:val="82"/>
              </w:rPr>
              <w:t>o</w:t>
            </w:r>
          </w:p>
        </w:tc>
        <w:tc>
          <w:tcPr>
            <w:tcW w:w="96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405"/>
        </w:trPr>
        <w:tc>
          <w:tcPr>
            <w:tcW w:w="660" w:type="dxa"/>
            <w:vAlign w:val="bottom"/>
            <w:tcBorders>
              <w:left w:val="single" w:sz="8" w:color="auto"/>
            </w:tcBorders>
            <w:gridSpan w:val="2"/>
          </w:tcPr>
          <w:p>
            <w:pPr>
              <w:ind w:left="420"/>
              <w:spacing w:after="0"/>
              <w:rPr>
                <w:sz w:val="20"/>
                <w:szCs w:val="20"/>
                <w:color w:val="auto"/>
              </w:rPr>
            </w:pPr>
            <w:r>
              <w:rPr>
                <w:rFonts w:ascii="Arial" w:cs="Arial" w:eastAsia="Arial" w:hAnsi="Arial"/>
                <w:sz w:val="13"/>
                <w:szCs w:val="13"/>
                <w:color w:val="auto"/>
              </w:rPr>
              <w:t>4.</w:t>
            </w:r>
          </w:p>
        </w:tc>
        <w:tc>
          <w:tcPr>
            <w:tcW w:w="4180" w:type="dxa"/>
            <w:vAlign w:val="bottom"/>
            <w:gridSpan w:val="4"/>
          </w:tcPr>
          <w:p>
            <w:pPr>
              <w:ind w:left="160"/>
              <w:spacing w:after="0"/>
              <w:rPr>
                <w:sz w:val="20"/>
                <w:szCs w:val="20"/>
                <w:color w:val="auto"/>
              </w:rPr>
            </w:pPr>
            <w:r>
              <w:rPr>
                <w:rFonts w:ascii="Arial" w:cs="Arial" w:eastAsia="Arial" w:hAnsi="Arial"/>
                <w:sz w:val="13"/>
                <w:szCs w:val="13"/>
                <w:color w:val="auto"/>
              </w:rPr>
              <w:t>Proposal to approve, on an advisory basis, executive compensation.</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center"/>
              <w:ind w:left="477"/>
              <w:spacing w:after="0"/>
              <w:rPr>
                <w:sz w:val="20"/>
                <w:szCs w:val="20"/>
                <w:color w:val="auto"/>
              </w:rPr>
            </w:pPr>
            <w:r>
              <w:rPr>
                <w:rFonts w:ascii="Arial" w:cs="Arial" w:eastAsia="Arial" w:hAnsi="Arial"/>
                <w:sz w:val="13"/>
                <w:szCs w:val="13"/>
                <w:color w:val="auto"/>
              </w:rPr>
              <w:t>o</w:t>
            </w:r>
          </w:p>
        </w:tc>
        <w:tc>
          <w:tcPr>
            <w:tcW w:w="580" w:type="dxa"/>
            <w:vAlign w:val="bottom"/>
            <w:gridSpan w:val="2"/>
          </w:tcPr>
          <w:p>
            <w:pPr>
              <w:jc w:val="center"/>
              <w:spacing w:after="0"/>
              <w:rPr>
                <w:sz w:val="20"/>
                <w:szCs w:val="20"/>
                <w:color w:val="auto"/>
              </w:rPr>
            </w:pPr>
            <w:r>
              <w:rPr>
                <w:rFonts w:ascii="Arial" w:cs="Arial" w:eastAsia="Arial" w:hAnsi="Arial"/>
                <w:sz w:val="13"/>
                <w:szCs w:val="13"/>
                <w:color w:val="auto"/>
                <w:w w:val="82"/>
              </w:rPr>
              <w:t>o</w:t>
            </w:r>
          </w:p>
        </w:tc>
        <w:tc>
          <w:tcPr>
            <w:tcW w:w="96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405"/>
        </w:trPr>
        <w:tc>
          <w:tcPr>
            <w:tcW w:w="360" w:type="dxa"/>
            <w:vAlign w:val="bottom"/>
            <w:tcBorders>
              <w:left w:val="single" w:sz="8" w:color="auto"/>
            </w:tcBorders>
          </w:tcPr>
          <w:p>
            <w:pPr>
              <w:spacing w:after="0"/>
              <w:rPr>
                <w:sz w:val="24"/>
                <w:szCs w:val="24"/>
                <w:color w:val="auto"/>
              </w:rPr>
            </w:pPr>
          </w:p>
        </w:tc>
        <w:tc>
          <w:tcPr>
            <w:tcW w:w="7840" w:type="dxa"/>
            <w:vAlign w:val="bottom"/>
            <w:gridSpan w:val="8"/>
          </w:tcPr>
          <w:p>
            <w:pPr>
              <w:ind w:left="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3"/>
        </w:trPr>
        <w:tc>
          <w:tcPr>
            <w:tcW w:w="360" w:type="dxa"/>
            <w:vAlign w:val="bottom"/>
            <w:tcBorders>
              <w:left w:val="single" w:sz="8" w:color="auto"/>
            </w:tcBorders>
          </w:tcPr>
          <w:p>
            <w:pPr>
              <w:spacing w:after="0"/>
              <w:rPr>
                <w:sz w:val="24"/>
                <w:szCs w:val="24"/>
                <w:color w:val="auto"/>
              </w:rPr>
            </w:pPr>
          </w:p>
        </w:tc>
        <w:tc>
          <w:tcPr>
            <w:tcW w:w="7840" w:type="dxa"/>
            <w:vAlign w:val="bottom"/>
            <w:gridSpan w:val="8"/>
          </w:tcPr>
          <w:p>
            <w:pPr>
              <w:ind w:left="60"/>
              <w:spacing w:after="0"/>
              <w:rPr>
                <w:sz w:val="20"/>
                <w:szCs w:val="20"/>
                <w:color w:val="auto"/>
              </w:rPr>
            </w:pPr>
            <w:r>
              <w:rPr>
                <w:rFonts w:ascii="Arial" w:cs="Arial" w:eastAsia="Arial" w:hAnsi="Arial"/>
                <w:sz w:val="13"/>
                <w:szCs w:val="13"/>
                <w:color w:val="auto"/>
              </w:rPr>
              <w:t>Please sign exactly as your name(s) appear(s) hereon. When signing as attorney, executor,</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7840" w:type="dxa"/>
            <w:vAlign w:val="bottom"/>
            <w:gridSpan w:val="8"/>
          </w:tcPr>
          <w:p>
            <w:pPr>
              <w:ind w:left="60"/>
              <w:spacing w:after="0" w:line="135" w:lineRule="exact"/>
              <w:rPr>
                <w:sz w:val="20"/>
                <w:szCs w:val="20"/>
                <w:color w:val="auto"/>
              </w:rPr>
            </w:pPr>
            <w:r>
              <w:rPr>
                <w:rFonts w:ascii="Arial" w:cs="Arial" w:eastAsia="Arial" w:hAnsi="Arial"/>
                <w:sz w:val="13"/>
                <w:szCs w:val="13"/>
                <w:color w:val="auto"/>
              </w:rPr>
              <w:t>administrator, or other fiduciary, please give full title as such. Joint owners should each sign</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7840" w:type="dxa"/>
            <w:vAlign w:val="bottom"/>
            <w:gridSpan w:val="8"/>
          </w:tcPr>
          <w:p>
            <w:pPr>
              <w:ind w:left="60"/>
              <w:spacing w:after="0" w:line="135" w:lineRule="exact"/>
              <w:rPr>
                <w:sz w:val="20"/>
                <w:szCs w:val="20"/>
                <w:color w:val="auto"/>
              </w:rPr>
            </w:pPr>
            <w:r>
              <w:rPr>
                <w:rFonts w:ascii="Arial" w:cs="Arial" w:eastAsia="Arial" w:hAnsi="Arial"/>
                <w:sz w:val="13"/>
                <w:szCs w:val="13"/>
                <w:color w:val="auto"/>
              </w:rPr>
              <w:t>personally. All holders must sign. If a corporation or partnership, please sign in full corporate or</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2580" w:type="dxa"/>
            <w:vAlign w:val="bottom"/>
            <w:gridSpan w:val="2"/>
          </w:tcPr>
          <w:p>
            <w:pPr>
              <w:ind w:left="60"/>
              <w:spacing w:after="0"/>
              <w:rPr>
                <w:sz w:val="20"/>
                <w:szCs w:val="20"/>
                <w:color w:val="auto"/>
              </w:rPr>
            </w:pPr>
            <w:r>
              <w:rPr>
                <w:rFonts w:ascii="Arial" w:cs="Arial" w:eastAsia="Arial" w:hAnsi="Arial"/>
                <w:sz w:val="13"/>
                <w:szCs w:val="13"/>
                <w:color w:val="auto"/>
              </w:rPr>
              <w:t>partnership name by authorized officer.</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Borders>
              <w:left w:val="single" w:sz="8" w:color="auto"/>
            </w:tcBorders>
          </w:tcPr>
          <w:p>
            <w:pPr>
              <w:spacing w:after="0"/>
              <w:rPr>
                <w:sz w:val="14"/>
                <w:szCs w:val="14"/>
                <w:color w:val="auto"/>
              </w:rPr>
            </w:pPr>
          </w:p>
        </w:tc>
        <w:tc>
          <w:tcPr>
            <w:tcW w:w="258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360" w:type="dxa"/>
            <w:vAlign w:val="bottom"/>
            <w:tcBorders>
              <w:left w:val="single" w:sz="8" w:color="auto"/>
              <w:right w:val="single" w:sz="8" w:color="auto"/>
            </w:tcBorders>
          </w:tcPr>
          <w:p>
            <w:pPr>
              <w:spacing w:after="0"/>
              <w:rPr>
                <w:sz w:val="24"/>
                <w:szCs w:val="24"/>
                <w:color w:val="auto"/>
              </w:rPr>
            </w:pPr>
          </w:p>
        </w:tc>
        <w:tc>
          <w:tcPr>
            <w:tcW w:w="2580" w:type="dxa"/>
            <w:vAlign w:val="bottom"/>
            <w:tcBorders>
              <w:top w:val="single" w:sz="8" w:color="auto"/>
              <w:bottom w:val="single" w:sz="8" w:color="auto"/>
            </w:tcBorders>
            <w:gridSpan w:val="2"/>
          </w:tcPr>
          <w:p>
            <w:pPr>
              <w:spacing w:after="0"/>
              <w:rPr>
                <w:sz w:val="24"/>
                <w:szCs w:val="24"/>
                <w:color w:val="auto"/>
              </w:rPr>
            </w:pPr>
          </w:p>
        </w:tc>
        <w:tc>
          <w:tcPr>
            <w:tcW w:w="36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2580" w:type="dxa"/>
            <w:vAlign w:val="bottom"/>
            <w:gridSpan w:val="2"/>
          </w:tcPr>
          <w:p>
            <w:pPr>
              <w:spacing w:after="0"/>
              <w:rPr>
                <w:sz w:val="20"/>
                <w:szCs w:val="20"/>
                <w:color w:val="auto"/>
              </w:rPr>
            </w:pPr>
            <w:r>
              <w:rPr>
                <w:rFonts w:ascii="Arial" w:cs="Arial" w:eastAsia="Arial" w:hAnsi="Arial"/>
                <w:sz w:val="13"/>
                <w:szCs w:val="13"/>
                <w:color w:val="auto"/>
              </w:rPr>
              <w:t>Signature [PLEASE SIGN WITHIN BOX]</w:t>
            </w:r>
          </w:p>
        </w:tc>
        <w:tc>
          <w:tcPr>
            <w:tcW w:w="1160" w:type="dxa"/>
            <w:vAlign w:val="bottom"/>
            <w:gridSpan w:val="2"/>
          </w:tcPr>
          <w:p>
            <w:pPr>
              <w:ind w:left="340"/>
              <w:spacing w:after="0"/>
              <w:rPr>
                <w:sz w:val="20"/>
                <w:szCs w:val="20"/>
                <w:color w:val="auto"/>
              </w:rPr>
            </w:pPr>
            <w:r>
              <w:rPr>
                <w:rFonts w:ascii="Arial" w:cs="Arial" w:eastAsia="Arial" w:hAnsi="Arial"/>
                <w:sz w:val="13"/>
                <w:szCs w:val="13"/>
                <w:color w:val="auto"/>
              </w:rPr>
              <w:t>Date</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Signature (Joint Owners)</w:t>
            </w:r>
          </w:p>
        </w:tc>
        <w:tc>
          <w:tcPr>
            <w:tcW w:w="1500" w:type="dxa"/>
            <w:vAlign w:val="bottom"/>
            <w:gridSpan w:val="2"/>
          </w:tcPr>
          <w:p>
            <w:pPr>
              <w:ind w:left="700"/>
              <w:spacing w:after="0"/>
              <w:rPr>
                <w:sz w:val="20"/>
                <w:szCs w:val="20"/>
                <w:color w:val="auto"/>
              </w:rPr>
            </w:pPr>
            <w:r>
              <w:rPr>
                <w:rFonts w:ascii="Arial" w:cs="Arial" w:eastAsia="Arial" w:hAnsi="Arial"/>
                <w:sz w:val="13"/>
                <w:szCs w:val="13"/>
                <w:color w:val="auto"/>
              </w:rPr>
              <w:t>Date</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Borders>
              <w:left w:val="single" w:sz="8" w:color="auto"/>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74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220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-4259580</wp:posOffset>
            </wp:positionV>
            <wp:extent cx="71323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2132330</wp:posOffset>
            </wp:positionV>
            <wp:extent cx="713232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D13187-P35010-Z76486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39370</wp:posOffset>
            </wp:positionV>
            <wp:extent cx="7162165" cy="39560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62165" cy="395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REGENERON PHARMACEUTICALS, INC.</w:t>
      </w:r>
    </w:p>
    <w:p>
      <w:pPr>
        <w:spacing w:after="0" w:line="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Annual Meeting of Shareholders</w:t>
      </w:r>
    </w:p>
    <w:p>
      <w:pPr>
        <w:jc w:val="center"/>
        <w:ind w:right="160"/>
        <w:spacing w:after="0" w:line="230" w:lineRule="auto"/>
        <w:rPr>
          <w:sz w:val="20"/>
          <w:szCs w:val="20"/>
          <w:color w:val="auto"/>
        </w:rPr>
      </w:pPr>
      <w:r>
        <w:rPr>
          <w:rFonts w:ascii="Arial" w:cs="Arial" w:eastAsia="Arial" w:hAnsi="Arial"/>
          <w:sz w:val="22"/>
          <w:szCs w:val="22"/>
          <w:b w:val="1"/>
          <w:bCs w:val="1"/>
          <w:color w:val="auto"/>
        </w:rPr>
        <w:t>June 12, 2020 10:30 AM</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8"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The undersigned hereby appoint(s) Leonard S. Schleifer, M.D., Ph.D. and Joseph J. LaRosa, and each of them individually, as lawful proxies, each with full power of substitution, to represent the undersigned, with all powers that the undersigned would possess if personally present, and to vote, as indicated on the reverse side of this card, all of the shares of Common Stock and Class A Stock of REGENERON PHARMACEUTICALS, INC. that the undersigned would be entitled to vote if personally present at the Annual Meeting of Shareholders of the Company to be held on June 12, 2020 live via webcast at www.virtualshareholdermeeting.com/REGN2020 and in person at the Westchester Marriott Hotel, 670 White Plains Road, Tarrytown, New York 10591 or at any adjourned or postponed session thereof. This proxy revokes all prior proxies given by the undersigned.</w:t>
      </w:r>
    </w:p>
    <w:p>
      <w:pPr>
        <w:spacing w:after="0" w:line="167" w:lineRule="exact"/>
        <w:rPr>
          <w:sz w:val="20"/>
          <w:szCs w:val="20"/>
          <w:color w:val="auto"/>
        </w:rPr>
      </w:pPr>
    </w:p>
    <w:p>
      <w:pPr>
        <w:jc w:val="both"/>
        <w:ind w:right="160"/>
        <w:spacing w:after="0"/>
        <w:rPr>
          <w:sz w:val="20"/>
          <w:szCs w:val="20"/>
          <w:color w:val="auto"/>
        </w:rPr>
      </w:pPr>
      <w:r>
        <w:rPr>
          <w:rFonts w:ascii="Arial" w:cs="Arial" w:eastAsia="Arial" w:hAnsi="Arial"/>
          <w:sz w:val="18"/>
          <w:szCs w:val="18"/>
          <w:b w:val="1"/>
          <w:bCs w:val="1"/>
          <w:color w:val="auto"/>
        </w:rPr>
        <w:t>SHARES REPRESENTED BY THIS PROXY WILL BE VOTED AT THE MEETING AND AT ANY ADJOURNMENTS OR POSTPONEMENTS THEREOF IN ACCORDANCE WITH THE SHAREHOLDER’S SPECIFICATIONS ON THE REVERSE. IF YOU SIGN AND RETURN YOUR PROXY CARD IN A TIMELY MANNER, BUT DO NOT INDICATE HOW THESE SHARES ARE TO BE VOTED, THIS PROXY WILL BE VOTED FOR THE ELECTION OF THE NOMINEES NAMED ON THE REVERSE AS DIRECTORS AND FOR PROPOSALS 2, 3 AND 4. THIS PROXY ALSO CONFERS DISCRETIONARY AUTHORITY WITH RESPECT TO MATTERS NOT KNOWN OR DETERMINED AT THE TIME OF THE MAILING OF THE NOTICE OF THE ANNUAL MEETING OF SHAREHOLDERS TO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713232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020"/>
      </w:cols>
      <w:pgMar w:left="5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o"/>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o"/>
      <w:numFmt w:val="bullet"/>
      <w:start w:val="1"/>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o"/>
      <w:numFmt w:val="bullet"/>
      <w:start w:val="1"/>
    </w:lvl>
    <w:lvl w:ilvl="1">
      <w:lvlJc w:val="left"/>
      <w:lvlText w:val="%2)"/>
      <w:numFmt w:val="decimal"/>
      <w:start w:val="1"/>
    </w:lvl>
  </w:abstractNum>
  <w:abstractNum w:abstractNumId="5">
    <w:nsid w:val="56438D15"/>
    <w:multiLevelType w:val="hybridMultilevel"/>
    <w:lvl w:ilvl="0">
      <w:lvlJc w:val="left"/>
      <w:lvlText w:val="1"/>
      <w:numFmt w:val="bullet"/>
      <w:start w:val="1"/>
    </w:lvl>
  </w:abstractNum>
  <w:abstractNum w:abstractNumId="6">
    <w:nsid w:val="519E3149"/>
    <w:multiLevelType w:val="hybridMultilevel"/>
    <w:lvl w:ilvl="0">
      <w:lvlJc w:val="left"/>
      <w:lvlText w:val="2"/>
      <w:numFmt w:val="bullet"/>
      <w:start w:val="1"/>
    </w:lvl>
  </w:abstractNum>
  <w:abstractNum w:abstractNumId="7">
    <w:nsid w:val="2C6E4AFD"/>
    <w:multiLevelType w:val="hybridMultilevel"/>
    <w:lvl w:ilvl="0">
      <w:lvlJc w:val="left"/>
      <w:lvlText w:val="3"/>
      <w:numFmt w:val="bullet"/>
      <w:start w:val="1"/>
    </w:lvl>
  </w:abstractNum>
  <w:abstractNum w:abstractNumId="8">
    <w:nsid w:val="17A1B582"/>
    <w:multiLevelType w:val="hybridMultilevel"/>
    <w:lvl w:ilvl="0">
      <w:lvlJc w:val="left"/>
      <w:lvlText w:val="4"/>
      <w:numFmt w:val="bullet"/>
      <w:start w:val="1"/>
    </w:lvl>
  </w:abstractNum>
  <w:abstractNum w:abstractNumId="9">
    <w:nsid w:val="4DF72E4E"/>
    <w:multiLevelType w:val="hybridMultilevel"/>
    <w:lvl w:ilvl="0">
      <w:lvlJc w:val="left"/>
      <w:lvlText w:val="5"/>
      <w:numFmt w:val="bullet"/>
      <w:start w:val="1"/>
    </w:lvl>
  </w:abstractNum>
  <w:abstractNum w:abstractNumId="10">
    <w:nsid w:val="5046B5A9"/>
    <w:multiLevelType w:val="hybridMultilevel"/>
    <w:lvl w:ilvl="0">
      <w:lvlJc w:val="left"/>
      <w:lvlText w:val="%1"/>
      <w:numFmt w:val="decimal"/>
      <w:start w:val="77"/>
    </w:lvl>
  </w:abstractNum>
  <w:abstractNum w:abstractNumId="11">
    <w:nsid w:val="5D888A08"/>
    <w:multiLevelType w:val="hybridMultilevel"/>
    <w:lvl w:ilvl="0">
      <w:lvlJc w:val="left"/>
      <w:lvlText w:val="%1"/>
      <w:numFmt w:val="decimal"/>
      <w:start w:val="77"/>
    </w:lvl>
  </w:abstractNum>
  <w:abstractNum w:abstractNumId="12">
    <w:nsid w:val="2A082C70"/>
    <w:multiLevelType w:val="hybridMultilevel"/>
    <w:lvl w:ilvl="0">
      <w:lvlJc w:val="left"/>
      <w:lvlText w:val="%1"/>
      <w:numFmt w:val="decimal"/>
      <w:start w:val="86"/>
    </w:lvl>
  </w:abstractNum>
  <w:abstractNum w:abstractNumId="13">
    <w:nsid w:val="5EC6AFD4"/>
    <w:multiLevelType w:val="hybridMultilevel"/>
    <w:lvl w:ilvl="0">
      <w:lvlJc w:val="left"/>
      <w:lvlText w:val="1"/>
      <w:numFmt w:val="bullet"/>
      <w:start w:val="1"/>
    </w:lvl>
  </w:abstractNum>
  <w:abstractNum w:abstractNumId="14">
    <w:nsid w:val="19E21BB2"/>
    <w:multiLevelType w:val="hybridMultilevel"/>
    <w:lvl w:ilvl="0">
      <w:lvlJc w:val="left"/>
      <w:lvlText w:val="2"/>
      <w:numFmt w:val="bullet"/>
      <w:start w:val="1"/>
    </w:lvl>
  </w:abstractNum>
  <w:abstractNum w:abstractNumId="15">
    <w:nsid w:val="75E0858A"/>
    <w:multiLevelType w:val="hybridMultilevel"/>
    <w:lvl w:ilvl="0">
      <w:lvlJc w:val="left"/>
      <w:lvlText w:val="•"/>
      <w:numFmt w:val="bullet"/>
      <w:start w:val="1"/>
    </w:lvl>
  </w:abstractNum>
  <w:abstractNum w:abstractNumId="16">
    <w:nsid w:val="57A61A29"/>
    <w:multiLevelType w:val="hybridMultilevel"/>
    <w:lvl w:ilvl="0">
      <w:lvlJc w:val="left"/>
      <w:lvlText w:val="•"/>
      <w:numFmt w:val="bullet"/>
      <w:start w:val="1"/>
    </w:lvl>
  </w:abstractNum>
  <w:abstractNum w:abstractNumId="17">
    <w:nsid w:val="5399C654"/>
    <w:multiLevelType w:val="hybridMultilevel"/>
    <w:lvl w:ilvl="0">
      <w:lvlJc w:val="left"/>
      <w:lvlText w:val="1"/>
      <w:numFmt w:val="bullet"/>
      <w:start w:val="1"/>
    </w:lvl>
  </w:abstractNum>
  <w:abstractNum w:abstractNumId="18">
    <w:nsid w:val="20EE1348"/>
    <w:multiLevelType w:val="hybridMultilevel"/>
    <w:lvl w:ilvl="0">
      <w:lvlJc w:val="left"/>
      <w:lvlText w:val="2"/>
      <w:numFmt w:val="bullet"/>
      <w:start w:val="1"/>
    </w:lvl>
  </w:abstractNum>
  <w:abstractNum w:abstractNumId="19">
    <w:nsid w:val="4427069A"/>
    <w:multiLevelType w:val="hybridMultilevel"/>
    <w:lvl w:ilvl="0">
      <w:lvlJc w:val="left"/>
      <w:lvlText w:val="3"/>
      <w:numFmt w:val="bullet"/>
      <w:start w:val="1"/>
    </w:lvl>
  </w:abstractNum>
  <w:abstractNum w:abstractNumId="20">
    <w:nsid w:val="B37E80A"/>
    <w:multiLevelType w:val="hybridMultilevel"/>
    <w:lvl w:ilvl="0">
      <w:lvlJc w:val="left"/>
      <w:lvlText w:val="4"/>
      <w:numFmt w:val="bullet"/>
      <w:start w:val="1"/>
    </w:lvl>
  </w:abstractNum>
  <w:abstractNum w:abstractNumId="21">
    <w:nsid w:val="2157F6BC"/>
    <w:multiLevelType w:val="hybridMultilevel"/>
    <w:lvl w:ilvl="0">
      <w:lvlJc w:val="left"/>
      <w:lvlText w:val="*"/>
      <w:numFmt w:val="bullet"/>
      <w:start w:val="1"/>
    </w:lvl>
  </w:abstractNum>
  <w:abstractNum w:abstractNumId="22">
    <w:nsid w:val="704E1DD5"/>
    <w:multiLevelType w:val="hybridMultilevel"/>
    <w:lvl w:ilvl="0">
      <w:lvlJc w:val="left"/>
      <w:lvlText w:val="+"/>
      <w:numFmt w:val="bullet"/>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1"/>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
      <w:numFmt w:val="bullet"/>
      <w:start w:val="1"/>
    </w:lvl>
  </w:abstractNum>
  <w:abstractNum w:abstractNumId="28">
    <w:nsid w:val="4BEE5A5B"/>
    <w:multiLevelType w:val="hybridMultilevel"/>
    <w:lvl w:ilvl="0">
      <w:lvlJc w:val="left"/>
      <w:lvlText w:val="•"/>
      <w:numFmt w:val="bullet"/>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
      <w:numFmt w:val="bullet"/>
      <w:start w:val="1"/>
    </w:lvl>
  </w:abstractNum>
  <w:abstractNum w:abstractNumId="32">
    <w:nsid w:val="24E99DD7"/>
    <w:multiLevelType w:val="hybridMultilevel"/>
    <w:lvl w:ilvl="0">
      <w:lvlJc w:val="left"/>
      <w:lvlText w:val="•"/>
      <w:numFmt w:val="bullet"/>
      <w:start w:val="1"/>
    </w:lvl>
  </w:abstractNum>
  <w:abstractNum w:abstractNumId="33">
    <w:nsid w:val="2A31B62D"/>
    <w:multiLevelType w:val="hybridMultilevel"/>
    <w:lvl w:ilvl="0">
      <w:lvlJc w:val="left"/>
      <w:lvlText w:val="•"/>
      <w:numFmt w:val="bullet"/>
      <w:start w:val="1"/>
    </w:lvl>
  </w:abstractNum>
  <w:abstractNum w:abstractNumId="34">
    <w:nsid w:val="1849C29B"/>
    <w:multiLevelType w:val="hybridMultilevel"/>
    <w:lvl w:ilvl="0">
      <w:lvlJc w:val="left"/>
      <w:lvlText w:val="•"/>
      <w:numFmt w:val="bullet"/>
      <w:start w:val="1"/>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
      <w:numFmt w:val="bullet"/>
      <w:start w:val="1"/>
    </w:lvl>
  </w:abstractNum>
  <w:abstractNum w:abstractNumId="37">
    <w:nsid w:val="69E7F3E5"/>
    <w:multiLevelType w:val="hybridMultilevel"/>
    <w:lvl w:ilvl="0">
      <w:lvlJc w:val="left"/>
      <w:lvlText w:val="•"/>
      <w:numFmt w:val="bullet"/>
      <w:start w:val="1"/>
    </w:lvl>
  </w:abstractNum>
  <w:abstractNum w:abstractNumId="38">
    <w:nsid w:val="2A6DE806"/>
    <w:multiLevelType w:val="hybridMultilevel"/>
    <w:lvl w:ilvl="0">
      <w:lvlJc w:val="left"/>
      <w:lvlText w:val="•"/>
      <w:numFmt w:val="bullet"/>
      <w:start w:val="1"/>
    </w:lvl>
  </w:abstractNum>
  <w:abstractNum w:abstractNumId="39">
    <w:nsid w:val="1816F8C4"/>
    <w:multiLevelType w:val="hybridMultilevel"/>
    <w:lvl w:ilvl="0">
      <w:lvlJc w:val="left"/>
      <w:lvlText w:val="•"/>
      <w:numFmt w:val="bullet"/>
      <w:start w:val="1"/>
    </w:lvl>
  </w:abstractNum>
  <w:abstractNum w:abstractNumId="40">
    <w:nsid w:val="37DF2233"/>
    <w:multiLevelType w:val="hybridMultilevel"/>
    <w:lvl w:ilvl="0">
      <w:lvlJc w:val="left"/>
      <w:lvlText w:val="•"/>
      <w:numFmt w:val="bullet"/>
      <w:start w:val="1"/>
    </w:lvl>
  </w:abstractNum>
  <w:abstractNum w:abstractNumId="41">
    <w:nsid w:val="7AB49DAF"/>
    <w:multiLevelType w:val="hybridMultilevel"/>
    <w:lvl w:ilvl="0">
      <w:lvlJc w:val="left"/>
      <w:lvlText w:val="+"/>
      <w:numFmt w:val="bullet"/>
      <w:start w:val="1"/>
    </w:lvl>
  </w:abstractNum>
  <w:abstractNum w:abstractNumId="42">
    <w:nsid w:val="759F82CD"/>
    <w:multiLevelType w:val="hybridMultilevel"/>
    <w:lvl w:ilvl="0">
      <w:lvlJc w:val="left"/>
      <w:lvlText w:val="•"/>
      <w:numFmt w:val="bullet"/>
      <w:start w:val="1"/>
    </w:lvl>
  </w:abstractNum>
  <w:abstractNum w:abstractNumId="43">
    <w:nsid w:val="61E74EA3"/>
    <w:multiLevelType w:val="hybridMultilevel"/>
    <w:lvl w:ilvl="0">
      <w:lvlJc w:val="left"/>
      <w:lvlText w:val="•"/>
      <w:numFmt w:val="bullet"/>
      <w:start w:val="1"/>
    </w:lvl>
  </w:abstractNum>
  <w:abstractNum w:abstractNumId="44">
    <w:nsid w:val="597B4D84"/>
    <w:multiLevelType w:val="hybridMultilevel"/>
    <w:lvl w:ilvl="0">
      <w:lvlJc w:val="left"/>
      <w:lvlText w:val="•"/>
      <w:numFmt w:val="bullet"/>
      <w:start w:val="1"/>
    </w:lvl>
  </w:abstractNum>
  <w:abstractNum w:abstractNumId="45">
    <w:nsid w:val="F819E7F"/>
    <w:multiLevelType w:val="hybridMultilevel"/>
    <w:lvl w:ilvl="0">
      <w:lvlJc w:val="left"/>
      <w:lvlText w:val="2"/>
      <w:numFmt w:val="bullet"/>
      <w:start w:val="1"/>
    </w:lvl>
  </w:abstractNum>
  <w:abstractNum w:abstractNumId="46">
    <w:nsid w:val="57C7D42D"/>
    <w:multiLevelType w:val="hybridMultilevel"/>
    <w:lvl w:ilvl="0">
      <w:lvlJc w:val="left"/>
      <w:lvlText w:val="3"/>
      <w:numFmt w:val="bullet"/>
      <w:start w:val="1"/>
    </w:lvl>
  </w:abstractNum>
  <w:abstractNum w:abstractNumId="47">
    <w:nsid w:val="312167AD"/>
    <w:multiLevelType w:val="hybridMultilevel"/>
    <w:lvl w:ilvl="0">
      <w:lvlJc w:val="left"/>
      <w:lvlText w:val="4"/>
      <w:numFmt w:val="bullet"/>
      <w:start w:val="1"/>
    </w:lvl>
  </w:abstractNum>
  <w:abstractNum w:abstractNumId="48">
    <w:nsid w:val="631B64D4"/>
    <w:multiLevelType w:val="hybridMultilevel"/>
    <w:lvl w:ilvl="0">
      <w:lvlJc w:val="left"/>
      <w:lvlText w:val="1"/>
      <w:numFmt w:val="bullet"/>
      <w:start w:val="1"/>
    </w:lvl>
  </w:abstractNum>
  <w:abstractNum w:abstractNumId="49">
    <w:nsid w:val="78B5E776"/>
    <w:multiLevelType w:val="hybridMultilevel"/>
    <w:lvl w:ilvl="0">
      <w:lvlJc w:val="left"/>
      <w:lvlText w:val="2"/>
      <w:numFmt w:val="bullet"/>
      <w:start w:val="1"/>
    </w:lvl>
  </w:abstractNum>
  <w:abstractNum w:abstractNumId="50">
    <w:nsid w:val="75486E47"/>
    <w:multiLevelType w:val="hybridMultilevel"/>
    <w:lvl w:ilvl="0">
      <w:lvlJc w:val="left"/>
      <w:lvlText w:val="3"/>
      <w:numFmt w:val="bullet"/>
      <w:start w:val="1"/>
    </w:lvl>
  </w:abstractNum>
  <w:abstractNum w:abstractNumId="51">
    <w:nsid w:val="6E534CDE"/>
    <w:multiLevelType w:val="hybridMultilevel"/>
    <w:lvl w:ilvl="0">
      <w:lvlJc w:val="left"/>
      <w:lvlText w:val="4"/>
      <w:numFmt w:val="bullet"/>
      <w:start w:val="1"/>
    </w:lvl>
  </w:abstractNum>
  <w:abstractNum w:abstractNumId="52">
    <w:nsid w:val="1A0DDE32"/>
    <w:multiLevelType w:val="hybridMultilevel"/>
    <w:lvl w:ilvl="0">
      <w:lvlJc w:val="left"/>
      <w:lvlText w:val="5"/>
      <w:numFmt w:val="bullet"/>
      <w:start w:val="1"/>
    </w:lvl>
  </w:abstractNum>
  <w:abstractNum w:abstractNumId="53">
    <w:nsid w:val="65968C1C"/>
    <w:multiLevelType w:val="hybridMultilevel"/>
    <w:lvl w:ilvl="0">
      <w:lvlJc w:val="left"/>
      <w:lvlText w:val="6"/>
      <w:numFmt w:val="bullet"/>
      <w:start w:val="1"/>
    </w:lvl>
  </w:abstractNum>
  <w:abstractNum w:abstractNumId="54">
    <w:nsid w:val="46263DEC"/>
    <w:multiLevelType w:val="hybridMultilevel"/>
    <w:lvl w:ilvl="0">
      <w:lvlJc w:val="left"/>
      <w:lvlText w:val="*"/>
      <w:numFmt w:val="bullet"/>
      <w:start w:val="1"/>
    </w:lvl>
  </w:abstractNum>
  <w:abstractNum w:abstractNumId="55">
    <w:nsid w:val="260D8C4A"/>
    <w:multiLevelType w:val="hybridMultilevel"/>
    <w:lvl w:ilvl="0">
      <w:lvlJc w:val="left"/>
      <w:lvlText w:val="•"/>
      <w:numFmt w:val="bullet"/>
      <w:start w:val="1"/>
    </w:lvl>
  </w:abstractNum>
  <w:abstractNum w:abstractNumId="56">
    <w:nsid w:val="73D4D3C4"/>
    <w:multiLevelType w:val="hybridMultilevel"/>
    <w:lvl w:ilvl="0">
      <w:lvlJc w:val="left"/>
      <w:lvlText w:val="(%1)"/>
      <w:numFmt w:val="lowerLetter"/>
      <w:start w:val="25"/>
    </w:lvl>
  </w:abstractNum>
  <w:abstractNum w:abstractNumId="57">
    <w:nsid w:val="746F2E30"/>
    <w:multiLevelType w:val="hybridMultilevel"/>
    <w:lvl w:ilvl="0">
      <w:lvlJc w:val="left"/>
      <w:lvlText w:val="(%1)"/>
      <w:numFmt w:val="lowerRoman"/>
      <w:start w:val="1"/>
    </w:lvl>
  </w:abstractNum>
  <w:abstractNum w:abstractNumId="58">
    <w:nsid w:val="6FDE8AF6"/>
    <w:multiLevelType w:val="hybridMultilevel"/>
    <w:lvl w:ilvl="0">
      <w:lvlJc w:val="left"/>
      <w:lvlText w:val="1"/>
      <w:numFmt w:val="bullet"/>
      <w:start w:val="1"/>
    </w:lvl>
  </w:abstractNum>
  <w:abstractNum w:abstractNumId="59">
    <w:nsid w:val="3FC32E20"/>
    <w:multiLevelType w:val="hybridMultilevel"/>
    <w:lvl w:ilvl="0">
      <w:lvlJc w:val="left"/>
      <w:lvlText w:val="2"/>
      <w:numFmt w:val="bullet"/>
      <w:start w:val="1"/>
    </w:lvl>
  </w:abstractNum>
  <w:abstractNum w:abstractNumId="60">
    <w:nsid w:val="49C0E823"/>
    <w:multiLevelType w:val="hybridMultilevel"/>
    <w:lvl w:ilvl="0">
      <w:lvlJc w:val="left"/>
      <w:lvlText w:val="3"/>
      <w:numFmt w:val="bullet"/>
      <w:start w:val="1"/>
    </w:lvl>
  </w:abstractNum>
  <w:abstractNum w:abstractNumId="61">
    <w:nsid w:val="14D53685"/>
    <w:multiLevelType w:val="hybridMultilevel"/>
    <w:lvl w:ilvl="0">
      <w:lvlJc w:val="left"/>
      <w:lvlText w:val="4"/>
      <w:numFmt w:val="bullet"/>
      <w:start w:val="1"/>
    </w:lvl>
  </w:abstractNum>
  <w:abstractNum w:abstractNumId="62">
    <w:nsid w:val="230F856C"/>
    <w:multiLevelType w:val="hybridMultilevel"/>
    <w:lvl w:ilvl="0">
      <w:lvlJc w:val="left"/>
      <w:lvlText w:val="5"/>
      <w:numFmt w:val="bullet"/>
      <w:start w:val="1"/>
    </w:lvl>
  </w:abstractNum>
  <w:abstractNum w:abstractNumId="63">
    <w:nsid w:val="6EAA85FB"/>
    <w:multiLevelType w:val="hybridMultilevel"/>
    <w:lvl w:ilvl="0">
      <w:lvlJc w:val="left"/>
      <w:lvlText w:val="6"/>
      <w:numFmt w:val="bullet"/>
      <w:start w:val="1"/>
    </w:lvl>
  </w:abstractNum>
  <w:abstractNum w:abstractNumId="64">
    <w:nsid w:val="3F06ECB2"/>
    <w:multiLevelType w:val="hybridMultilevel"/>
    <w:lvl w:ilvl="0">
      <w:lvlJc w:val="left"/>
      <w:lvlText w:val="7"/>
      <w:numFmt w:val="bullet"/>
      <w:start w:val="1"/>
    </w:lvl>
  </w:abstractNum>
  <w:abstractNum w:abstractNumId="65">
    <w:nsid w:val="3B594807"/>
    <w:multiLevelType w:val="hybridMultilevel"/>
    <w:lvl w:ilvl="0">
      <w:lvlJc w:val="left"/>
      <w:lvlText w:val="8"/>
      <w:numFmt w:val="bullet"/>
      <w:start w:val="1"/>
    </w:lvl>
  </w:abstractNum>
  <w:abstractNum w:abstractNumId="66">
    <w:nsid w:val="6CAA2304"/>
    <w:multiLevelType w:val="hybridMultilevel"/>
    <w:lvl w:ilvl="0">
      <w:lvlJc w:val="left"/>
      <w:lvlText w:val="9"/>
      <w:numFmt w:val="bullet"/>
      <w:start w:val="1"/>
    </w:lvl>
  </w:abstractNum>
  <w:abstractNum w:abstractNumId="67">
    <w:nsid w:val="3F7C2FF4"/>
    <w:multiLevelType w:val="hybridMultilevel"/>
    <w:lvl w:ilvl="0">
      <w:lvlJc w:val="left"/>
      <w:lvlText w:val="%1"/>
      <w:numFmt w:val="decimal"/>
      <w:start w:val="10"/>
    </w:lvl>
    <w:lvl w:ilvl="1">
      <w:lvlJc w:val="left"/>
      <w:lvlText w:val="(%2)"/>
      <w:numFmt w:val="lowerRoman"/>
      <w:start w:val="2"/>
    </w:lvl>
  </w:abstractNum>
  <w:abstractNum w:abstractNumId="68">
    <w:nsid w:val="25413BEC"/>
    <w:multiLevelType w:val="hybridMultilevel"/>
    <w:lvl w:ilvl="0">
      <w:lvlJc w:val="left"/>
      <w:lvlText w:val="%1"/>
      <w:numFmt w:val="decimal"/>
      <w:start w:val="1"/>
    </w:lvl>
    <w:lvl w:ilvl="1">
      <w:lvlJc w:val="left"/>
      <w:lvlText w:val="(%2)."/>
      <w:numFmt w:val="lowerRoman"/>
      <w:start w:val="4"/>
    </w:lvl>
  </w:abstractNum>
  <w:abstractNum w:abstractNumId="69">
    <w:nsid w:val="17180B0B"/>
    <w:multiLevelType w:val="hybridMultilevel"/>
    <w:lvl w:ilvl="0">
      <w:lvlJc w:val="left"/>
      <w:lvlText w:val="%1"/>
      <w:numFmt w:val="decimal"/>
      <w:start w:val="16"/>
    </w:lvl>
    <w:lvl w:ilvl="1">
      <w:lvlJc w:val="left"/>
      <w:lvlText w:val="%2"/>
      <w:numFmt w:val="lowerRoman"/>
      <w:start w:val="1"/>
    </w:lvl>
  </w:abstractNum>
  <w:abstractNum w:abstractNumId="70">
    <w:nsid w:val="579328B9"/>
    <w:multiLevelType w:val="hybridMultilevel"/>
    <w:lvl w:ilvl="0">
      <w:lvlJc w:val="left"/>
      <w:lvlText w:val="%1"/>
      <w:numFmt w:val="decimal"/>
      <w:start w:val="22"/>
    </w:lvl>
  </w:abstractNum>
  <w:abstractNum w:abstractNumId="71">
    <w:nsid w:val="5D205E20"/>
    <w:multiLevelType w:val="hybridMultilevel"/>
    <w:lvl w:ilvl="0">
      <w:lvlJc w:val="left"/>
      <w:lvlText w:val="I"/>
      <w:numFmt w:val="bullet"/>
      <w:start w:val="1"/>
    </w:lvl>
  </w:abstractNum>
  <w:abstractNum w:abstractNumId="72">
    <w:nsid w:val="11CCA8BA"/>
    <w:multiLevelType w:val="hybridMultilevel"/>
    <w:lvl w:ilvl="0">
      <w:lvlJc w:val="left"/>
      <w:lvlText w:val="%1"/>
      <w:numFmt w:val="upperLetter"/>
      <w:start w:val="35"/>
    </w:lvl>
  </w:abstractNum>
  <w:abstractNum w:abstractNumId="73">
    <w:nsid w:val="4D32AB86"/>
    <w:multiLevelType w:val="hybridMultilevel"/>
    <w:lvl w:ilvl="0">
      <w:lvlJc w:val="left"/>
      <w:lvlText w:val="1"/>
      <w:numFmt w:val="bullet"/>
      <w:start w:val="1"/>
    </w:lvl>
  </w:abstractNum>
  <w:abstractNum w:abstractNumId="74">
    <w:nsid w:val="3F07ACC3"/>
    <w:multiLevelType w:val="hybridMultilevel"/>
    <w:lvl w:ilvl="0">
      <w:lvlJc w:val="left"/>
      <w:lvlText w:val="2"/>
      <w:numFmt w:val="bullet"/>
      <w:start w:val="1"/>
    </w:lvl>
  </w:abstractNum>
  <w:abstractNum w:abstractNumId="75">
    <w:nsid w:val="6B47F63E"/>
    <w:multiLevelType w:val="hybridMultilevel"/>
    <w:lvl w:ilvl="0">
      <w:lvlJc w:val="left"/>
      <w:lvlText w:val="3"/>
      <w:numFmt w:val="bullet"/>
      <w:start w:val="1"/>
    </w:lvl>
  </w:abstractNum>
  <w:abstractNum w:abstractNumId="76">
    <w:nsid w:val="5CB44A05"/>
    <w:multiLevelType w:val="hybridMultilevel"/>
    <w:lvl w:ilvl="0">
      <w:lvlJc w:val="left"/>
      <w:lvlText w:val="4"/>
      <w:numFmt w:val="bullet"/>
      <w:start w:val="1"/>
    </w:lvl>
  </w:abstractNum>
  <w:abstractNum w:abstractNumId="77">
    <w:nsid w:val="16CF80F1"/>
    <w:multiLevelType w:val="hybridMultilevel"/>
    <w:lvl w:ilvl="0">
      <w:lvlJc w:val="left"/>
      <w:lvlText w:val="5"/>
      <w:numFmt w:val="bullet"/>
      <w:start w:val="1"/>
    </w:lvl>
  </w:abstractNum>
  <w:abstractNum w:abstractNumId="78">
    <w:nsid w:val="1C695DEC"/>
    <w:multiLevelType w:val="hybridMultilevel"/>
    <w:lvl w:ilvl="0">
      <w:lvlJc w:val="left"/>
      <w:lvlText w:val="1"/>
      <w:numFmt w:val="bullet"/>
      <w:start w:val="1"/>
    </w:lvl>
  </w:abstractNum>
  <w:abstractNum w:abstractNumId="79">
    <w:nsid w:val="3FCFAED9"/>
    <w:multiLevelType w:val="hybridMultilevel"/>
    <w:lvl w:ilvl="0">
      <w:lvlJc w:val="left"/>
      <w:lvlText w:val="2"/>
      <w:numFmt w:val="bullet"/>
      <w:start w:val="1"/>
    </w:lvl>
  </w:abstractNum>
  <w:abstractNum w:abstractNumId="80">
    <w:nsid w:val="F856867"/>
    <w:multiLevelType w:val="hybridMultilevel"/>
    <w:lvl w:ilvl="0">
      <w:lvlJc w:val="left"/>
      <w:lvlText w:val="3"/>
      <w:numFmt w:val="bullet"/>
      <w:start w:val="1"/>
    </w:lvl>
  </w:abstractNum>
  <w:abstractNum w:abstractNumId="81">
    <w:nsid w:val="11B1CC33"/>
    <w:multiLevelType w:val="hybridMultilevel"/>
    <w:lvl w:ilvl="0">
      <w:lvlJc w:val="left"/>
      <w:lvlText w:val="4"/>
      <w:numFmt w:val="bullet"/>
      <w:start w:val="1"/>
    </w:lvl>
  </w:abstractNum>
  <w:abstractNum w:abstractNumId="82">
    <w:nsid w:val="2E22FBB7"/>
    <w:multiLevelType w:val="hybridMultilevel"/>
    <w:lvl w:ilvl="0">
      <w:lvlJc w:val="left"/>
      <w:lvlText w:val="*"/>
      <w:numFmt w:val="bullet"/>
      <w:start w:val="1"/>
    </w:lvl>
  </w:abstractNum>
  <w:abstractNum w:abstractNumId="83">
    <w:nsid w:val="29934699"/>
    <w:multiLevelType w:val="hybridMultilevel"/>
    <w:lvl w:ilvl="0">
      <w:lvlJc w:val="left"/>
      <w:lvlText w:val="*"/>
      <w:numFmt w:val="bullet"/>
      <w:start w:val="1"/>
    </w:lvl>
  </w:abstractNum>
  <w:abstractNum w:abstractNumId="84">
    <w:nsid w:val="77485850"/>
    <w:multiLevelType w:val="hybridMultilevel"/>
    <w:lvl w:ilvl="0">
      <w:lvlJc w:val="left"/>
      <w:lvlText w:val="5"/>
      <w:numFmt w:val="bullet"/>
      <w:start w:val="1"/>
    </w:lvl>
  </w:abstractNum>
  <w:abstractNum w:abstractNumId="85">
    <w:nsid w:val="744939A3"/>
    <w:multiLevelType w:val="hybridMultilevel"/>
    <w:lvl w:ilvl="0">
      <w:lvlJc w:val="left"/>
      <w:lvlText w:val="6"/>
      <w:numFmt w:val="bullet"/>
      <w:start w:val="1"/>
    </w:lvl>
  </w:abstractNum>
  <w:abstractNum w:abstractNumId="86">
    <w:nsid w:val="4FA0D2E3"/>
    <w:multiLevelType w:val="hybridMultilevel"/>
    <w:lvl w:ilvl="0">
      <w:lvlJc w:val="left"/>
      <w:lvlText w:val="7"/>
      <w:numFmt w:val="bullet"/>
      <w:start w:val="1"/>
    </w:lvl>
  </w:abstractNum>
  <w:abstractNum w:abstractNumId="87">
    <w:nsid w:val="6B1D2C14"/>
    <w:multiLevelType w:val="hybridMultilevel"/>
    <w:lvl w:ilvl="0">
      <w:lvlJc w:val="left"/>
      <w:lvlText w:val="1"/>
      <w:numFmt w:val="bullet"/>
      <w:start w:val="1"/>
    </w:lvl>
  </w:abstractNum>
  <w:abstractNum w:abstractNumId="88">
    <w:nsid w:val="68B867D3"/>
    <w:multiLevelType w:val="hybridMultilevel"/>
    <w:lvl w:ilvl="0">
      <w:lvlJc w:val="left"/>
      <w:lvlText w:val="*"/>
      <w:numFmt w:val="bullet"/>
      <w:start w:val="1"/>
    </w:lvl>
  </w:abstractNum>
  <w:abstractNum w:abstractNumId="89">
    <w:nsid w:val="3F7F5DD9"/>
    <w:multiLevelType w:val="hybridMultilevel"/>
    <w:lvl w:ilvl="0">
      <w:lvlJc w:val="left"/>
      <w:lvlText w:val="2"/>
      <w:numFmt w:val="bullet"/>
      <w:start w:val="1"/>
    </w:lvl>
  </w:abstractNum>
  <w:abstractNum w:abstractNumId="90">
    <w:nsid w:val="2AE05A34"/>
    <w:multiLevelType w:val="hybridMultilevel"/>
    <w:lvl w:ilvl="0">
      <w:lvlJc w:val="left"/>
      <w:lvlText w:val="*"/>
      <w:numFmt w:val="bullet"/>
      <w:start w:val="1"/>
    </w:lvl>
  </w:abstractNum>
  <w:abstractNum w:abstractNumId="91">
    <w:nsid w:val="32794FF7"/>
    <w:multiLevelType w:val="hybridMultilevel"/>
    <w:lvl w:ilvl="0">
      <w:lvlJc w:val="left"/>
      <w:lvlText w:val="8"/>
      <w:numFmt w:val="bullet"/>
      <w:start w:val="1"/>
    </w:lvl>
  </w:abstractNum>
  <w:abstractNum w:abstractNumId="92">
    <w:nsid w:val="5454945E"/>
    <w:multiLevelType w:val="hybridMultilevel"/>
    <w:lvl w:ilvl="0">
      <w:lvlJc w:val="left"/>
      <w:lvlText w:val="•"/>
      <w:numFmt w:val="bullet"/>
      <w:start w:val="1"/>
    </w:lvl>
  </w:abstractNum>
  <w:abstractNum w:abstractNumId="93">
    <w:nsid w:val="4DEFDFA0"/>
    <w:multiLevelType w:val="hybridMultilevel"/>
    <w:lvl w:ilvl="0">
      <w:lvlJc w:val="left"/>
      <w:lvlText w:val="•"/>
      <w:numFmt w:val="bullet"/>
      <w:start w:val="1"/>
    </w:lvl>
  </w:abstractNum>
  <w:abstractNum w:abstractNumId="94">
    <w:nsid w:val="2123D5F2"/>
    <w:multiLevelType w:val="hybridMultilevel"/>
    <w:lvl w:ilvl="0">
      <w:lvlJc w:val="left"/>
      <w:lvlText w:val="•"/>
      <w:numFmt w:val="bullet"/>
      <w:start w:val="1"/>
    </w:lvl>
    <w:lvl w:ilvl="1">
      <w:lvlJc w:val="left"/>
      <w:lvlText w:val="•"/>
      <w:numFmt w:val="bullet"/>
      <w:start w:val="1"/>
    </w:lvl>
  </w:abstractNum>
  <w:abstractNum w:abstractNumId="95">
    <w:nsid w:val="135B8110"/>
    <w:multiLevelType w:val="hybridMultilevel"/>
    <w:lvl w:ilvl="0">
      <w:lvlJc w:val="left"/>
      <w:lvlText w:val="•"/>
      <w:numFmt w:val="bullet"/>
      <w:start w:val="1"/>
    </w:lvl>
    <w:lvl w:ilvl="1">
      <w:lvlJc w:val="left"/>
      <w:lvlText w:val="•"/>
      <w:numFmt w:val="bullet"/>
      <w:start w:val="1"/>
    </w:lvl>
  </w:abstractNum>
  <w:abstractNum w:abstractNumId="96">
    <w:nsid w:val="94927A8"/>
    <w:multiLevelType w:val="hybridMultilevel"/>
    <w:lvl w:ilvl="0">
      <w:lvlJc w:val="left"/>
      <w:lvlText w:val="•"/>
      <w:numFmt w:val="bullet"/>
      <w:start w:val="1"/>
    </w:lvl>
  </w:abstractNum>
  <w:abstractNum w:abstractNumId="97">
    <w:nsid w:val="DCDF8F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8">
    <w:nsid w:val="52D7B105"/>
    <w:multiLevelType w:val="hybridMultilevel"/>
    <w:lvl w:ilvl="0">
      <w:lvlJc w:val="left"/>
      <w:lvlText w:val="•"/>
      <w:numFmt w:val="bullet"/>
      <w:start w:val="1"/>
    </w:lvl>
  </w:abstractNum>
  <w:abstractNum w:abstractNumId="99">
    <w:nsid w:val="2E8A6394"/>
    <w:multiLevelType w:val="hybridMultilevel"/>
    <w:lvl w:ilvl="0">
      <w:lvlJc w:val="left"/>
      <w:lvlText w:val="9"/>
      <w:numFmt w:val="bullet"/>
      <w:start w:val="1"/>
    </w:lvl>
  </w:abstractNum>
  <w:abstractNum w:abstractNumId="100">
    <w:nsid w:val="24E60401"/>
    <w:multiLevelType w:val="hybridMultilevel"/>
    <w:lvl w:ilvl="0">
      <w:lvlJc w:val="left"/>
      <w:lvlText w:val="2"/>
      <w:numFmt w:val="bullet"/>
      <w:start w:val="1"/>
    </w:lvl>
  </w:abstractNum>
  <w:abstractNum w:abstractNumId="101">
    <w:nsid w:val="2A6AD9BE"/>
    <w:multiLevelType w:val="hybridMultilevel"/>
    <w:lvl w:ilvl="0">
      <w:lvlJc w:val="left"/>
      <w:lvlText w:val="3"/>
      <w:numFmt w:val="bullet"/>
      <w:start w:val="1"/>
    </w:lvl>
  </w:abstractNum>
  <w:abstractNum w:abstractNumId="102">
    <w:nsid w:val="BAAC1B4"/>
    <w:multiLevelType w:val="hybridMultilevel"/>
    <w:lvl w:ilvl="0">
      <w:lvlJc w:val="left"/>
      <w:lvlText w:val="5"/>
      <w:numFmt w:val="bullet"/>
      <w:start w:val="1"/>
    </w:lvl>
  </w:abstractNum>
  <w:abstractNum w:abstractNumId="103">
    <w:nsid w:val="36B2ACBC"/>
    <w:multiLevelType w:val="hybridMultilevel"/>
    <w:lvl w:ilvl="0">
      <w:lvlJc w:val="left"/>
      <w:lvlText w:val="6"/>
      <w:numFmt w:val="bullet"/>
      <w:start w:val="1"/>
    </w:lvl>
  </w:abstractNum>
  <w:abstractNum w:abstractNumId="104">
    <w:nsid w:val="779D8544"/>
    <w:multiLevelType w:val="hybridMultilevel"/>
    <w:lvl w:ilvl="0">
      <w:lvlJc w:val="left"/>
      <w:lvlText w:val="7"/>
      <w:numFmt w:val="bullet"/>
      <w:start w:val="1"/>
    </w:lvl>
  </w:abstractNum>
  <w:abstractNum w:abstractNumId="105">
    <w:nsid w:val="4AB26E78"/>
    <w:multiLevelType w:val="hybridMultilevel"/>
    <w:lvl w:ilvl="0">
      <w:lvlJc w:val="left"/>
      <w:lvlText w:val="1"/>
      <w:numFmt w:val="bullet"/>
      <w:start w:val="1"/>
    </w:lvl>
  </w:abstractNum>
  <w:abstractNum w:abstractNumId="106">
    <w:nsid w:val="21FAA2FA"/>
    <w:multiLevelType w:val="hybridMultilevel"/>
    <w:lvl w:ilvl="0">
      <w:lvlJc w:val="left"/>
      <w:lvlText w:val="*"/>
      <w:numFmt w:val="bullet"/>
      <w:start w:val="1"/>
    </w:lvl>
  </w:abstractNum>
  <w:abstractNum w:abstractNumId="107">
    <w:nsid w:val="5451CF49"/>
    <w:multiLevelType w:val="hybridMultilevel"/>
    <w:lvl w:ilvl="0">
      <w:lvlJc w:val="left"/>
      <w:lvlText w:val="%1"/>
      <w:numFmt w:val="decimal"/>
      <w:start w:val="10"/>
    </w:lvl>
  </w:abstractNum>
  <w:abstractNum w:abstractNumId="108">
    <w:nsid w:val="6181EF69"/>
    <w:multiLevelType w:val="hybridMultilevel"/>
    <w:lvl w:ilvl="0">
      <w:lvlJc w:val="left"/>
      <w:lvlText w:val="*"/>
      <w:numFmt w:val="bullet"/>
      <w:start w:val="1"/>
    </w:lvl>
  </w:abstractNum>
  <w:abstractNum w:abstractNumId="109">
    <w:nsid w:val="3E6400E6"/>
    <w:multiLevelType w:val="hybridMultilevel"/>
    <w:lvl w:ilvl="0">
      <w:lvlJc w:val="left"/>
      <w:lvlText w:val="2"/>
      <w:numFmt w:val="bullet"/>
      <w:start w:val="1"/>
    </w:lvl>
  </w:abstractNum>
  <w:abstractNum w:abstractNumId="110">
    <w:nsid w:val="14217E23"/>
    <w:multiLevelType w:val="hybridMultilevel"/>
    <w:lvl w:ilvl="0">
      <w:lvlJc w:val="left"/>
      <w:lvlText w:val="*"/>
      <w:numFmt w:val="bullet"/>
      <w:start w:val="1"/>
    </w:lvl>
  </w:abstractNum>
  <w:abstractNum w:abstractNumId="111">
    <w:nsid w:val="710757D0"/>
    <w:multiLevelType w:val="hybridMultilevel"/>
    <w:lvl w:ilvl="0">
      <w:lvlJc w:val="left"/>
      <w:lvlText w:val="3"/>
      <w:numFmt w:val="bullet"/>
      <w:start w:val="1"/>
    </w:lvl>
  </w:abstractNum>
  <w:abstractNum w:abstractNumId="112">
    <w:nsid w:val="5015CD1A"/>
    <w:multiLevelType w:val="hybridMultilevel"/>
    <w:lvl w:ilvl="0">
      <w:lvlJc w:val="left"/>
      <w:lvlText w:val="5"/>
      <w:numFmt w:val="bullet"/>
      <w:start w:val="1"/>
    </w:lvl>
  </w:abstractNum>
  <w:abstractNum w:abstractNumId="113">
    <w:nsid w:val="424479DA"/>
    <w:multiLevelType w:val="hybridMultilevel"/>
    <w:lvl w:ilvl="0">
      <w:lvlJc w:val="left"/>
      <w:lvlText w:val="6"/>
      <w:numFmt w:val="bullet"/>
      <w:start w:val="1"/>
    </w:lvl>
  </w:abstractNum>
  <w:abstractNum w:abstractNumId="114">
    <w:nsid w:val="1A9A9E69"/>
    <w:multiLevelType w:val="hybridMultilevel"/>
    <w:lvl w:ilvl="0">
      <w:lvlJc w:val="left"/>
      <w:lvlText w:val="1"/>
      <w:numFmt w:val="bullet"/>
      <w:start w:val="1"/>
    </w:lvl>
  </w:abstractNum>
  <w:abstractNum w:abstractNumId="115">
    <w:nsid w:val="475E256A"/>
    <w:multiLevelType w:val="hybridMultilevel"/>
    <w:lvl w:ilvl="0">
      <w:lvlJc w:val="left"/>
      <w:lvlText w:val="2"/>
      <w:numFmt w:val="bullet"/>
      <w:start w:val="1"/>
    </w:lvl>
  </w:abstractNum>
  <w:abstractNum w:abstractNumId="116">
    <w:nsid w:val="368DB37E"/>
    <w:multiLevelType w:val="hybridMultilevel"/>
    <w:lvl w:ilvl="0">
      <w:lvlJc w:val="left"/>
      <w:lvlText w:val="3"/>
      <w:numFmt w:val="bullet"/>
      <w:start w:val="1"/>
    </w:lvl>
  </w:abstractNum>
  <w:abstractNum w:abstractNumId="117">
    <w:nsid w:val="6A3B714C"/>
    <w:multiLevelType w:val="hybridMultilevel"/>
    <w:lvl w:ilvl="0">
      <w:lvlJc w:val="left"/>
      <w:lvlText w:val="•"/>
      <w:numFmt w:val="bullet"/>
      <w:start w:val="1"/>
    </w:lvl>
  </w:abstractNum>
  <w:abstractNum w:abstractNumId="118">
    <w:nsid w:val="327B517E"/>
    <w:multiLevelType w:val="hybridMultilevel"/>
    <w:lvl w:ilvl="0">
      <w:lvlJc w:val="left"/>
      <w:lvlText w:val="•"/>
      <w:numFmt w:val="bullet"/>
      <w:start w:val="1"/>
    </w:lvl>
  </w:abstractNum>
  <w:abstractNum w:abstractNumId="119">
    <w:nsid w:val="1F461B51"/>
    <w:multiLevelType w:val="hybridMultilevel"/>
    <w:lvl w:ilvl="0">
      <w:lvlJc w:val="left"/>
      <w:lvlText w:val="•"/>
      <w:numFmt w:val="bullet"/>
      <w:start w:val="1"/>
    </w:lvl>
  </w:abstractNum>
  <w:abstractNum w:abstractNumId="120">
    <w:nsid w:val="29BACF25"/>
    <w:multiLevelType w:val="hybridMultilevel"/>
    <w:lvl w:ilvl="0">
      <w:lvlJc w:val="left"/>
      <w:lvlText w:val="•"/>
      <w:numFmt w:val="bullet"/>
      <w:start w:val="1"/>
    </w:lvl>
  </w:abstractNum>
  <w:abstractNum w:abstractNumId="121">
    <w:nsid w:val="5D5BABB3"/>
    <w:multiLevelType w:val="hybridMultilevel"/>
    <w:lvl w:ilvl="0">
      <w:lvlJc w:val="left"/>
      <w:lvlText w:val="•"/>
      <w:numFmt w:val="bullet"/>
      <w:start w:val="1"/>
    </w:lvl>
  </w:abstractNum>
  <w:abstractNum w:abstractNumId="122">
    <w:nsid w:val="51BF6B48"/>
    <w:multiLevelType w:val="hybridMultilevel"/>
    <w:lvl w:ilvl="0">
      <w:lvlJc w:val="left"/>
      <w:lvlText w:val="•"/>
      <w:numFmt w:val="bullet"/>
      <w:start w:val="1"/>
    </w:lvl>
  </w:abstractNum>
  <w:abstractNum w:abstractNumId="123">
    <w:nsid w:val="7E0F6384"/>
    <w:multiLevelType w:val="hybridMultilevel"/>
    <w:lvl w:ilvl="0">
      <w:lvlJc w:val="left"/>
      <w:lvlText w:val="•"/>
      <w:numFmt w:val="bullet"/>
      <w:start w:val="1"/>
    </w:lvl>
  </w:abstractNum>
  <w:abstractNum w:abstractNumId="124">
    <w:nsid w:val="2B4B8B53"/>
    <w:multiLevelType w:val="hybridMultilevel"/>
    <w:lvl w:ilvl="0">
      <w:lvlJc w:val="left"/>
      <w:lvlText w:val="•"/>
      <w:numFmt w:val="bullet"/>
      <w:start w:val="1"/>
    </w:lvl>
  </w:abstractNum>
  <w:abstractNum w:abstractNumId="125">
    <w:nsid w:val="72E3413A"/>
    <w:multiLevelType w:val="hybridMultilevel"/>
    <w:lvl w:ilvl="0">
      <w:lvlJc w:val="left"/>
      <w:lvlText w:val="•"/>
      <w:numFmt w:val="bullet"/>
      <w:start w:val="1"/>
    </w:lvl>
  </w:abstractNum>
  <w:abstractNum w:abstractNumId="126">
    <w:nsid w:val="116AE494"/>
    <w:multiLevelType w:val="hybridMultilevel"/>
    <w:lvl w:ilvl="0">
      <w:lvlJc w:val="left"/>
      <w:lvlText w:val="•"/>
      <w:numFmt w:val="bullet"/>
      <w:start w:val="1"/>
    </w:lvl>
  </w:abstractNum>
  <w:abstractNum w:abstractNumId="127">
    <w:nsid w:val="3494B2FB"/>
    <w:multiLevelType w:val="hybridMultilevel"/>
    <w:lvl w:ilvl="0">
      <w:lvlJc w:val="left"/>
      <w:lvlText w:val="•"/>
      <w:numFmt w:val="bullet"/>
      <w:start w:val="1"/>
    </w:lvl>
  </w:abstractNum>
  <w:abstractNum w:abstractNumId="128">
    <w:nsid w:val="B13A31"/>
    <w:multiLevelType w:val="hybridMultilevel"/>
    <w:lvl w:ilvl="0">
      <w:lvlJc w:val="left"/>
      <w:lvlText w:val="•"/>
      <w:numFmt w:val="bullet"/>
      <w:start w:val="1"/>
    </w:lvl>
  </w:abstractNum>
  <w:abstractNum w:abstractNumId="129">
    <w:nsid w:val="64429599"/>
    <w:multiLevelType w:val="hybridMultilevel"/>
    <w:lvl w:ilvl="0">
      <w:lvlJc w:val="left"/>
      <w:lvlText w:val="•"/>
      <w:numFmt w:val="bullet"/>
      <w:start w:val="1"/>
    </w:lvl>
  </w:abstractNum>
  <w:abstractNum w:abstractNumId="130">
    <w:nsid w:val="631F1690"/>
    <w:multiLevelType w:val="hybridMultilevel"/>
    <w:lvl w:ilvl="0">
      <w:lvlJc w:val="left"/>
      <w:lvlText w:val="•"/>
      <w:numFmt w:val="bullet"/>
      <w:start w:val="1"/>
    </w:lvl>
  </w:abstractNum>
  <w:abstractNum w:abstractNumId="131">
    <w:nsid w:val="25973E32"/>
    <w:multiLevelType w:val="hybridMultilevel"/>
    <w:lvl w:ilvl="0">
      <w:lvlJc w:val="left"/>
      <w:lvlText w:val="*"/>
      <w:numFmt w:val="bullet"/>
      <w:start w:val="1"/>
    </w:lvl>
  </w:abstractNum>
  <w:abstractNum w:abstractNumId="132">
    <w:nsid w:val="EAD6F57"/>
    <w:multiLevelType w:val="hybridMultilevel"/>
    <w:lvl w:ilvl="0">
      <w:lvlJc w:val="left"/>
      <w:lvlText w:val="•"/>
      <w:numFmt w:val="bullet"/>
      <w:start w:val="1"/>
    </w:lvl>
  </w:abstractNum>
  <w:abstractNum w:abstractNumId="133">
    <w:nsid w:val="6EC9D844"/>
    <w:multiLevelType w:val="hybridMultilevel"/>
    <w:lvl w:ilvl="0">
      <w:lvlJc w:val="left"/>
      <w:lvlText w:val="•"/>
      <w:numFmt w:val="bullet"/>
      <w:start w:val="1"/>
    </w:lvl>
  </w:abstractNum>
  <w:abstractNum w:abstractNumId="134">
    <w:nsid w:val="5C49EAEE"/>
    <w:multiLevelType w:val="hybridMultilevel"/>
    <w:lvl w:ilvl="0">
      <w:lvlJc w:val="left"/>
      <w:lvlText w:val="•"/>
      <w:numFmt w:val="bullet"/>
      <w:start w:val="1"/>
    </w:lvl>
  </w:abstractNum>
  <w:abstractNum w:abstractNumId="135">
    <w:nsid w:val="64AF49B"/>
    <w:multiLevelType w:val="hybridMultilevel"/>
    <w:lvl w:ilvl="0">
      <w:lvlJc w:val="left"/>
      <w:lvlText w:val="•"/>
      <w:numFmt w:val="bullet"/>
      <w:start w:val="1"/>
    </w:lvl>
  </w:abstractNum>
  <w:abstractNum w:abstractNumId="136">
    <w:nsid w:val="397C46BC"/>
    <w:multiLevelType w:val="hybridMultilevel"/>
    <w:lvl w:ilvl="0">
      <w:lvlJc w:val="left"/>
      <w:lvlText w:val="•"/>
      <w:numFmt w:val="bullet"/>
      <w:start w:val="1"/>
    </w:lvl>
  </w:abstractNum>
  <w:abstractNum w:abstractNumId="137">
    <w:nsid w:val="7E448DE9"/>
    <w:multiLevelType w:val="hybridMultilevel"/>
    <w:lvl w:ilvl="0">
      <w:lvlJc w:val="left"/>
      <w:lvlText w:val="•"/>
      <w:numFmt w:val="bullet"/>
      <w:start w:val="1"/>
    </w:lvl>
  </w:abstractNum>
  <w:abstractNum w:abstractNumId="138">
    <w:nsid w:val="5A9CC3E5"/>
    <w:multiLevelType w:val="hybridMultilevel"/>
    <w:lvl w:ilvl="0">
      <w:lvlJc w:val="left"/>
      <w:lvlText w:val="•"/>
      <w:numFmt w:val="bullet"/>
      <w:start w:val="1"/>
    </w:lvl>
  </w:abstractNum>
  <w:abstractNum w:abstractNumId="139">
    <w:nsid w:val="1AFE3625"/>
    <w:multiLevelType w:val="hybridMultilevel"/>
    <w:lvl w:ilvl="0">
      <w:lvlJc w:val="left"/>
      <w:lvlText w:val="•"/>
      <w:numFmt w:val="bullet"/>
      <w:start w:val="1"/>
    </w:lvl>
  </w:abstractNum>
  <w:abstractNum w:abstractNumId="140">
    <w:nsid w:val="3CA88ECF"/>
    <w:multiLevelType w:val="hybridMultilevel"/>
    <w:lvl w:ilvl="0">
      <w:lvlJc w:val="left"/>
      <w:lvlText w:val="•"/>
      <w:numFmt w:val="bullet"/>
      <w:start w:val="1"/>
    </w:lvl>
  </w:abstractNum>
  <w:abstractNum w:abstractNumId="141">
    <w:nsid w:val="6EBE4208"/>
    <w:multiLevelType w:val="hybridMultilevel"/>
    <w:lvl w:ilvl="0">
      <w:lvlJc w:val="left"/>
      <w:lvlText w:val="•"/>
      <w:numFmt w:val="bullet"/>
      <w:start w:val="1"/>
    </w:lvl>
  </w:abstractNum>
  <w:abstractNum w:abstractNumId="142">
    <w:nsid w:val="C058DF5"/>
    <w:multiLevelType w:val="hybridMultilevel"/>
    <w:lvl w:ilvl="0">
      <w:lvlJc w:val="left"/>
      <w:lvlText w:val="•"/>
      <w:numFmt w:val="bullet"/>
      <w:start w:val="1"/>
    </w:lvl>
  </w:abstractNum>
  <w:abstractNum w:abstractNumId="143">
    <w:nsid w:val="CBE5BE9"/>
    <w:multiLevelType w:val="hybridMultilevel"/>
    <w:lvl w:ilvl="0">
      <w:lvlJc w:val="left"/>
      <w:lvlText w:val="•"/>
      <w:numFmt w:val="bullet"/>
      <w:start w:val="1"/>
    </w:lvl>
  </w:abstractNum>
  <w:abstractNum w:abstractNumId="144">
    <w:nsid w:val="3102BBE2"/>
    <w:multiLevelType w:val="hybridMultilevel"/>
    <w:lvl w:ilvl="0">
      <w:lvlJc w:val="left"/>
      <w:lvlText w:val="•"/>
      <w:numFmt w:val="bullet"/>
      <w:start w:val="1"/>
    </w:lvl>
  </w:abstractNum>
  <w:abstractNum w:abstractNumId="145">
    <w:nsid w:val="26A02C5E"/>
    <w:multiLevelType w:val="hybridMultilevel"/>
    <w:lvl w:ilvl="0">
      <w:lvlJc w:val="left"/>
      <w:lvlText w:val="•"/>
      <w:numFmt w:val="bullet"/>
      <w:start w:val="1"/>
    </w:lvl>
  </w:abstractNum>
  <w:abstractNum w:abstractNumId="146">
    <w:nsid w:val="541C8153"/>
    <w:multiLevelType w:val="hybridMultilevel"/>
    <w:lvl w:ilvl="0">
      <w:lvlJc w:val="left"/>
      <w:lvlText w:val="•"/>
      <w:numFmt w:val="bullet"/>
      <w:start w:val="1"/>
    </w:lvl>
    <w:lvl w:ilvl="1">
      <w:lvlJc w:val="left"/>
      <w:lvlText w:val="•"/>
      <w:numFmt w:val="bullet"/>
      <w:start w:val="1"/>
    </w:lvl>
  </w:abstractNum>
  <w:abstractNum w:abstractNumId="147">
    <w:nsid w:val="67906F60"/>
    <w:multiLevelType w:val="hybridMultilevel"/>
    <w:lvl w:ilvl="0">
      <w:lvlJc w:val="left"/>
      <w:lvlText w:val="*"/>
      <w:numFmt w:val="bullet"/>
      <w:start w:val="1"/>
    </w:lvl>
    <w:lvl w:ilvl="1">
      <w:lvlJc w:val="left"/>
      <w:lvlText w:val="•"/>
      <w:numFmt w:val="bullet"/>
      <w:start w:val="1"/>
    </w:lvl>
  </w:abstractNum>
  <w:abstractNum w:abstractNumId="148">
    <w:nsid w:val="10DB9DAA"/>
    <w:multiLevelType w:val="hybridMultilevel"/>
    <w:lvl w:ilvl="0">
      <w:lvlJc w:val="left"/>
      <w:lvlText w:val="•"/>
      <w:numFmt w:val="bullet"/>
      <w:start w:val="1"/>
    </w:lvl>
  </w:abstractNum>
  <w:abstractNum w:abstractNumId="149">
    <w:nsid w:val="697D2D2"/>
    <w:multiLevelType w:val="hybridMultilevel"/>
    <w:lvl w:ilvl="0">
      <w:lvlJc w:val="left"/>
      <w:lvlText w:val="•"/>
      <w:numFmt w:val="bullet"/>
      <w:start w:val="1"/>
    </w:lvl>
  </w:abstractNum>
  <w:abstractNum w:abstractNumId="150">
    <w:nsid w:val="6D68AB2"/>
    <w:multiLevelType w:val="hybridMultilevel"/>
    <w:lvl w:ilvl="0">
      <w:lvlJc w:val="left"/>
      <w:lvlText w:val="•"/>
      <w:numFmt w:val="bullet"/>
      <w:start w:val="1"/>
    </w:lvl>
  </w:abstractNum>
  <w:abstractNum w:abstractNumId="151">
    <w:nsid w:val="3A966CD0"/>
    <w:multiLevelType w:val="hybridMultilevel"/>
    <w:lvl w:ilvl="0">
      <w:lvlJc w:val="left"/>
      <w:lvlText w:val="•"/>
      <w:numFmt w:val="bullet"/>
      <w:start w:val="1"/>
    </w:lvl>
  </w:abstractNum>
  <w:abstractNum w:abstractNumId="152">
    <w:nsid w:val="63F37E85"/>
    <w:multiLevelType w:val="hybridMultilevel"/>
    <w:lvl w:ilvl="0">
      <w:lvlJc w:val="left"/>
      <w:lvlText w:val="1"/>
      <w:numFmt w:val="bullet"/>
      <w:start w:val="1"/>
    </w:lvl>
  </w:abstractNum>
  <w:abstractNum w:abstractNumId="153">
    <w:nsid w:val="5895F5FA"/>
    <w:multiLevelType w:val="hybridMultilevel"/>
    <w:lvl w:ilvl="0">
      <w:lvlJc w:val="left"/>
      <w:lvlText w:val="2"/>
      <w:numFmt w:val="bullet"/>
      <w:start w:val="1"/>
    </w:lvl>
  </w:abstractNum>
  <w:abstractNum w:abstractNumId="154">
    <w:nsid w:val="38A5D054"/>
    <w:multiLevelType w:val="hybridMultilevel"/>
    <w:lvl w:ilvl="0">
      <w:lvlJc w:val="left"/>
      <w:lvlText w:val="3"/>
      <w:numFmt w:val="bullet"/>
      <w:start w:val="1"/>
    </w:lvl>
  </w:abstractNum>
  <w:abstractNum w:abstractNumId="155">
    <w:nsid w:val="F3F09D8"/>
    <w:multiLevelType w:val="hybridMultilevel"/>
    <w:lvl w:ilvl="0">
      <w:lvlJc w:val="left"/>
      <w:lvlText w:val="4"/>
      <w:numFmt w:val="bullet"/>
      <w:start w:val="1"/>
    </w:lvl>
  </w:abstractNum>
  <w:abstractNum w:abstractNumId="156">
    <w:nsid w:val="4B793735"/>
    <w:multiLevelType w:val="hybridMultilevel"/>
    <w:lvl w:ilvl="0">
      <w:lvlJc w:val="left"/>
      <w:lvlText w:val="5"/>
      <w:numFmt w:val="bullet"/>
      <w:start w:val="1"/>
    </w:lvl>
  </w:abstractNum>
  <w:abstractNum w:abstractNumId="157">
    <w:nsid w:val="4A10B4E8"/>
    <w:multiLevelType w:val="hybridMultilevel"/>
    <w:lvl w:ilvl="0">
      <w:lvlJc w:val="left"/>
      <w:lvlText w:val="6"/>
      <w:numFmt w:val="bullet"/>
      <w:start w:val="1"/>
    </w:lvl>
  </w:abstractNum>
  <w:abstractNum w:abstractNumId="158">
    <w:nsid w:val="43D3BCD4"/>
    <w:multiLevelType w:val="hybridMultilevel"/>
    <w:lvl w:ilvl="0">
      <w:lvlJc w:val="left"/>
      <w:lvlText w:val="1"/>
      <w:numFmt w:val="bullet"/>
      <w:start w:val="1"/>
    </w:lvl>
  </w:abstractNum>
  <w:abstractNum w:abstractNumId="159">
    <w:nsid w:val="4C2A7166"/>
    <w:multiLevelType w:val="hybridMultilevel"/>
    <w:lvl w:ilvl="0">
      <w:lvlJc w:val="left"/>
      <w:lvlText w:val="•"/>
      <w:numFmt w:val="bullet"/>
      <w:start w:val="1"/>
    </w:lvl>
  </w:abstractNum>
  <w:abstractNum w:abstractNumId="160">
    <w:nsid w:val="2E534A82"/>
    <w:multiLevelType w:val="hybridMultilevel"/>
    <w:lvl w:ilvl="0">
      <w:lvlJc w:val="left"/>
      <w:lvlText w:val="•"/>
      <w:numFmt w:val="bullet"/>
      <w:start w:val="1"/>
    </w:lvl>
  </w:abstractNum>
  <w:abstractNum w:abstractNumId="161">
    <w:nsid w:val="26F2D364"/>
    <w:multiLevelType w:val="hybridMultilevel"/>
    <w:lvl w:ilvl="0">
      <w:lvlJc w:val="left"/>
      <w:lvlText w:val="•"/>
      <w:numFmt w:val="bullet"/>
      <w:start w:val="1"/>
    </w:lvl>
  </w:abstractNum>
  <w:abstractNum w:abstractNumId="162">
    <w:nsid w:val="71C1AF98"/>
    <w:multiLevelType w:val="hybridMultilevel"/>
    <w:lvl w:ilvl="0">
      <w:lvlJc w:val="left"/>
      <w:lvlText w:val="+"/>
      <w:numFmt w:val="bullet"/>
      <w:start w:val="1"/>
    </w:lvl>
  </w:abstractNum>
  <w:abstractNum w:abstractNumId="163">
    <w:nsid w:val="3D00B9D9"/>
    <w:multiLevelType w:val="hybridMultilevel"/>
    <w:lvl w:ilvl="0">
      <w:lvlJc w:val="left"/>
      <w:lvlText w:val="1"/>
      <w:numFmt w:val="bullet"/>
      <w:start w:val="1"/>
    </w:lvl>
  </w:abstractNum>
  <w:abstractNum w:abstractNumId="164">
    <w:nsid w:val="15BCABA8"/>
    <w:multiLevelType w:val="hybridMultilevel"/>
    <w:lvl w:ilvl="0">
      <w:lvlJc w:val="left"/>
      <w:lvlText w:val="2"/>
      <w:numFmt w:val="bullet"/>
      <w:start w:val="1"/>
    </w:lvl>
  </w:abstractNum>
  <w:abstractNum w:abstractNumId="165">
    <w:nsid w:val="4E0B9A87"/>
    <w:multiLevelType w:val="hybridMultilevel"/>
    <w:lvl w:ilvl="0">
      <w:lvlJc w:val="left"/>
      <w:lvlText w:val="3"/>
      <w:numFmt w:val="bullet"/>
      <w:start w:val="1"/>
    </w:lvl>
  </w:abstractNum>
  <w:abstractNum w:abstractNumId="166">
    <w:nsid w:val="434BAE75"/>
    <w:multiLevelType w:val="hybridMultilevel"/>
    <w:lvl w:ilvl="0">
      <w:lvlJc w:val="left"/>
      <w:lvlText w:val="4"/>
      <w:numFmt w:val="bullet"/>
      <w:start w:val="1"/>
    </w:lvl>
  </w:abstractNum>
  <w:abstractNum w:abstractNumId="167">
    <w:nsid w:val="4F38F265"/>
    <w:multiLevelType w:val="hybridMultilevel"/>
    <w:lvl w:ilvl="0">
      <w:lvlJc w:val="left"/>
      <w:lvlText w:val="5"/>
      <w:numFmt w:val="bullet"/>
      <w:start w:val="1"/>
    </w:lvl>
  </w:abstractNum>
  <w:abstractNum w:abstractNumId="168">
    <w:nsid w:val="4C502870"/>
    <w:multiLevelType w:val="hybridMultilevel"/>
    <w:lvl w:ilvl="0">
      <w:lvlJc w:val="left"/>
      <w:lvlText w:val="6"/>
      <w:numFmt w:val="bullet"/>
      <w:start w:val="1"/>
    </w:lvl>
  </w:abstractNum>
  <w:abstractNum w:abstractNumId="169">
    <w:nsid w:val="1DE8725A"/>
    <w:multiLevelType w:val="hybridMultilevel"/>
    <w:lvl w:ilvl="0">
      <w:lvlJc w:val="left"/>
      <w:lvlText w:val="7"/>
      <w:numFmt w:val="bullet"/>
      <w:start w:val="1"/>
    </w:lvl>
  </w:abstractNum>
  <w:abstractNum w:abstractNumId="170">
    <w:nsid w:val="6A37288A"/>
    <w:multiLevelType w:val="hybridMultilevel"/>
    <w:lvl w:ilvl="0">
      <w:lvlJc w:val="left"/>
      <w:lvlText w:val="8"/>
      <w:numFmt w:val="bullet"/>
      <w:start w:val="1"/>
    </w:lvl>
  </w:abstractNum>
  <w:abstractNum w:abstractNumId="171">
    <w:nsid w:val="8F8B73F"/>
    <w:multiLevelType w:val="hybridMultilevel"/>
    <w:lvl w:ilvl="0">
      <w:lvlJc w:val="left"/>
      <w:lvlText w:val="9"/>
      <w:numFmt w:val="bullet"/>
      <w:start w:val="1"/>
    </w:lvl>
  </w:abstractNum>
  <w:abstractNum w:abstractNumId="172">
    <w:nsid w:val="CA6B462"/>
    <w:multiLevelType w:val="hybridMultilevel"/>
    <w:lvl w:ilvl="0">
      <w:lvlJc w:val="left"/>
      <w:lvlText w:val="1"/>
      <w:numFmt w:val="bullet"/>
      <w:start w:val="1"/>
    </w:lvl>
  </w:abstractNum>
  <w:abstractNum w:abstractNumId="173">
    <w:nsid w:val="763CB680"/>
    <w:multiLevelType w:val="hybridMultilevel"/>
    <w:lvl w:ilvl="0">
      <w:lvlJc w:val="left"/>
      <w:lvlText w:val="2"/>
      <w:numFmt w:val="bullet"/>
      <w:start w:val="1"/>
    </w:lvl>
  </w:abstractNum>
  <w:abstractNum w:abstractNumId="174">
    <w:nsid w:val="15B71329"/>
    <w:multiLevelType w:val="hybridMultilevel"/>
    <w:lvl w:ilvl="0">
      <w:lvlJc w:val="left"/>
      <w:lvlText w:val="3"/>
      <w:numFmt w:val="bullet"/>
      <w:start w:val="1"/>
    </w:lvl>
  </w:abstractNum>
  <w:abstractNum w:abstractNumId="175">
    <w:nsid w:val="3DA97044"/>
    <w:multiLevelType w:val="hybridMultilevel"/>
    <w:lvl w:ilvl="0">
      <w:lvlJc w:val="left"/>
      <w:lvlText w:val="4"/>
      <w:numFmt w:val="bullet"/>
      <w:start w:val="1"/>
    </w:lvl>
  </w:abstractNum>
  <w:abstractNum w:abstractNumId="176">
    <w:nsid w:val="1CDCE2DE"/>
    <w:multiLevelType w:val="hybridMultilevel"/>
    <w:lvl w:ilvl="0">
      <w:lvlJc w:val="left"/>
      <w:lvlText w:val="5"/>
      <w:numFmt w:val="bullet"/>
      <w:start w:val="1"/>
    </w:lvl>
  </w:abstractNum>
  <w:abstractNum w:abstractNumId="177">
    <w:nsid w:val="69D3947C"/>
    <w:multiLevelType w:val="hybridMultilevel"/>
    <w:lvl w:ilvl="0">
      <w:lvlJc w:val="left"/>
      <w:lvlText w:val="6"/>
      <w:numFmt w:val="bullet"/>
      <w:start w:val="1"/>
    </w:lvl>
  </w:abstractNum>
  <w:abstractNum w:abstractNumId="178">
    <w:nsid w:val="2539DFA5"/>
    <w:multiLevelType w:val="hybridMultilevel"/>
    <w:lvl w:ilvl="0">
      <w:lvlJc w:val="left"/>
      <w:lvlText w:val="7"/>
      <w:numFmt w:val="bullet"/>
      <w:start w:val="1"/>
    </w:lvl>
  </w:abstractNum>
  <w:abstractNum w:abstractNumId="179">
    <w:nsid w:val="2DB88089"/>
    <w:multiLevelType w:val="hybridMultilevel"/>
    <w:lvl w:ilvl="0">
      <w:lvlJc w:val="left"/>
      <w:lvlText w:val="1"/>
      <w:numFmt w:val="bullet"/>
      <w:start w:val="1"/>
    </w:lvl>
  </w:abstractNum>
  <w:abstractNum w:abstractNumId="180">
    <w:nsid w:val="706B674E"/>
    <w:multiLevelType w:val="hybridMultilevel"/>
    <w:lvl w:ilvl="0">
      <w:lvlJc w:val="left"/>
      <w:lvlText w:val="2"/>
      <w:numFmt w:val="bullet"/>
      <w:start w:val="1"/>
    </w:lvl>
  </w:abstractNum>
  <w:abstractNum w:abstractNumId="181">
    <w:nsid w:val="2C106A57"/>
    <w:multiLevelType w:val="hybridMultilevel"/>
    <w:lvl w:ilvl="0">
      <w:lvlJc w:val="left"/>
      <w:lvlText w:val="3"/>
      <w:numFmt w:val="bullet"/>
      <w:start w:val="1"/>
    </w:lvl>
  </w:abstractNum>
  <w:abstractNum w:abstractNumId="182">
    <w:nsid w:val="684EED59"/>
    <w:multiLevelType w:val="hybridMultilevel"/>
    <w:lvl w:ilvl="0">
      <w:lvlJc w:val="left"/>
      <w:lvlText w:val="4"/>
      <w:numFmt w:val="bullet"/>
      <w:start w:val="1"/>
    </w:lvl>
  </w:abstractNum>
  <w:abstractNum w:abstractNumId="183">
    <w:nsid w:val="545EE5D3"/>
    <w:multiLevelType w:val="hybridMultilevel"/>
    <w:lvl w:ilvl="0">
      <w:lvlJc w:val="left"/>
      <w:lvlText w:val="5"/>
      <w:numFmt w:val="bullet"/>
      <w:start w:val="1"/>
    </w:lvl>
  </w:abstractNum>
  <w:abstractNum w:abstractNumId="184">
    <w:nsid w:val="4A66051"/>
    <w:multiLevelType w:val="hybridMultilevel"/>
    <w:lvl w:ilvl="0">
      <w:lvlJc w:val="left"/>
      <w:lvlText w:val="6"/>
      <w:numFmt w:val="bullet"/>
      <w:start w:val="1"/>
    </w:lvl>
  </w:abstractNum>
  <w:abstractNum w:abstractNumId="185">
    <w:nsid w:val="20F4BDAD"/>
    <w:multiLevelType w:val="hybridMultilevel"/>
    <w:lvl w:ilvl="0">
      <w:lvlJc w:val="left"/>
      <w:lvlText w:val="7"/>
      <w:numFmt w:val="bullet"/>
      <w:start w:val="1"/>
    </w:lvl>
  </w:abstractNum>
  <w:abstractNum w:abstractNumId="186">
    <w:nsid w:val="639DEFAC"/>
    <w:multiLevelType w:val="hybridMultilevel"/>
    <w:lvl w:ilvl="0">
      <w:lvlJc w:val="left"/>
      <w:lvlText w:val="8"/>
      <w:numFmt w:val="bullet"/>
      <w:start w:val="1"/>
    </w:lvl>
  </w:abstractNum>
  <w:abstractNum w:abstractNumId="187">
    <w:nsid w:val="501F9786"/>
    <w:multiLevelType w:val="hybridMultilevel"/>
    <w:lvl w:ilvl="0">
      <w:lvlJc w:val="left"/>
      <w:lvlText w:val="9"/>
      <w:numFmt w:val="bullet"/>
      <w:start w:val="1"/>
    </w:lvl>
  </w:abstractNum>
  <w:abstractNum w:abstractNumId="188">
    <w:nsid w:val="6B057295"/>
    <w:multiLevelType w:val="hybridMultilevel"/>
    <w:lvl w:ilvl="0">
      <w:lvlJc w:val="left"/>
      <w:lvlText w:val="1"/>
      <w:numFmt w:val="bullet"/>
      <w:start w:val="1"/>
    </w:lvl>
  </w:abstractNum>
  <w:abstractNum w:abstractNumId="189">
    <w:nsid w:val="2771AC80"/>
    <w:multiLevelType w:val="hybridMultilevel"/>
    <w:lvl w:ilvl="0">
      <w:lvlJc w:val="left"/>
      <w:lvlText w:val="1"/>
      <w:numFmt w:val="bullet"/>
      <w:start w:val="1"/>
    </w:lvl>
  </w:abstractNum>
  <w:abstractNum w:abstractNumId="190">
    <w:nsid w:val="1C4A08EC"/>
    <w:multiLevelType w:val="hybridMultilevel"/>
    <w:lvl w:ilvl="0">
      <w:lvlJc w:val="left"/>
      <w:lvlText w:val="2"/>
      <w:numFmt w:val="bullet"/>
      <w:start w:val="1"/>
    </w:lvl>
  </w:abstractNum>
  <w:abstractNum w:abstractNumId="191">
    <w:nsid w:val="1958BD17"/>
    <w:multiLevelType w:val="hybridMultilevel"/>
    <w:lvl w:ilvl="0">
      <w:lvlJc w:val="left"/>
      <w:lvlText w:val="3"/>
      <w:numFmt w:val="bullet"/>
      <w:start w:val="1"/>
    </w:lvl>
  </w:abstractNum>
  <w:abstractNum w:abstractNumId="192">
    <w:nsid w:val="4E647FE4"/>
    <w:multiLevelType w:val="hybridMultilevel"/>
    <w:lvl w:ilvl="0">
      <w:lvlJc w:val="left"/>
      <w:lvlText w:val="4"/>
      <w:numFmt w:val="bullet"/>
      <w:start w:val="1"/>
    </w:lvl>
  </w:abstractNum>
  <w:abstractNum w:abstractNumId="193">
    <w:nsid w:val="E0BB885"/>
    <w:multiLevelType w:val="hybridMultilevel"/>
    <w:lvl w:ilvl="0">
      <w:lvlJc w:val="left"/>
      <w:lvlText w:val="5"/>
      <w:numFmt w:val="bullet"/>
      <w:start w:val="1"/>
    </w:lvl>
  </w:abstractNum>
  <w:abstractNum w:abstractNumId="194">
    <w:nsid w:val="565976F1"/>
    <w:multiLevelType w:val="hybridMultilevel"/>
    <w:lvl w:ilvl="0">
      <w:lvlJc w:val="left"/>
      <w:lvlText w:val="6"/>
      <w:numFmt w:val="bullet"/>
      <w:start w:val="1"/>
    </w:lvl>
  </w:abstractNum>
  <w:abstractNum w:abstractNumId="195">
    <w:nsid w:val="64212B8C"/>
    <w:multiLevelType w:val="hybridMultilevel"/>
    <w:lvl w:ilvl="0">
      <w:lvlJc w:val="left"/>
      <w:lvlText w:val="7"/>
      <w:numFmt w:val="bullet"/>
      <w:start w:val="1"/>
    </w:lvl>
  </w:abstractNum>
  <w:abstractNum w:abstractNumId="196">
    <w:nsid w:val="5C17530C"/>
    <w:multiLevelType w:val="hybridMultilevel"/>
    <w:lvl w:ilvl="0">
      <w:lvlJc w:val="left"/>
      <w:lvlText w:val="8"/>
      <w:numFmt w:val="bullet"/>
      <w:start w:val="1"/>
    </w:lvl>
  </w:abstractNum>
  <w:abstractNum w:abstractNumId="197">
    <w:nsid w:val="19A52566"/>
    <w:multiLevelType w:val="hybridMultilevel"/>
    <w:lvl w:ilvl="0">
      <w:lvlJc w:val="left"/>
      <w:lvlText w:val="9"/>
      <w:numFmt w:val="bullet"/>
      <w:start w:val="1"/>
    </w:lvl>
  </w:abstractNum>
  <w:abstractNum w:abstractNumId="198">
    <w:nsid w:val="335A1DF1"/>
    <w:multiLevelType w:val="hybridMultilevel"/>
    <w:lvl w:ilvl="0">
      <w:lvlJc w:val="left"/>
      <w:lvlText w:val="%1"/>
      <w:numFmt w:val="decimal"/>
      <w:start w:val="10"/>
    </w:lvl>
  </w:abstractNum>
  <w:abstractNum w:abstractNumId="199">
    <w:nsid w:val="28677B7C"/>
    <w:multiLevelType w:val="hybridMultilevel"/>
    <w:lvl w:ilvl="0">
      <w:lvlJc w:val="left"/>
      <w:lvlText w:val="1"/>
      <w:numFmt w:val="bullet"/>
      <w:start w:val="1"/>
    </w:lvl>
  </w:abstractNum>
  <w:abstractNum w:abstractNumId="200">
    <w:nsid w:val="378D97C0"/>
    <w:multiLevelType w:val="hybridMultilevel"/>
    <w:lvl w:ilvl="0">
      <w:lvlJc w:val="left"/>
      <w:lvlText w:val="2"/>
      <w:numFmt w:val="bullet"/>
      <w:start w:val="1"/>
    </w:lvl>
  </w:abstractNum>
  <w:abstractNum w:abstractNumId="201">
    <w:nsid w:val="1D91467C"/>
    <w:multiLevelType w:val="hybridMultilevel"/>
    <w:lvl w:ilvl="0">
      <w:lvlJc w:val="left"/>
      <w:lvlText w:val="3"/>
      <w:numFmt w:val="bullet"/>
      <w:start w:val="1"/>
    </w:lvl>
  </w:abstractNum>
  <w:abstractNum w:abstractNumId="202">
    <w:nsid w:val="316032BB"/>
    <w:multiLevelType w:val="hybridMultilevel"/>
    <w:lvl w:ilvl="0">
      <w:lvlJc w:val="left"/>
      <w:lvlText w:val="4"/>
      <w:numFmt w:val="bullet"/>
      <w:start w:val="1"/>
    </w:lvl>
  </w:abstractNum>
  <w:abstractNum w:abstractNumId="203">
    <w:nsid w:val="44344C22"/>
    <w:multiLevelType w:val="hybridMultilevel"/>
    <w:lvl w:ilvl="0">
      <w:lvlJc w:val="left"/>
      <w:lvlText w:val="5"/>
      <w:numFmt w:val="bullet"/>
      <w:start w:val="1"/>
    </w:lvl>
  </w:abstractNum>
  <w:abstractNum w:abstractNumId="204">
    <w:nsid w:val="13CDFCFC"/>
    <w:multiLevelType w:val="hybridMultilevel"/>
    <w:lvl w:ilvl="0">
      <w:lvlJc w:val="left"/>
      <w:lvlText w:val="%1"/>
      <w:numFmt w:val="decimal"/>
      <w:start w:val="11"/>
    </w:lvl>
  </w:abstractNum>
  <w:abstractNum w:abstractNumId="205">
    <w:nsid w:val="471745E4"/>
    <w:multiLevelType w:val="hybridMultilevel"/>
    <w:lvl w:ilvl="0">
      <w:lvlJc w:val="left"/>
      <w:lvlText w:val="1"/>
      <w:numFmt w:val="bullet"/>
      <w:start w:val="1"/>
    </w:lvl>
  </w:abstractNum>
  <w:abstractNum w:abstractNumId="206">
    <w:nsid w:val="1DDBC66"/>
    <w:multiLevelType w:val="hybridMultilevel"/>
    <w:lvl w:ilvl="0">
      <w:lvlJc w:val="left"/>
      <w:lvlText w:val="2"/>
      <w:numFmt w:val="bullet"/>
      <w:start w:val="1"/>
    </w:lvl>
  </w:abstractNum>
  <w:abstractNum w:abstractNumId="207">
    <w:nsid w:val="30AADFDA"/>
    <w:multiLevelType w:val="hybridMultilevel"/>
    <w:lvl w:ilvl="0">
      <w:lvlJc w:val="left"/>
      <w:lvlText w:val="3"/>
      <w:numFmt w:val="bullet"/>
      <w:start w:val="1"/>
    </w:lvl>
  </w:abstractNum>
  <w:abstractNum w:abstractNumId="208">
    <w:nsid w:val="30EADA61"/>
    <w:multiLevelType w:val="hybridMultilevel"/>
    <w:lvl w:ilvl="0">
      <w:lvlJc w:val="left"/>
      <w:lvlText w:val="4"/>
      <w:numFmt w:val="bullet"/>
      <w:start w:val="1"/>
    </w:lvl>
  </w:abstractNum>
  <w:abstractNum w:abstractNumId="209">
    <w:nsid w:val="27179C0B"/>
    <w:multiLevelType w:val="hybridMultilevel"/>
    <w:lvl w:ilvl="0">
      <w:lvlJc w:val="left"/>
      <w:lvlText w:val="5"/>
      <w:numFmt w:val="bullet"/>
      <w:start w:val="1"/>
    </w:lvl>
  </w:abstractNum>
  <w:abstractNum w:abstractNumId="210">
    <w:nsid w:val="5E636063"/>
    <w:multiLevelType w:val="hybridMultilevel"/>
    <w:lvl w:ilvl="0">
      <w:lvlJc w:val="left"/>
      <w:lvlText w:val="*"/>
      <w:numFmt w:val="bullet"/>
      <w:start w:val="1"/>
    </w:lvl>
  </w:abstractNum>
  <w:abstractNum w:abstractNumId="211">
    <w:nsid w:val="215641AF"/>
    <w:multiLevelType w:val="hybridMultilevel"/>
    <w:lvl w:ilvl="0">
      <w:lvlJc w:val="left"/>
      <w:lvlText w:val="•"/>
      <w:numFmt w:val="bullet"/>
      <w:start w:val="1"/>
    </w:lvl>
  </w:abstractNum>
  <w:abstractNum w:abstractNumId="212">
    <w:nsid w:val="53280662"/>
    <w:multiLevelType w:val="hybridMultilevel"/>
    <w:lvl w:ilvl="0">
      <w:lvlJc w:val="left"/>
      <w:lvlText w:val="1"/>
      <w:numFmt w:val="bullet"/>
      <w:start w:val="1"/>
    </w:lvl>
  </w:abstractNum>
  <w:abstractNum w:abstractNumId="213">
    <w:nsid w:val="46B24DBC"/>
    <w:multiLevelType w:val="hybridMultilevel"/>
    <w:lvl w:ilvl="0">
      <w:lvlJc w:val="left"/>
      <w:lvlText w:val="2"/>
      <w:numFmt w:val="bullet"/>
      <w:start w:val="1"/>
    </w:lvl>
  </w:abstractNum>
  <w:abstractNum w:abstractNumId="214">
    <w:nsid w:val="75B52783"/>
    <w:multiLevelType w:val="hybridMultilevel"/>
    <w:lvl w:ilvl="0">
      <w:lvlJc w:val="left"/>
      <w:lvlText w:val="3"/>
      <w:numFmt w:val="bullet"/>
      <w:start w:val="1"/>
    </w:lvl>
  </w:abstractNum>
  <w:abstractNum w:abstractNumId="215">
    <w:nsid w:val="57CE66B4"/>
    <w:multiLevelType w:val="hybridMultilevel"/>
    <w:lvl w:ilvl="0">
      <w:lvlJc w:val="left"/>
      <w:lvlText w:val="1"/>
      <w:numFmt w:val="bullet"/>
      <w:start w:val="1"/>
    </w:lvl>
  </w:abstractNum>
  <w:abstractNum w:abstractNumId="216">
    <w:nsid w:val="67A70B69"/>
    <w:multiLevelType w:val="hybridMultilevel"/>
    <w:lvl w:ilvl="0">
      <w:lvlJc w:val="left"/>
      <w:lvlText w:val="2"/>
      <w:numFmt w:val="bullet"/>
      <w:start w:val="1"/>
    </w:lvl>
  </w:abstractNum>
  <w:abstractNum w:abstractNumId="217">
    <w:nsid w:val="5953172F"/>
    <w:multiLevelType w:val="hybridMultilevel"/>
    <w:lvl w:ilvl="0">
      <w:lvlJc w:val="left"/>
      <w:lvlText w:val="%1"/>
      <w:numFmt w:val="decimal"/>
      <w:start w:val="14"/>
    </w:lvl>
  </w:abstractNum>
  <w:abstractNum w:abstractNumId="218">
    <w:nsid w:val="27EDFE3A"/>
    <w:multiLevelType w:val="hybridMultilevel"/>
    <w:lvl w:ilvl="0">
      <w:lvlJc w:val="left"/>
      <w:lvlText w:val="%1"/>
      <w:numFmt w:val="decimal"/>
      <w:start w:val="15"/>
    </w:lvl>
  </w:abstractNum>
  <w:abstractNum w:abstractNumId="219">
    <w:nsid w:val="52AC7DFF"/>
    <w:multiLevelType w:val="hybridMultilevel"/>
    <w:lvl w:ilvl="0">
      <w:lvlJc w:val="left"/>
      <w:lvlText w:val="1"/>
      <w:numFmt w:val="bullet"/>
      <w:start w:val="1"/>
    </w:lvl>
  </w:abstractNum>
  <w:abstractNum w:abstractNumId="220">
    <w:nsid w:val="C4C3AF"/>
    <w:multiLevelType w:val="hybridMultilevel"/>
    <w:lvl w:ilvl="0">
      <w:lvlJc w:val="left"/>
      <w:lvlText w:val="2"/>
      <w:numFmt w:val="bullet"/>
      <w:start w:val="1"/>
    </w:lvl>
  </w:abstractNum>
  <w:abstractNum w:abstractNumId="221">
    <w:nsid w:val="44380727"/>
    <w:multiLevelType w:val="hybridMultilevel"/>
    <w:lvl w:ilvl="0">
      <w:lvlJc w:val="left"/>
      <w:lvlText w:val="3"/>
      <w:numFmt w:val="bullet"/>
      <w:start w:val="1"/>
    </w:lvl>
  </w:abstractNum>
  <w:abstractNum w:abstractNumId="222">
    <w:nsid w:val="6C053B16"/>
    <w:multiLevelType w:val="hybridMultilevel"/>
    <w:lvl w:ilvl="0">
      <w:lvlJc w:val="left"/>
      <w:lvlText w:val="4"/>
      <w:numFmt w:val="bullet"/>
      <w:start w:val="1"/>
    </w:lvl>
  </w:abstractNum>
  <w:abstractNum w:abstractNumId="223">
    <w:nsid w:val="4F294393"/>
    <w:multiLevelType w:val="hybridMultilevel"/>
    <w:lvl w:ilvl="0">
      <w:lvlJc w:val="left"/>
      <w:lvlText w:val="5"/>
      <w:numFmt w:val="bullet"/>
      <w:start w:val="1"/>
    </w:lvl>
  </w:abstractNum>
  <w:abstractNum w:abstractNumId="224">
    <w:nsid w:val="5243BFAC"/>
    <w:multiLevelType w:val="hybridMultilevel"/>
    <w:lvl w:ilvl="0">
      <w:lvlJc w:val="left"/>
      <w:lvlText w:val="(%1)"/>
      <w:numFmt w:val="lowerLetter"/>
      <w:start w:val="1"/>
    </w:lvl>
    <w:lvl w:ilvl="1">
      <w:lvlJc w:val="left"/>
      <w:lvlText w:val="(%2)"/>
      <w:numFmt w:val="decimal"/>
      <w:start w:val="1"/>
    </w:lvl>
  </w:abstractNum>
  <w:abstractNum w:abstractNumId="225">
    <w:nsid w:val="425EB207"/>
    <w:multiLevelType w:val="hybridMultilevel"/>
    <w:lvl w:ilvl="0">
      <w:lvlJc w:val="left"/>
      <w:lvlText w:val="%1"/>
      <w:numFmt w:val="lowerLetter"/>
      <w:start w:val="1"/>
    </w:lvl>
    <w:lvl w:ilvl="1">
      <w:lvlJc w:val="left"/>
      <w:lvlText w:val="(%2)"/>
      <w:numFmt w:val="decimal"/>
      <w:start w:val="2"/>
    </w:lvl>
  </w:abstractNum>
  <w:abstractNum w:abstractNumId="226">
    <w:nsid w:val="334A6F1F"/>
    <w:multiLevelType w:val="hybridMultilevel"/>
    <w:lvl w:ilvl="0">
      <w:lvlJc w:val="left"/>
      <w:lvlText w:val="(%1)"/>
      <w:numFmt w:val="lowerLetter"/>
      <w:start w:val="7"/>
    </w:lvl>
    <w:lvl w:ilvl="1">
      <w:lvlJc w:val="left"/>
      <w:lvlText w:val="%2"/>
      <w:numFmt w:val="decimal"/>
      <w:start w:val="1"/>
    </w:lvl>
  </w:abstractNum>
  <w:abstractNum w:abstractNumId="227">
    <w:nsid w:val="2E5B12B8"/>
    <w:multiLevelType w:val="hybridMultilevel"/>
    <w:lvl w:ilvl="0">
      <w:lvlJc w:val="left"/>
      <w:lvlText w:val="(%1)"/>
      <w:numFmt w:val="lowerLetter"/>
      <w:start w:val="17"/>
    </w:lvl>
  </w:abstractNum>
  <w:abstractNum w:abstractNumId="228">
    <w:nsid w:val="5C03D76D"/>
    <w:multiLevelType w:val="hybridMultilevel"/>
    <w:lvl w:ilvl="0">
      <w:lvlJc w:val="left"/>
      <w:lvlText w:val="(%1)"/>
      <w:numFmt w:val="lowerLetter"/>
      <w:start w:val="27"/>
    </w:lvl>
  </w:abstractNum>
  <w:abstractNum w:abstractNumId="229">
    <w:nsid w:val="66A48D11"/>
    <w:multiLevelType w:val="hybridMultilevel"/>
    <w:lvl w:ilvl="0">
      <w:lvlJc w:val="left"/>
      <w:lvlText w:val="(%1)"/>
      <w:numFmt w:val="lowerLetter"/>
      <w:start w:val="1"/>
    </w:lvl>
  </w:abstractNum>
  <w:abstractNum w:abstractNumId="230">
    <w:nsid w:val="56C28E34"/>
    <w:multiLevelType w:val="hybridMultilevel"/>
    <w:lvl w:ilvl="0">
      <w:lvlJc w:val="left"/>
      <w:lvlText w:val="(%1)"/>
      <w:numFmt w:val="lowerLetter"/>
      <w:start w:val="2"/>
    </w:lvl>
  </w:abstractNum>
  <w:abstractNum w:abstractNumId="231">
    <w:nsid w:val="13916F2D"/>
    <w:multiLevelType w:val="hybridMultilevel"/>
    <w:lvl w:ilvl="0">
      <w:lvlJc w:val="left"/>
      <w:lvlText w:val="(%1)"/>
      <w:numFmt w:val="lowerLetter"/>
      <w:start w:val="6"/>
    </w:lvl>
  </w:abstractNum>
  <w:abstractNum w:abstractNumId="232">
    <w:nsid w:val="435D38D"/>
    <w:multiLevelType w:val="hybridMultilevel"/>
    <w:lvl w:ilvl="0">
      <w:lvlJc w:val="left"/>
      <w:lvlText w:val="(%1)"/>
      <w:numFmt w:val="lowerLetter"/>
      <w:start w:val="1"/>
    </w:lvl>
    <w:lvl w:ilvl="1">
      <w:lvlJc w:val="left"/>
      <w:lvlText w:val="(%2)"/>
      <w:numFmt w:val="decimal"/>
      <w:start w:val="1"/>
    </w:lvl>
  </w:abstractNum>
  <w:abstractNum w:abstractNumId="233">
    <w:nsid w:val="822C0EF"/>
    <w:multiLevelType w:val="hybridMultilevel"/>
    <w:lvl w:ilvl="0">
      <w:lvlJc w:val="left"/>
      <w:lvlText w:val="%1"/>
      <w:numFmt w:val="lowerLetter"/>
      <w:start w:val="1"/>
    </w:lvl>
    <w:lvl w:ilvl="1">
      <w:lvlJc w:val="left"/>
      <w:lvlText w:val="(%2)"/>
      <w:numFmt w:val="decimal"/>
      <w:start w:val="3"/>
    </w:lvl>
  </w:abstractNum>
  <w:abstractNum w:abstractNumId="234">
    <w:nsid w:val="57C5BB4F"/>
    <w:multiLevelType w:val="hybridMultilevel"/>
    <w:lvl w:ilvl="0">
      <w:lvlJc w:val="left"/>
      <w:lvlText w:val="(%1)"/>
      <w:numFmt w:val="lowerLetter"/>
      <w:start w:val="4"/>
    </w:lvl>
    <w:lvl w:ilvl="1">
      <w:lvlJc w:val="left"/>
      <w:lvlText w:val="(%2)"/>
      <w:numFmt w:val="decimal"/>
      <w:start w:val="1"/>
    </w:lvl>
  </w:abstractNum>
  <w:abstractNum w:abstractNumId="235">
    <w:nsid w:val="1803D089"/>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36">
    <w:nsid w:val="4F3A06D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37">
    <w:nsid w:val="59A377B6"/>
    <w:multiLevelType w:val="hybridMultilevel"/>
    <w:lvl w:ilvl="0">
      <w:lvlJc w:val="left"/>
      <w:lvlText w:val="(%1)"/>
      <w:numFmt w:val="upperLetter"/>
      <w:start w:val="5"/>
    </w:lvl>
  </w:abstractNum>
  <w:abstractNum w:abstractNumId="238">
    <w:nsid w:val="48AEB063"/>
    <w:multiLevelType w:val="hybridMultilevel"/>
    <w:lvl w:ilvl="0">
      <w:lvlJc w:val="left"/>
      <w:lvlText w:val="(%1)"/>
      <w:numFmt w:val="lowerLetter"/>
      <w:start w:val="1"/>
    </w:lvl>
  </w:abstractNum>
  <w:abstractNum w:abstractNumId="239">
    <w:nsid w:val="24E135"/>
    <w:multiLevelType w:val="hybridMultilevel"/>
    <w:lvl w:ilvl="0">
      <w:lvlJc w:val="left"/>
      <w:lvlText w:val="(%1)"/>
      <w:numFmt w:val="lowerLetter"/>
      <w:start w:val="6"/>
    </w:lvl>
    <w:lvl w:ilvl="1">
      <w:lvlJc w:val="left"/>
      <w:lvlText w:val="(%2)"/>
      <w:numFmt w:val="decimal"/>
      <w:start w:val="1"/>
    </w:lvl>
  </w:abstractNum>
  <w:abstractNum w:abstractNumId="240">
    <w:nsid w:val="BB13C1"/>
    <w:multiLevelType w:val="hybridMultilevel"/>
    <w:lvl w:ilvl="0">
      <w:lvlJc w:val="left"/>
      <w:lvlText w:val="(%1)"/>
      <w:numFmt w:val="lowerLetter"/>
      <w:start w:val="1"/>
    </w:lvl>
  </w:abstractNum>
  <w:abstractNum w:abstractNumId="241">
    <w:nsid w:val="271210C7"/>
    <w:multiLevelType w:val="hybridMultilevel"/>
    <w:lvl w:ilvl="0">
      <w:lvlJc w:val="left"/>
      <w:lvlText w:val="(%1)"/>
      <w:numFmt w:val="lowerLetter"/>
      <w:start w:val="1"/>
    </w:lvl>
  </w:abstractNum>
  <w:abstractNum w:abstractNumId="242">
    <w:nsid w:val="217B22E4"/>
    <w:multiLevelType w:val="hybridMultilevel"/>
    <w:lvl w:ilvl="0">
      <w:lvlJc w:val="left"/>
      <w:lvlText w:val="(%1)"/>
      <w:numFmt w:val="lowerLetter"/>
      <w:start w:val="2"/>
    </w:lvl>
    <w:lvl w:ilvl="1">
      <w:lvlJc w:val="left"/>
      <w:lvlText w:val="(%2)"/>
      <w:numFmt w:val="decimal"/>
      <w:start w:val="1"/>
    </w:lvl>
  </w:abstractNum>
  <w:abstractNum w:abstractNumId="243">
    <w:nsid w:val="53E31A24"/>
    <w:multiLevelType w:val="hybridMultilevel"/>
    <w:lvl w:ilvl="0">
      <w:lvlJc w:val="left"/>
      <w:lvlText w:val="%1"/>
      <w:numFmt w:val="lowerLetter"/>
      <w:start w:val="1"/>
    </w:lvl>
    <w:lvl w:ilvl="1">
      <w:lvlJc w:val="left"/>
      <w:lvlText w:val="(%2)"/>
      <w:numFmt w:val="decimal"/>
      <w:start w:val="2"/>
    </w:lvl>
  </w:abstractNum>
  <w:abstractNum w:abstractNumId="244">
    <w:nsid w:val="6DC45E8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2020-04-24T15:11:27Z</dcterms:created>
  <dcterms:modified xsi:type="dcterms:W3CDTF">2020-04-24T15:11:27Z</dcterms:modified>
</cp:coreProperties>
</file>