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5168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16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McCourt Marion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REGENERON PHARMACEUTICALS,</w:t>
              </w:r>
            </w:hyperlink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8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01/02/2024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873.91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15,062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158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Disposition/acquisition made pursuant to a plan intended to comply with Rule 10b5-1(c) adopted on February 16, 2023.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/s/**Marion McCourt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01/04/2024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63758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2024-01-04T15:25:34Z</dcterms:created>
  <dcterms:modified xsi:type="dcterms:W3CDTF">2024-01-04T15:25:34Z</dcterms:modified>
</cp:coreProperties>
</file>