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30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May 5, 2020 (May 5, 2020)</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1" w:lineRule="exact"/>
        <w:rPr>
          <w:sz w:val="24"/>
          <w:szCs w:val="24"/>
          <w:color w:val="auto"/>
        </w:rPr>
      </w:pPr>
    </w:p>
    <w:tbl>
      <w:tblPr>
        <w:tblLayout w:type="fixed"/>
        <w:tblInd w:w="560" w:type="dxa"/>
        <w:tblCellMar>
          <w:top w:w="0" w:type="dxa"/>
          <w:left w:w="0" w:type="dxa"/>
          <w:bottom w:w="0" w:type="dxa"/>
          <w:right w:w="0" w:type="dxa"/>
        </w:tblCellMar>
      </w:tblPr>
      <w:tr>
        <w:trPr>
          <w:trHeight w:val="248"/>
        </w:trPr>
        <w:tc>
          <w:tcPr>
            <w:tcW w:w="3860" w:type="dxa"/>
            <w:vAlign w:val="bottom"/>
          </w:tcPr>
          <w:p>
            <w:pPr>
              <w:ind w:left="1320"/>
              <w:spacing w:after="0"/>
              <w:rPr>
                <w:sz w:val="20"/>
                <w:szCs w:val="20"/>
                <w:color w:val="auto"/>
              </w:rPr>
            </w:pPr>
            <w:r>
              <w:rPr>
                <w:rFonts w:ascii="Arial" w:cs="Arial" w:eastAsia="Arial" w:hAnsi="Arial"/>
                <w:sz w:val="18"/>
                <w:szCs w:val="18"/>
                <w:b w:val="1"/>
                <w:bCs w:val="1"/>
                <w:color w:val="auto"/>
              </w:rPr>
              <w:t>New York</w:t>
            </w:r>
          </w:p>
        </w:tc>
        <w:tc>
          <w:tcPr>
            <w:tcW w:w="2020" w:type="dxa"/>
            <w:vAlign w:val="bottom"/>
          </w:tcPr>
          <w:p>
            <w:pPr>
              <w:jc w:val="center"/>
              <w:ind w:left="319"/>
              <w:spacing w:after="0"/>
              <w:rPr>
                <w:sz w:val="20"/>
                <w:szCs w:val="20"/>
                <w:color w:val="auto"/>
              </w:rPr>
            </w:pPr>
            <w:r>
              <w:rPr>
                <w:rFonts w:ascii="Arial" w:cs="Arial" w:eastAsia="Arial" w:hAnsi="Arial"/>
                <w:sz w:val="18"/>
                <w:szCs w:val="18"/>
                <w:b w:val="1"/>
                <w:bCs w:val="1"/>
                <w:color w:val="auto"/>
                <w:w w:val="90"/>
              </w:rPr>
              <w:t>000-19034</w:t>
            </w:r>
          </w:p>
        </w:tc>
        <w:tc>
          <w:tcPr>
            <w:tcW w:w="1060" w:type="dxa"/>
            <w:vAlign w:val="bottom"/>
          </w:tcPr>
          <w:p>
            <w:pPr>
              <w:spacing w:after="0"/>
              <w:rPr>
                <w:sz w:val="21"/>
                <w:szCs w:val="21"/>
                <w:color w:val="auto"/>
              </w:rPr>
            </w:pPr>
          </w:p>
        </w:tc>
        <w:tc>
          <w:tcPr>
            <w:tcW w:w="2580" w:type="dxa"/>
            <w:vAlign w:val="bottom"/>
          </w:tcPr>
          <w:p>
            <w:pPr>
              <w:jc w:val="right"/>
              <w:ind w:right="556"/>
              <w:spacing w:after="0"/>
              <w:rPr>
                <w:sz w:val="20"/>
                <w:szCs w:val="20"/>
                <w:color w:val="auto"/>
              </w:rPr>
            </w:pPr>
            <w:r>
              <w:rPr>
                <w:rFonts w:ascii="Arial" w:cs="Arial" w:eastAsia="Arial" w:hAnsi="Arial"/>
                <w:sz w:val="18"/>
                <w:szCs w:val="18"/>
                <w:b w:val="1"/>
                <w:bCs w:val="1"/>
                <w:color w:val="auto"/>
              </w:rPr>
              <w:t>13-3444607</w:t>
            </w:r>
          </w:p>
        </w:tc>
      </w:tr>
      <w:tr>
        <w:trPr>
          <w:trHeight w:val="217"/>
        </w:trPr>
        <w:tc>
          <w:tcPr>
            <w:tcW w:w="386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319"/>
              <w:spacing w:after="0"/>
              <w:rPr>
                <w:sz w:val="20"/>
                <w:szCs w:val="20"/>
                <w:color w:val="auto"/>
              </w:rPr>
            </w:pPr>
            <w:r>
              <w:rPr>
                <w:rFonts w:ascii="Arial" w:cs="Arial" w:eastAsia="Arial" w:hAnsi="Arial"/>
                <w:sz w:val="14"/>
                <w:szCs w:val="14"/>
                <w:color w:val="auto"/>
                <w:w w:val="94"/>
              </w:rPr>
              <w:t>(Commission File Number)</w:t>
            </w:r>
          </w:p>
        </w:tc>
        <w:tc>
          <w:tcPr>
            <w:tcW w:w="10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(I.R.S. Employer Identification No.)</w:t>
            </w:r>
          </w:p>
        </w:tc>
      </w:tr>
      <w:tr>
        <w:trPr>
          <w:trHeight w:val="404"/>
        </w:trPr>
        <w:tc>
          <w:tcPr>
            <w:tcW w:w="5880" w:type="dxa"/>
            <w:vAlign w:val="bottom"/>
            <w:gridSpan w:val="2"/>
          </w:tcPr>
          <w:p>
            <w:pPr>
              <w:ind w:left="2260"/>
              <w:spacing w:after="0"/>
              <w:rPr>
                <w:sz w:val="20"/>
                <w:szCs w:val="20"/>
                <w:color w:val="auto"/>
              </w:rPr>
            </w:pPr>
            <w:r>
              <w:rPr>
                <w:rFonts w:ascii="Arial" w:cs="Arial" w:eastAsia="Arial" w:hAnsi="Arial"/>
                <w:sz w:val="18"/>
                <w:szCs w:val="18"/>
                <w:b w:val="1"/>
                <w:bCs w:val="1"/>
                <w:color w:val="auto"/>
              </w:rPr>
              <w:t>777 Old Saw Mill River Road  Tarrytown,</w:t>
            </w:r>
          </w:p>
        </w:tc>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New York</w:t>
            </w:r>
          </w:p>
        </w:tc>
        <w:tc>
          <w:tcPr>
            <w:tcW w:w="2580" w:type="dxa"/>
            <w:vAlign w:val="bottom"/>
          </w:tcPr>
          <w:p>
            <w:pPr>
              <w:jc w:val="right"/>
              <w:ind w:right="1536"/>
              <w:spacing w:after="0"/>
              <w:rPr>
                <w:sz w:val="20"/>
                <w:szCs w:val="20"/>
                <w:color w:val="auto"/>
              </w:rPr>
            </w:pPr>
            <w:r>
              <w:rPr>
                <w:rFonts w:ascii="Arial" w:cs="Arial" w:eastAsia="Arial" w:hAnsi="Arial"/>
                <w:sz w:val="18"/>
                <w:szCs w:val="18"/>
                <w:b w:val="1"/>
                <w:bCs w:val="1"/>
                <w:color w:val="auto"/>
                <w:w w:val="97"/>
              </w:rPr>
              <w:t>10591-6707</w:t>
            </w:r>
          </w:p>
        </w:tc>
      </w:tr>
      <w:tr>
        <w:trPr>
          <w:trHeight w:val="231"/>
        </w:trPr>
        <w:tc>
          <w:tcPr>
            <w:tcW w:w="6940" w:type="dxa"/>
            <w:vAlign w:val="bottom"/>
            <w:gridSpan w:val="3"/>
          </w:tcPr>
          <w:p>
            <w:pPr>
              <w:jc w:val="center"/>
              <w:ind w:left="317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258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3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2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i w:val="1"/>
                <w:iCs w:val="1"/>
                <w:color w:val="auto"/>
                <w:w w:val="91"/>
              </w:rPr>
              <w:t>Trading Symbol(s)</w:t>
            </w:r>
          </w:p>
        </w:tc>
        <w:tc>
          <w:tcPr>
            <w:tcW w:w="600" w:type="dxa"/>
            <w:vAlign w:val="bottom"/>
          </w:tcPr>
          <w:p>
            <w:pPr>
              <w:spacing w:after="0"/>
              <w:rPr>
                <w:sz w:val="18"/>
                <w:szCs w:val="18"/>
                <w:color w:val="auto"/>
              </w:rPr>
            </w:pPr>
          </w:p>
        </w:tc>
        <w:tc>
          <w:tcPr>
            <w:tcW w:w="3800" w:type="dxa"/>
            <w:vAlign w:val="bottom"/>
            <w:gridSpan w:val="2"/>
          </w:tcPr>
          <w:p>
            <w:pPr>
              <w:jc w:val="center"/>
              <w:ind w:left="530"/>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44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9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REGN</w:t>
            </w:r>
          </w:p>
        </w:tc>
        <w:tc>
          <w:tcPr>
            <w:tcW w:w="6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288"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May 5, 2020, Regeneron Pharmaceuticals, Inc. issued a press release announcing its financial and operating results for the quarter ended March 31, 2020. A copy of the press release is being furnished to the Securities and Exchange Commission as Exhibit 99.1 to this Current Report on Form 8-K and is incorporated by reference to this Item 2.02.</w:t>
      </w:r>
    </w:p>
    <w:p>
      <w:pPr>
        <w:spacing w:after="0" w:line="184" w:lineRule="exact"/>
        <w:rPr>
          <w:sz w:val="20"/>
          <w:szCs w:val="20"/>
          <w:color w:val="auto"/>
        </w:rPr>
      </w:pPr>
    </w:p>
    <w:p>
      <w:pPr>
        <w:ind w:right="54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May 5, 2020, Reporting First Quarter 2020 Financial and Operating Results.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ectPr>
          <w:pgSz w:w="11900" w:h="16838" w:orient="portrait"/>
          <w:cols w:equalWidth="0" w:num="1">
            <w:col w:w="11160"/>
          </w:cols>
          <w:pgMar w:left="320" w:top="553" w:right="41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Date: May 5, 2020</w:t>
            </w:r>
          </w:p>
        </w:tc>
        <w:tc>
          <w:tcPr>
            <w:tcW w:w="6800" w:type="dxa"/>
            <w:vAlign w:val="bottom"/>
            <w:gridSpan w:val="2"/>
          </w:tcPr>
          <w:p>
            <w:pPr>
              <w:ind w:left="10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380" w:type="dxa"/>
            <w:vAlign w:val="bottom"/>
          </w:tcPr>
          <w:p>
            <w:pPr>
              <w:spacing w:after="0"/>
              <w:rPr>
                <w:sz w:val="24"/>
                <w:szCs w:val="24"/>
                <w:color w:val="auto"/>
              </w:rPr>
            </w:pPr>
          </w:p>
        </w:tc>
        <w:tc>
          <w:tcPr>
            <w:tcW w:w="2820" w:type="dxa"/>
            <w:vAlign w:val="bottom"/>
          </w:tcPr>
          <w:p>
            <w:pPr>
              <w:ind w:left="1040"/>
              <w:spacing w:after="0"/>
              <w:rPr>
                <w:sz w:val="20"/>
                <w:szCs w:val="20"/>
                <w:color w:val="auto"/>
              </w:rPr>
            </w:pPr>
            <w:r>
              <w:rPr>
                <w:rFonts w:ascii="Arial" w:cs="Arial" w:eastAsia="Arial" w:hAnsi="Arial"/>
                <w:sz w:val="18"/>
                <w:szCs w:val="18"/>
                <w:color w:val="auto"/>
              </w:rPr>
              <w:t>By:</w:t>
            </w:r>
          </w:p>
        </w:tc>
        <w:tc>
          <w:tcPr>
            <w:tcW w:w="398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820" w:type="dxa"/>
            <w:vAlign w:val="bottom"/>
          </w:tcPr>
          <w:p>
            <w:pPr>
              <w:ind w:left="1040"/>
              <w:spacing w:after="0"/>
              <w:rPr>
                <w:sz w:val="20"/>
                <w:szCs w:val="20"/>
                <w:color w:val="auto"/>
              </w:rPr>
            </w:pPr>
            <w:r>
              <w:rPr>
                <w:rFonts w:ascii="Arial" w:cs="Arial" w:eastAsia="Arial" w:hAnsi="Arial"/>
                <w:sz w:val="18"/>
                <w:szCs w:val="18"/>
                <w:color w:val="auto"/>
              </w:rPr>
              <w:t>Name:</w:t>
            </w:r>
          </w:p>
        </w:tc>
        <w:tc>
          <w:tcPr>
            <w:tcW w:w="398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56"/>
        </w:trPr>
        <w:tc>
          <w:tcPr>
            <w:tcW w:w="23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2380" w:type="dxa"/>
            <w:vAlign w:val="bottom"/>
          </w:tcPr>
          <w:p>
            <w:pPr>
              <w:spacing w:after="0"/>
              <w:rPr>
                <w:sz w:val="20"/>
                <w:szCs w:val="20"/>
                <w:color w:val="auto"/>
              </w:rPr>
            </w:pPr>
          </w:p>
        </w:tc>
        <w:tc>
          <w:tcPr>
            <w:tcW w:w="2820" w:type="dxa"/>
            <w:vAlign w:val="bottom"/>
          </w:tcPr>
          <w:p>
            <w:pPr>
              <w:ind w:left="1040"/>
              <w:spacing w:after="0"/>
              <w:rPr>
                <w:sz w:val="20"/>
                <w:szCs w:val="20"/>
                <w:color w:val="auto"/>
              </w:rPr>
            </w:pPr>
            <w:r>
              <w:rPr>
                <w:rFonts w:ascii="Arial" w:cs="Arial" w:eastAsia="Arial" w:hAnsi="Arial"/>
                <w:sz w:val="18"/>
                <w:szCs w:val="18"/>
                <w:color w:val="auto"/>
              </w:rPr>
              <w:t>Title:</w:t>
            </w:r>
          </w:p>
        </w:tc>
        <w:tc>
          <w:tcPr>
            <w:tcW w:w="398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520"/>
          </w:cols>
          <w:pgMar w:left="320" w:top="34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020"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2020 Financial and Operating Results</w:t>
      </w:r>
    </w:p>
    <w:p>
      <w:pPr>
        <w:spacing w:after="0" w:line="12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2020 revenues increased 33% to $1.83 billion versus first quarter 2019</w:t>
      </w:r>
      <w:r>
        <w:rPr>
          <w:rFonts w:ascii="Arial" w:cs="Arial" w:eastAsia="Arial" w:hAnsi="Arial"/>
          <w:sz w:val="28"/>
          <w:szCs w:val="28"/>
          <w:i w:val="1"/>
          <w:iCs w:val="1"/>
          <w:color w:val="auto"/>
          <w:vertAlign w:val="superscript"/>
        </w:rPr>
        <w:t>(4)</w:t>
      </w:r>
    </w:p>
    <w:p>
      <w:pPr>
        <w:ind w:left="340" w:hanging="332"/>
        <w:spacing w:after="0" w:line="19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9% to $1.17 billion versus first quarter 2019</w:t>
      </w:r>
    </w:p>
    <w:p>
      <w:pPr>
        <w:ind w:left="340" w:right="28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25"/>
          <w:szCs w:val="25"/>
          <w:i w:val="1"/>
          <w:iCs w:val="1"/>
          <w:color w:val="auto"/>
          <w:vertAlign w:val="superscript"/>
        </w:rPr>
        <w:t>(2)</w:t>
      </w:r>
      <w:r>
        <w:rPr>
          <w:rFonts w:ascii="Arial" w:cs="Arial" w:eastAsia="Arial" w:hAnsi="Arial"/>
          <w:sz w:val="22"/>
          <w:szCs w:val="22"/>
          <w:i w:val="1"/>
          <w:iCs w:val="1"/>
          <w:color w:val="auto"/>
        </w:rPr>
        <w:t>, which are recorded by Sanofi, increased 129% to $855 million versus first quarter 2019</w:t>
      </w:r>
    </w:p>
    <w:p>
      <w:pPr>
        <w:ind w:left="34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2020 GAAP diluted EPS was $5.43 and non-GAAP diluted EPS</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xml:space="preserve"> was $6.60</w:t>
      </w:r>
    </w:p>
    <w:p>
      <w:pPr>
        <w:ind w:left="340" w:right="24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Phase 3 trial in first-line non-small cell lung cancer stopped early due to positive overall survival benefit with regulatory submissions planned later this year</w:t>
      </w:r>
    </w:p>
    <w:p>
      <w:pPr>
        <w:ind w:left="340" w:right="6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Libtayo showed clinically-meaningful and durable responses in pivotal second-line advanced basal cell carcinoma trial with regulatory submissions planned later this year</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Novel SARS-CoV-2 antibody "cocktail" treatment advancing rapidly; clinical studies planned for June 2020</w:t>
      </w:r>
    </w:p>
    <w:p>
      <w:pPr>
        <w:spacing w:after="0" w:line="3"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Praluent restructuring agreements with Sanofi finalized</w:t>
      </w:r>
    </w:p>
    <w:p>
      <w:pPr>
        <w:spacing w:after="0" w:line="234" w:lineRule="exact"/>
        <w:rPr>
          <w:sz w:val="20"/>
          <w:szCs w:val="20"/>
          <w:color w:val="auto"/>
        </w:rPr>
      </w:pPr>
    </w:p>
    <w:p>
      <w:pPr>
        <w:ind w:right="680"/>
        <w:spacing w:after="0" w:line="274" w:lineRule="auto"/>
        <w:rPr>
          <w:sz w:val="20"/>
          <w:szCs w:val="20"/>
          <w:color w:val="auto"/>
        </w:rPr>
      </w:pPr>
      <w:r>
        <w:rPr>
          <w:rFonts w:ascii="Arial" w:cs="Arial" w:eastAsia="Arial" w:hAnsi="Arial"/>
          <w:sz w:val="22"/>
          <w:szCs w:val="22"/>
          <w:b w:val="1"/>
          <w:bCs w:val="1"/>
          <w:color w:val="auto"/>
        </w:rPr>
        <w:t xml:space="preserve">Tarrytown, New York (May 5, 2020)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2020 and provided a business update.</w:t>
      </w:r>
    </w:p>
    <w:p>
      <w:pPr>
        <w:spacing w:after="0" w:line="218"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"Over 30 years, the Regeneron team has built a science and technology engine uniquely suited to address the COVID-19 pandemic and we are applying our signature passion, innovation, and drive to advance solutions. Our novel antibody cocktail, REGN-COV2, which is specifically-designed for both prevention and treatment , is expected to begin human studies in June and we are working in parallel to have large-scale quantities available by late summer," said Leonard S. Schleifer, M.D., Ph.D., President and Chief Executive Officer of Regeneron. "Beyond our COVID-19 efforts, we maintain our commitment to the many other patients with serious diseases who are counting on us. In the first quarter, we saw continued growth with EYLEA, Dupixent, and Libtayo in the U.S. driven by underlying demand despite the impact of the pandemic. Moreover, we continue to advance our broad immuno-oncology platform, including the PD-1 inhibitor Libtayo, for which we plan regulatory submissions this year in both non-small cell lung cancer and basal cell carcinoma, based on recent promising late-stage results."</w:t>
      </w:r>
    </w:p>
    <w:p>
      <w:pPr>
        <w:spacing w:after="0" w:line="250"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"We believe our recent revision to the accounting presentation better reflects the nature of revenues earned and costs incurred and simplifies our financial reporting," said Robert E. Landry, Executive Vice President, Finance and Chief Financial Officer of Regeneron. "We were also pleased to close the Praluent restructuring transaction with Sanofi, which we expect to be accretive beginning in the second quarter of 2020."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92" w:lineRule="exact"/>
        <w:rPr>
          <w:sz w:val="20"/>
          <w:szCs w:val="20"/>
          <w:color w:val="auto"/>
        </w:rPr>
      </w:pPr>
    </w:p>
    <w:tbl>
      <w:tblPr>
        <w:tblLayout w:type="fixed"/>
        <w:tblInd w:w="1940" w:type="dxa"/>
        <w:tblCellMar>
          <w:top w:w="0" w:type="dxa"/>
          <w:left w:w="0" w:type="dxa"/>
          <w:bottom w:w="0" w:type="dxa"/>
          <w:right w:w="0" w:type="dxa"/>
        </w:tblCellMar>
      </w:tblPr>
      <w:tr>
        <w:trPr>
          <w:trHeight w:val="266"/>
        </w:trPr>
        <w:tc>
          <w:tcPr>
            <w:tcW w:w="32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b w:val="1"/>
                <w:bCs w:val="1"/>
                <w:color w:val="auto"/>
              </w:rPr>
              <w:t>Q1 2020</w:t>
            </w:r>
          </w:p>
        </w:tc>
        <w:tc>
          <w:tcPr>
            <w:tcW w:w="20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b w:val="1"/>
                <w:bCs w:val="1"/>
                <w:color w:val="auto"/>
              </w:rPr>
              <w:t>Q1 2019</w:t>
            </w:r>
          </w:p>
        </w:tc>
        <w:tc>
          <w:tcPr>
            <w:tcW w:w="140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68"/>
        </w:trPr>
        <w:tc>
          <w:tcPr>
            <w:tcW w:w="3200" w:type="dxa"/>
            <w:vAlign w:val="bottom"/>
            <w:tcBorders>
              <w:top w:val="single" w:sz="8" w:color="CCEEFF"/>
            </w:tcBorders>
            <w:shd w:val="clear" w:color="auto" w:fill="CCEEFF"/>
          </w:tcPr>
          <w:p>
            <w:pPr>
              <w:ind w:left="20"/>
              <w:spacing w:after="0" w:line="268" w:lineRule="exact"/>
              <w:rPr>
                <w:sz w:val="20"/>
                <w:szCs w:val="20"/>
                <w:color w:val="auto"/>
              </w:rPr>
            </w:pPr>
            <w:r>
              <w:rPr>
                <w:rFonts w:ascii="Arial" w:cs="Arial" w:eastAsia="Arial" w:hAnsi="Arial"/>
                <w:sz w:val="20"/>
                <w:szCs w:val="20"/>
                <w:color w:val="auto"/>
              </w:rPr>
              <w:t>Total revenues</w:t>
            </w:r>
            <w:r>
              <w:rPr>
                <w:rFonts w:ascii="Arial" w:cs="Arial" w:eastAsia="Arial" w:hAnsi="Arial"/>
                <w:sz w:val="25"/>
                <w:szCs w:val="25"/>
                <w:color w:val="auto"/>
                <w:vertAlign w:val="superscript"/>
              </w:rPr>
              <w:t>(4)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1,828</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1,373</w:t>
            </w:r>
          </w:p>
        </w:tc>
        <w:tc>
          <w:tcPr>
            <w:tcW w:w="1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w:t>
            </w:r>
          </w:p>
        </w:tc>
      </w:tr>
      <w:tr>
        <w:trPr>
          <w:trHeight w:val="265"/>
        </w:trPr>
        <w:tc>
          <w:tcPr>
            <w:tcW w:w="320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625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461</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44"/>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7"/>
        </w:trPr>
        <w:tc>
          <w:tcPr>
            <w:tcW w:w="32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3.99</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w:t>
            </w:r>
          </w:p>
        </w:tc>
      </w:tr>
      <w:tr>
        <w:trPr>
          <w:trHeight w:val="270"/>
        </w:trPr>
        <w:tc>
          <w:tcPr>
            <w:tcW w:w="320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771</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518</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7"/>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net income per share -</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49"/>
        </w:trPr>
        <w:tc>
          <w:tcPr>
            <w:tcW w:w="3200" w:type="dxa"/>
            <w:vAlign w:val="bottom"/>
            <w:shd w:val="clear" w:color="auto" w:fill="CCEEFF"/>
          </w:tcPr>
          <w:p>
            <w:pPr>
              <w:ind w:left="180"/>
              <w:spacing w:after="0" w:line="248" w:lineRule="exact"/>
              <w:rPr>
                <w:sz w:val="20"/>
                <w:szCs w:val="20"/>
                <w:color w:val="auto"/>
              </w:rPr>
            </w:pPr>
            <w:r>
              <w:rPr>
                <w:rFonts w:ascii="Arial" w:cs="Arial" w:eastAsia="Arial" w:hAnsi="Arial"/>
                <w:sz w:val="20"/>
                <w:szCs w:val="20"/>
                <w:color w:val="auto"/>
              </w:rPr>
              <w:t>diluted</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4.45</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Regeneron has more than 20 product candidates in clinical development, including five marketed products for which it is investigating additional indications. Updates from the clinical pipeline include: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February 2020, the Company announced positive two-year results from the Phase 3 PANORAMA trial evaluating EYLEA in patients with moderately severe to severe non-proliferative diabetic retinopathy (NPDR). The two-year data demonstrated that EYLEA reduced the likelihood of developing vision-threatening events by at least 75% in patients with NPDR.</w:t>
      </w:r>
    </w:p>
    <w:p>
      <w:pPr>
        <w:spacing w:after="0" w:line="1" w:lineRule="exact"/>
        <w:rPr>
          <w:rFonts w:ascii="Arial" w:cs="Arial" w:eastAsia="Arial" w:hAnsi="Arial"/>
          <w:sz w:val="22"/>
          <w:szCs w:val="22"/>
          <w:color w:val="auto"/>
        </w:rPr>
      </w:pPr>
    </w:p>
    <w:p>
      <w:pPr>
        <w:ind w:left="340" w:right="880" w:hanging="332"/>
        <w:spacing w:after="0" w:line="249"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March 2020, the Ministry of Health, Labour and Welfare (MHLW) approved EYLEA for the treatment of neovascular glaucoma (NVG) in Japan.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w:t>
      </w:r>
    </w:p>
    <w:p>
      <w:pPr>
        <w:ind w:left="340" w:right="16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U.S. Food and Drug Administration (FDA) accepted for priority review the supplemental Biologics License Application (sBLA) for children aged 6 to 11 years with moderate-to-severe atopic dermatitis, with a target action date of May 26, 2020. In addition, a Marketing Authorization Application (MAA) for children aged 6 to 11 years with moderate-to-severe atopic dermatitis has also been submitted in the European Union (EU).</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March 2020, the MHLW approved Dupixent for chronic rhinosinusitis with nasal polyposis (CRSwNP) in Japan.</w:t>
      </w:r>
    </w:p>
    <w:p>
      <w:pPr>
        <w:spacing w:after="0" w:line="15" w:lineRule="exact"/>
        <w:rPr>
          <w:rFonts w:ascii="Arial" w:cs="Arial" w:eastAsia="Arial" w:hAnsi="Arial"/>
          <w:sz w:val="21"/>
          <w:szCs w:val="21"/>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sBLA for the 300 mg auto-injector is under review by the FDA, with a target action date of June 20, 2020.</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337"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Oncology Program</w:t>
      </w:r>
    </w:p>
    <w:p>
      <w:pPr>
        <w:spacing w:after="0" w:line="4" w:lineRule="exact"/>
        <w:rPr>
          <w:sz w:val="20"/>
          <w:szCs w:val="20"/>
          <w:color w:val="auto"/>
        </w:rPr>
      </w:pPr>
    </w:p>
    <w:p>
      <w:pPr>
        <w:ind w:left="340" w:right="400" w:hanging="332"/>
        <w:spacing w:after="0" w:line="230"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2020, the Company and Sanofi announced that the primary endpoint was met in the Phase 3 trial of 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(cemiplimab) as monotherapy in first-line non-small cell lung cancer (NSCLC). The Independent Data Monitoring Committee recommended that the trial be stopped early due to highly significant improvement in overall survival. The data from the trial will form the basis of regulatory submissions in the U.S. and EU in the second half of 2020.</w:t>
      </w:r>
    </w:p>
    <w:p>
      <w:pPr>
        <w:spacing w:after="0" w:line="4" w:lineRule="exact"/>
        <w:rPr>
          <w:rFonts w:ascii="Arial" w:cs="Arial" w:eastAsia="Arial" w:hAnsi="Arial"/>
          <w:sz w:val="22"/>
          <w:szCs w:val="22"/>
          <w:color w:val="auto"/>
        </w:rPr>
      </w:pPr>
    </w:p>
    <w:p>
      <w:pPr>
        <w:ind w:left="340" w:right="4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Patient enrollment in the Libtayo Phase 3 first-line NSCLC chemotherapy combination study is expected to be completed in the second half of 2020.</w:t>
      </w:r>
    </w:p>
    <w:p>
      <w:pPr>
        <w:ind w:left="340" w:right="3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May 2020, the Company and Sanofi announced that Libtayo demonstrated clinically-meaningful and durable responses in a pivotal, single-arm, open-label trial in patients with advanced basal cell carcinoma and plan regulatory submissions in 2020.</w:t>
      </w:r>
    </w:p>
    <w:p>
      <w:pPr>
        <w:spacing w:after="0" w:line="1" w:lineRule="exact"/>
        <w:rPr>
          <w:rFonts w:ascii="Arial" w:cs="Arial" w:eastAsia="Arial" w:hAnsi="Arial"/>
          <w:sz w:val="22"/>
          <w:szCs w:val="22"/>
          <w:color w:val="auto"/>
        </w:rPr>
      </w:pPr>
    </w:p>
    <w:p>
      <w:pPr>
        <w:jc w:val="both"/>
        <w:ind w:left="340" w:right="40" w:hanging="332"/>
        <w:spacing w:after="0" w:line="246"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now has 6 bispecific antibodies in clinical development for various blood cancers and solid tumors. These include multiple classes of bispecifics including CD3 bispecifics, a CD28 costimulatory bispecific, and other classes of bispecifics.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w:t>
      </w:r>
    </w:p>
    <w:p>
      <w:pPr>
        <w:ind w:left="340" w:right="900" w:hanging="332"/>
        <w:spacing w:after="0" w:line="272" w:lineRule="auto"/>
        <w:tabs>
          <w:tab w:leader="none" w:pos="340" w:val="left"/>
        </w:tabs>
        <w:numPr>
          <w:ilvl w:val="0"/>
          <w:numId w:val="6"/>
        </w:numPr>
        <w:rPr>
          <w:rFonts w:ascii="Arial" w:cs="Arial" w:eastAsia="Arial" w:hAnsi="Arial"/>
          <w:sz w:val="21"/>
          <w:szCs w:val="21"/>
          <w:color w:val="auto"/>
        </w:rPr>
      </w:pPr>
      <w:r>
        <w:rPr>
          <w:rFonts w:ascii="Arial" w:cs="Arial" w:eastAsia="Arial" w:hAnsi="Arial"/>
          <w:sz w:val="21"/>
          <w:szCs w:val="21"/>
          <w:color w:val="auto"/>
        </w:rPr>
        <w:t>In March 2020, the Company announced that the Phase 3 trial in adult patients with homozygous familial hypercholesterolemia (HoFH) met its primary endpoint and plans to submit an sBLA in mid-2020.</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an antibody to ANGPTL3</w:t>
      </w:r>
    </w:p>
    <w:p>
      <w:pPr>
        <w:spacing w:after="0" w:line="4" w:lineRule="exact"/>
        <w:rPr>
          <w:sz w:val="20"/>
          <w:szCs w:val="20"/>
          <w:color w:val="auto"/>
        </w:rPr>
      </w:pPr>
    </w:p>
    <w:p>
      <w:pPr>
        <w:ind w:left="340" w:hanging="332"/>
        <w:spacing w:after="0" w:line="246"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March 2020, the Company presented positive, detailed results from the Phase 3 trial in patients with HoFH. The Company has also initiated a rolling BLA submission for HoFH and plans to submit an MAA in the EU in the second half of 2020.</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Pozelimab</w:t>
      </w:r>
      <w:r>
        <w:rPr>
          <w:rFonts w:ascii="Arial" w:cs="Arial" w:eastAsia="Arial" w:hAnsi="Arial"/>
          <w:sz w:val="22"/>
          <w:szCs w:val="22"/>
          <w:color w:val="auto"/>
        </w:rPr>
        <w:t>, an antibody to C5</w:t>
      </w:r>
    </w:p>
    <w:p>
      <w:pPr>
        <w:spacing w:after="0" w:line="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Phase 2 study in the ultra-rare disease CD55-deficient protein-losing enteropathy was initiated.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REGN-EB3</w:t>
      </w:r>
      <w:r>
        <w:rPr>
          <w:rFonts w:ascii="Arial" w:cs="Arial" w:eastAsia="Arial" w:hAnsi="Arial"/>
          <w:sz w:val="22"/>
          <w:szCs w:val="22"/>
          <w:color w:val="auto"/>
        </w:rPr>
        <w:t>, a multi-antibody therapy to Ebola virus infection</w:t>
      </w:r>
    </w:p>
    <w:p>
      <w:pPr>
        <w:spacing w:after="0" w:line="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FDA accepted for priority review the BLA submission for Ebola, with a target action date of October 25, 2020.</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363"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COVID-19 Update</w:t>
      </w:r>
    </w:p>
    <w:p>
      <w:pPr>
        <w:spacing w:after="0" w:line="30" w:lineRule="exact"/>
        <w:rPr>
          <w:sz w:val="20"/>
          <w:szCs w:val="20"/>
          <w:color w:val="auto"/>
        </w:rPr>
      </w:pPr>
    </w:p>
    <w:p>
      <w:pPr>
        <w:ind w:left="340" w:right="300" w:hanging="332"/>
        <w:spacing w:after="0" w:line="243"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is advancing REGN-COV2, a novel investigational antibody "cocktail" treatment designed to prevent and treat the SARS-CoV-2 virus. In April, Regeneron moved its leading neutralizing antibodies into pre-clinical and clinical-scale cell production lines and plans to begin clinical studies in June 2020. The Company is working to rapidly scale-up manufacturing, with a goal to have hundreds of thousands of preventative doses available by the end of August 2020.</w:t>
      </w:r>
    </w:p>
    <w:p>
      <w:pPr>
        <w:spacing w:after="0" w:line="1" w:lineRule="exact"/>
        <w:rPr>
          <w:rFonts w:ascii="Arial" w:cs="Arial" w:eastAsia="Arial" w:hAnsi="Arial"/>
          <w:sz w:val="22"/>
          <w:szCs w:val="22"/>
          <w:color w:val="auto"/>
        </w:rPr>
      </w:pPr>
    </w:p>
    <w:p>
      <w:pPr>
        <w:ind w:left="340" w:right="100" w:hanging="332"/>
        <w:spacing w:after="0" w:line="230"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April 2020, the Company provided an update on the adaptively-designed Phase 2/3 U.S. study evaluating Kevzara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(sarilumab) in patients hospitalized with COVID-19 infection. An Independent Data Monitoring Committee recommended continuing the ongoing Phase 3 trial only in the more advanced "critical" group with the 400 mg dose of Kevzara and discontinuing the study in the less advanced "severe" group, based on initial Phase 2 results.</w:t>
      </w:r>
    </w:p>
    <w:p>
      <w:pPr>
        <w:spacing w:after="0" w:line="4" w:lineRule="exact"/>
        <w:rPr>
          <w:rFonts w:ascii="Arial" w:cs="Arial" w:eastAsia="Arial" w:hAnsi="Arial"/>
          <w:sz w:val="22"/>
          <w:szCs w:val="22"/>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announced an expanded agreement with the U.S. Department of Health and Human</w:t>
      </w:r>
    </w:p>
    <w:p>
      <w:pPr>
        <w:spacing w:after="0" w:line="3" w:lineRule="exact"/>
        <w:rPr>
          <w:rFonts w:ascii="Arial" w:cs="Arial" w:eastAsia="Arial" w:hAnsi="Arial"/>
          <w:sz w:val="22"/>
          <w:szCs w:val="22"/>
          <w:color w:val="auto"/>
        </w:rPr>
      </w:pPr>
    </w:p>
    <w:p>
      <w:pPr>
        <w:ind w:left="340" w:right="420"/>
        <w:spacing w:after="0" w:line="243" w:lineRule="auto"/>
        <w:rPr>
          <w:rFonts w:ascii="Arial" w:cs="Arial" w:eastAsia="Arial" w:hAnsi="Arial"/>
          <w:sz w:val="22"/>
          <w:szCs w:val="22"/>
          <w:color w:val="auto"/>
        </w:rPr>
      </w:pPr>
      <w:r>
        <w:rPr>
          <w:rFonts w:ascii="Arial" w:cs="Arial" w:eastAsia="Arial" w:hAnsi="Arial"/>
          <w:sz w:val="22"/>
          <w:szCs w:val="22"/>
          <w:color w:val="auto"/>
        </w:rPr>
        <w:t>Services (HHS) to fund certain research and development activities related to COVID-19 treatments, including REGN-COV2 and the U.S. Kevzara study.</w:t>
      </w:r>
    </w:p>
    <w:p>
      <w:pPr>
        <w:ind w:left="340" w:right="40" w:hanging="332"/>
        <w:spacing w:after="0" w:line="243"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continues to monitor the potential impact on product sales. For EYLEA in the United States, there was limited impact on net product sales in the first quarter of 2020. In the month of April 2020, overall U.S. EYLEA demand was lower compared to the same period of 2019 with relative improvement seen by the end of the month. The Company expects to see continued adverse impact on new patient starts for all products while social distancing guidelines remain in place.</w:t>
      </w:r>
    </w:p>
    <w:p>
      <w:pPr>
        <w:spacing w:after="0" w:line="1" w:lineRule="exact"/>
        <w:rPr>
          <w:rFonts w:ascii="Arial" w:cs="Arial" w:eastAsia="Arial" w:hAnsi="Arial"/>
          <w:sz w:val="22"/>
          <w:szCs w:val="22"/>
          <w:color w:val="auto"/>
        </w:rPr>
      </w:pPr>
    </w:p>
    <w:p>
      <w:pPr>
        <w:ind w:left="340" w:right="420" w:hanging="332"/>
        <w:spacing w:after="0" w:line="243"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Regeneron maintains adequate market supply for all commercialized products. The Company's raw material supplies and contract manufacturing support have also remained stable. In order to enable the U.S. manufacturing site to produce large-scale quantities of REGN-COV2, the Company is working with the FDA to accelerate licensing of additional commercial products manufactured at its Ireland facility.</w:t>
      </w:r>
    </w:p>
    <w:p>
      <w:pPr>
        <w:spacing w:after="0" w:line="1" w:lineRule="exact"/>
        <w:rPr>
          <w:rFonts w:ascii="Arial" w:cs="Arial" w:eastAsia="Arial" w:hAnsi="Arial"/>
          <w:sz w:val="22"/>
          <w:szCs w:val="22"/>
          <w:color w:val="auto"/>
        </w:rPr>
      </w:pPr>
    </w:p>
    <w:p>
      <w:pPr>
        <w:ind w:left="340" w:right="100" w:hanging="332"/>
        <w:spacing w:after="0" w:line="246"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Regeneron expects fully-recruited clinical studies to remain generally on track. The Company has paused new enrollment in certain studies in light of the pandemic and continues to monitor the evolving situation across global trial sites.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right="60" w:hanging="332"/>
        <w:spacing w:after="0" w:line="244"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and Sanofi entered into an agreement, effective April 1, 2020, to restructure its collaboration for Praluent. In the United States, the Company will be solely responsible for the development and commercialization of Praluent and will record net product sales. Sanofi will have sole responsibility for the development and commercialization of Praluent outside the United States, and will pay the Company a 5% royalty on Praluent net product sales.</w:t>
      </w:r>
    </w:p>
    <w:p>
      <w:pPr>
        <w:spacing w:after="0" w:line="131" w:lineRule="exact"/>
        <w:rPr>
          <w:rFonts w:ascii="Arial" w:cs="Arial" w:eastAsia="Arial" w:hAnsi="Arial"/>
          <w:sz w:val="22"/>
          <w:szCs w:val="22"/>
          <w:color w:val="auto"/>
        </w:rPr>
      </w:pPr>
    </w:p>
    <w:p>
      <w:pPr>
        <w:ind w:left="340"/>
        <w:spacing w:after="0" w:line="243" w:lineRule="auto"/>
        <w:rPr>
          <w:rFonts w:ascii="Arial" w:cs="Arial" w:eastAsia="Arial" w:hAnsi="Arial"/>
          <w:sz w:val="22"/>
          <w:szCs w:val="22"/>
          <w:color w:val="auto"/>
        </w:rPr>
      </w:pPr>
      <w:r>
        <w:rPr>
          <w:rFonts w:ascii="Arial" w:cs="Arial" w:eastAsia="Arial" w:hAnsi="Arial"/>
          <w:sz w:val="22"/>
          <w:szCs w:val="22"/>
          <w:color w:val="auto"/>
        </w:rPr>
        <w:t>In December 2019, the Company and Sanofi also announced their intent to restructure their antibody collaboration for Kevzara. The companies continue to assess potential terms of this restructuring in light of the recently launched clinical programs evaluating Kevzara in patients hospitalized with COVID-19.</w:t>
      </w:r>
    </w:p>
    <w:p>
      <w:pPr>
        <w:spacing w:after="0" w:line="1" w:lineRule="exact"/>
        <w:rPr>
          <w:rFonts w:ascii="Arial" w:cs="Arial" w:eastAsia="Arial" w:hAnsi="Arial"/>
          <w:sz w:val="22"/>
          <w:szCs w:val="22"/>
          <w:color w:val="auto"/>
        </w:rPr>
      </w:pPr>
    </w:p>
    <w:p>
      <w:pPr>
        <w:ind w:left="340" w:right="140" w:hanging="332"/>
        <w:spacing w:after="0" w:line="244"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April 2020, the Company entered into an agreement with Zai Lab Limited to develop and commercialize REGN1979 (bispecific antibody targeting CD20 and CD3) in mainland China, Hong Kong, Taiwan, and Macau. Under the terms of the agreement, Zai is obligated to make a $30 million up-front payment, and we are eligible to receive up to $160 million in additional regulatory and sales milestone payments. The Company will continue to lead global development activities for REGN1979, and Zai will be responsible for funding a portion of the global development costs for certain clinical trials.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First Quarter 2020 Financial Results</w:t>
      </w:r>
    </w:p>
    <w:p>
      <w:pPr>
        <w:spacing w:after="0" w:line="259"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Effective January 1, 2020, Regeneron has implemented changes in the presentation of its financial statements related to certain reimbursements and other payments for products developed and commercialized with collaborators. The Company made these changes in presentation to better reflect the nature of the Company’s costs incurred and revenues earned pursuant to arrangements with collaborators and to enhance the comparability of Regeneron's financial statements with industry peers. The change in presentation has been applied retrospectively. See Note (4) below for further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300" w:lineRule="exact"/>
        <w:rPr>
          <w:sz w:val="20"/>
          <w:szCs w:val="20"/>
          <w:color w:val="auto"/>
        </w:rPr>
      </w:pPr>
    </w:p>
    <w:p>
      <w:pPr>
        <w:ind w:right="240"/>
        <w:spacing w:after="0" w:line="249" w:lineRule="auto"/>
        <w:rPr>
          <w:sz w:val="20"/>
          <w:szCs w:val="20"/>
          <w:color w:val="auto"/>
        </w:rPr>
      </w:pPr>
      <w:r>
        <w:rPr>
          <w:rFonts w:ascii="Arial" w:cs="Arial" w:eastAsia="Arial" w:hAnsi="Arial"/>
          <w:sz w:val="22"/>
          <w:szCs w:val="22"/>
          <w:color w:val="auto"/>
        </w:rPr>
        <w:t>Total revenues increased by 33% to $1.828 billion in the first quarter of 2020, compared to $1.373 billion in the first quarter of 2019.</w:t>
      </w:r>
    </w:p>
    <w:p>
      <w:pPr>
        <w:spacing w:after="0" w:line="258"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EYLEA net product sales in the United States were $1.172 billion in the first quarter of 2020, compared to $1.074 billion in the first quarter of 2019. Overall distributor inventory levels for EYLEA in the United States remained within the Company's one-to-two-week targeted range.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Total revenues also include Sanofi and Bayer collaboration revenues</w:t>
      </w:r>
      <w:r>
        <w:rPr>
          <w:rFonts w:ascii="Arial" w:cs="Arial" w:eastAsia="Arial" w:hAnsi="Arial"/>
          <w:sz w:val="25"/>
          <w:szCs w:val="25"/>
          <w:color w:val="auto"/>
          <w:vertAlign w:val="superscript"/>
        </w:rPr>
        <w:t>(2)</w:t>
      </w:r>
      <w:r>
        <w:rPr>
          <w:rFonts w:ascii="Arial" w:cs="Arial" w:eastAsia="Arial" w:hAnsi="Arial"/>
          <w:sz w:val="22"/>
          <w:szCs w:val="22"/>
          <w:color w:val="auto"/>
        </w:rPr>
        <w:t xml:space="preserve"> of $528 million in the first quarter of 2020, compared to $246 million in the first quarter of 2019. Sanofi collaboration revenue in the first quarter of 2020 included the Company's share of profits from collaboration antibodies (Dupixent, Praluent, and Kevzara) of $171 million, while Sanofi collaboration revenue in the first quarter of 2019 included the Company's share of losses from collaboration antibodies of ($28) million. The change in the Company's share of profits (losses) from collaboration antibodies was primarily driven by higher Dupixent profits.</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3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20"/>
                <w:szCs w:val="20"/>
                <w:b w:val="1"/>
                <w:bCs w:val="1"/>
                <w:color w:val="auto"/>
                <w:w w:val="96"/>
              </w:rPr>
              <w:t>Q1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20"/>
                <w:szCs w:val="20"/>
                <w:b w:val="1"/>
                <w:bCs w:val="1"/>
                <w:color w:val="auto"/>
                <w:w w:val="96"/>
              </w:rPr>
              <w:t>Q1 2019</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20"/>
                <w:szCs w:val="20"/>
                <w:b w:val="1"/>
                <w:bCs w:val="1"/>
                <w:color w:val="auto"/>
                <w:w w:val="96"/>
              </w:rPr>
              <w:t>Q1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20"/>
                <w:szCs w:val="20"/>
                <w:b w:val="1"/>
                <w:bCs w:val="1"/>
                <w:color w:val="auto"/>
                <w:w w:val="98"/>
              </w:rPr>
              <w:t>Q1 2019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95"/>
        </w:trPr>
        <w:tc>
          <w:tcPr>
            <w:tcW w:w="368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Research and development (R&amp;D)</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584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486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20 %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527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39"/>
        </w:trPr>
        <w:tc>
          <w:tcPr>
            <w:tcW w:w="3680" w:type="dxa"/>
            <w:vAlign w:val="bottom"/>
          </w:tcPr>
          <w:p>
            <w:pPr>
              <w:ind w:left="40"/>
              <w:spacing w:after="0"/>
              <w:rPr>
                <w:sz w:val="20"/>
                <w:szCs w:val="20"/>
                <w:color w:val="auto"/>
              </w:rPr>
            </w:pPr>
            <w:r>
              <w:rPr>
                <w:rFonts w:ascii="Arial" w:cs="Arial" w:eastAsia="Arial" w:hAnsi="Arial"/>
                <w:sz w:val="20"/>
                <w:szCs w:val="20"/>
                <w:color w:val="auto"/>
              </w:rPr>
              <w:t>Selling, general, and administrative</w:t>
            </w: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15"/>
              <w:spacing w:after="0"/>
              <w:rPr>
                <w:sz w:val="20"/>
                <w:szCs w:val="20"/>
                <w:color w:val="auto"/>
              </w:rPr>
            </w:pPr>
            <w:r>
              <w:rPr>
                <w:rFonts w:ascii="Arial" w:cs="Arial" w:eastAsia="Arial" w:hAnsi="Arial"/>
                <w:sz w:val="22"/>
                <w:szCs w:val="22"/>
                <w:color w:val="auto"/>
              </w:rPr>
              <w:t>367</w:t>
            </w:r>
          </w:p>
        </w:tc>
        <w:tc>
          <w:tcPr>
            <w:tcW w:w="1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14"/>
              <w:spacing w:after="0"/>
              <w:rPr>
                <w:sz w:val="20"/>
                <w:szCs w:val="20"/>
                <w:color w:val="auto"/>
              </w:rPr>
            </w:pPr>
            <w:r>
              <w:rPr>
                <w:rFonts w:ascii="Arial" w:cs="Arial" w:eastAsia="Arial" w:hAnsi="Arial"/>
                <w:sz w:val="22"/>
                <w:szCs w:val="22"/>
                <w:color w:val="auto"/>
              </w:rPr>
              <w:t>291</w:t>
            </w:r>
          </w:p>
        </w:tc>
        <w:tc>
          <w:tcPr>
            <w:tcW w:w="1380" w:type="dxa"/>
            <w:vAlign w:val="bottom"/>
            <w:gridSpan w:val="2"/>
            <w:vMerge w:val="restart"/>
          </w:tcPr>
          <w:p>
            <w:pPr>
              <w:jc w:val="right"/>
              <w:spacing w:after="0"/>
              <w:rPr>
                <w:sz w:val="20"/>
                <w:szCs w:val="20"/>
                <w:color w:val="auto"/>
              </w:rPr>
            </w:pPr>
            <w:r>
              <w:rPr>
                <w:rFonts w:ascii="Arial" w:cs="Arial" w:eastAsia="Arial" w:hAnsi="Arial"/>
                <w:sz w:val="22"/>
                <w:szCs w:val="22"/>
                <w:color w:val="auto"/>
              </w:rPr>
              <w:t>26 %</w:t>
            </w:r>
          </w:p>
        </w:tc>
        <w:tc>
          <w:tcPr>
            <w:tcW w:w="1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15"/>
              <w:spacing w:after="0"/>
              <w:rPr>
                <w:sz w:val="20"/>
                <w:szCs w:val="20"/>
                <w:color w:val="auto"/>
              </w:rPr>
            </w:pPr>
            <w:r>
              <w:rPr>
                <w:rFonts w:ascii="Arial" w:cs="Arial" w:eastAsia="Arial" w:hAnsi="Arial"/>
                <w:sz w:val="22"/>
                <w:szCs w:val="22"/>
                <w:color w:val="auto"/>
              </w:rPr>
              <w:t>307</w:t>
            </w:r>
          </w:p>
        </w:tc>
        <w:tc>
          <w:tcPr>
            <w:tcW w:w="1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rPr>
              <w:t>242</w:t>
            </w:r>
          </w:p>
        </w:tc>
        <w:tc>
          <w:tcPr>
            <w:tcW w:w="1320" w:type="dxa"/>
            <w:vAlign w:val="bottom"/>
            <w:gridSpan w:val="2"/>
            <w:vMerge w:val="restart"/>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2"/>
        </w:trPr>
        <w:tc>
          <w:tcPr>
            <w:tcW w:w="3680" w:type="dxa"/>
            <w:vAlign w:val="bottom"/>
          </w:tcPr>
          <w:p>
            <w:pPr>
              <w:ind w:left="200"/>
              <w:spacing w:after="0"/>
              <w:rPr>
                <w:sz w:val="20"/>
                <w:szCs w:val="20"/>
                <w:color w:val="auto"/>
              </w:rPr>
            </w:pPr>
            <w:r>
              <w:rPr>
                <w:rFonts w:ascii="Arial" w:cs="Arial" w:eastAsia="Arial" w:hAnsi="Arial"/>
                <w:sz w:val="20"/>
                <w:szCs w:val="20"/>
                <w:color w:val="auto"/>
              </w:rPr>
              <w:t>(SG&amp;A)</w:t>
            </w: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680" w:type="dxa"/>
            <w:vAlign w:val="bottom"/>
            <w:shd w:val="clear" w:color="auto" w:fill="CCEEFF"/>
          </w:tcPr>
          <w:p>
            <w:pPr>
              <w:ind w:left="40"/>
              <w:spacing w:after="0"/>
              <w:rPr>
                <w:sz w:val="20"/>
                <w:szCs w:val="20"/>
                <w:color w:val="auto"/>
              </w:rPr>
            </w:pPr>
            <w:r>
              <w:rPr>
                <w:rFonts w:ascii="Arial" w:cs="Arial" w:eastAsia="Arial" w:hAnsi="Arial"/>
                <w:sz w:val="20"/>
                <w:szCs w:val="20"/>
                <w:color w:val="auto"/>
              </w:rPr>
              <w:t>Cost of goods sold (COGS)</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71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11 %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39"/>
        </w:trPr>
        <w:tc>
          <w:tcPr>
            <w:tcW w:w="3680" w:type="dxa"/>
            <w:vAlign w:val="bottom"/>
          </w:tcPr>
          <w:p>
            <w:pPr>
              <w:ind w:left="40"/>
              <w:spacing w:after="0"/>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15"/>
              <w:spacing w:after="0"/>
              <w:rPr>
                <w:sz w:val="20"/>
                <w:szCs w:val="20"/>
                <w:color w:val="auto"/>
              </w:rPr>
            </w:pPr>
            <w:r>
              <w:rPr>
                <w:rFonts w:ascii="Arial" w:cs="Arial" w:eastAsia="Arial" w:hAnsi="Arial"/>
                <w:sz w:val="22"/>
                <w:szCs w:val="22"/>
                <w:color w:val="auto"/>
              </w:rPr>
              <w:t>139</w:t>
            </w:r>
          </w:p>
        </w:tc>
        <w:tc>
          <w:tcPr>
            <w:tcW w:w="1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14"/>
              <w:spacing w:after="0"/>
              <w:rPr>
                <w:sz w:val="20"/>
                <w:szCs w:val="20"/>
                <w:color w:val="auto"/>
              </w:rPr>
            </w:pPr>
            <w:r>
              <w:rPr>
                <w:rFonts w:ascii="Arial" w:cs="Arial" w:eastAsia="Arial" w:hAnsi="Arial"/>
                <w:sz w:val="22"/>
                <w:szCs w:val="22"/>
                <w:color w:val="auto"/>
              </w:rPr>
              <w:t>101</w:t>
            </w:r>
          </w:p>
        </w:tc>
        <w:tc>
          <w:tcPr>
            <w:tcW w:w="1380" w:type="dxa"/>
            <w:vAlign w:val="bottom"/>
            <w:gridSpan w:val="2"/>
            <w:vMerge w:val="restart"/>
          </w:tcPr>
          <w:p>
            <w:pPr>
              <w:jc w:val="right"/>
              <w:spacing w:after="0"/>
              <w:rPr>
                <w:sz w:val="20"/>
                <w:szCs w:val="20"/>
                <w:color w:val="auto"/>
              </w:rPr>
            </w:pPr>
            <w:r>
              <w:rPr>
                <w:rFonts w:ascii="Arial" w:cs="Arial" w:eastAsia="Arial" w:hAnsi="Arial"/>
                <w:sz w:val="22"/>
                <w:szCs w:val="22"/>
                <w:color w:val="auto"/>
              </w:rPr>
              <w:t>38 %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jc w:val="right"/>
              <w:ind w:right="15"/>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0"/>
                <w:szCs w:val="20"/>
                <w:color w:val="auto"/>
              </w:rPr>
            </w:pPr>
          </w:p>
        </w:tc>
        <w:tc>
          <w:tcPr>
            <w:tcW w:w="1200" w:type="dxa"/>
            <w:vAlign w:val="bottom"/>
            <w:vMerge w:val="restart"/>
          </w:tcPr>
          <w:p>
            <w:pPr>
              <w:jc w:val="right"/>
              <w:ind w:right="135"/>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2"/>
        </w:trPr>
        <w:tc>
          <w:tcPr>
            <w:tcW w:w="3680" w:type="dxa"/>
            <w:vAlign w:val="bottom"/>
          </w:tcPr>
          <w:p>
            <w:pPr>
              <w:ind w:left="200"/>
              <w:spacing w:after="0"/>
              <w:rPr>
                <w:sz w:val="20"/>
                <w:szCs w:val="20"/>
                <w:color w:val="auto"/>
              </w:rPr>
            </w:pPr>
            <w:r>
              <w:rPr>
                <w:rFonts w:ascii="Arial" w:cs="Arial" w:eastAsia="Arial" w:hAnsi="Arial"/>
                <w:sz w:val="20"/>
                <w:szCs w:val="20"/>
                <w:color w:val="auto"/>
              </w:rPr>
              <w:t>manufacturing (COCM)</w:t>
            </w: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680" w:type="dxa"/>
            <w:vAlign w:val="bottom"/>
            <w:shd w:val="clear" w:color="auto" w:fill="CCEEFF"/>
          </w:tcPr>
          <w:p>
            <w:pPr>
              <w:ind w:left="4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80" w:hanging="10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GAAP and non-GAAP amounts are equivalent as no non-GAAP adjustments have been recorded</w:t>
      </w:r>
    </w:p>
    <w:p>
      <w:pPr>
        <w:spacing w:after="0" w:line="165" w:lineRule="exact"/>
        <w:rPr>
          <w:rFonts w:ascii="Arial" w:cs="Arial" w:eastAsia="Arial" w:hAnsi="Arial"/>
          <w:sz w:val="14"/>
          <w:szCs w:val="14"/>
          <w:color w:val="auto"/>
        </w:rPr>
      </w:pPr>
    </w:p>
    <w:p>
      <w:pPr>
        <w:ind w:left="660" w:right="100" w:hanging="328"/>
        <w:spacing w:after="0" w:line="246" w:lineRule="auto"/>
        <w:tabs>
          <w:tab w:leader="none" w:pos="6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higher GAAP and non-GAAP R&amp;D expenses in the first quarter of 2020 were principally due to additional costs incurred in connection with our earlier-stage pipeline, higher headcount and headcount-related costs, and an increase in clinical manufacturing activities.</w:t>
      </w:r>
    </w:p>
    <w:p>
      <w:pPr>
        <w:spacing w:after="0" w:line="126" w:lineRule="exact"/>
        <w:rPr>
          <w:rFonts w:ascii="Arial" w:cs="Arial" w:eastAsia="Arial" w:hAnsi="Arial"/>
          <w:sz w:val="22"/>
          <w:szCs w:val="22"/>
          <w:color w:val="auto"/>
        </w:rPr>
      </w:pPr>
    </w:p>
    <w:p>
      <w:pPr>
        <w:ind w:left="660" w:right="220" w:hanging="328"/>
        <w:spacing w:after="0" w:line="245" w:lineRule="auto"/>
        <w:tabs>
          <w:tab w:leader="none" w:pos="6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higher GAAP and non-GAAP SG&amp;A expenses in the first quarter of 2020 were primarily due to higher headcount and headcount-related costs, an increase in commercialization-related expenses for EYLEA, and higher contributions to independent not-for-profit patient assistance organizations. In addition, GAAP SG&amp;A expenses in the</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337" w:right="399" w:bottom="1440" w:gutter="0" w:footer="0" w:header="0"/>
        </w:sectPr>
      </w:pPr>
    </w:p>
    <w:bookmarkStart w:id="8" w:name="page9"/>
    <w:bookmarkEnd w:id="8"/>
    <w:p>
      <w:pPr>
        <w:ind w:left="660" w:right="120"/>
        <w:spacing w:after="0" w:line="225" w:lineRule="auto"/>
        <w:rPr>
          <w:sz w:val="20"/>
          <w:szCs w:val="20"/>
          <w:color w:val="auto"/>
        </w:rPr>
      </w:pPr>
      <w:r>
        <w:rPr>
          <w:rFonts w:ascii="Arial" w:cs="Arial" w:eastAsia="Arial" w:hAnsi="Arial"/>
          <w:sz w:val="22"/>
          <w:szCs w:val="22"/>
          <w:color w:val="auto"/>
        </w:rPr>
        <w:t>first quarter of 2020 increased partly due to additional accruals for loss contingencies associated with ongoing litigation.</w:t>
      </w:r>
    </w:p>
    <w:p>
      <w:pPr>
        <w:spacing w:after="0" w:line="120" w:lineRule="exact"/>
        <w:rPr>
          <w:sz w:val="20"/>
          <w:szCs w:val="20"/>
          <w:color w:val="auto"/>
        </w:rPr>
      </w:pPr>
    </w:p>
    <w:p>
      <w:pPr>
        <w:ind w:left="660" w:right="500" w:hanging="328"/>
        <w:spacing w:after="0" w:line="249"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increase in COCM was primarily due to the recognition of manufacturing costs associated with higher sales of Dupixent and manufacturing costs in connection with our BARDA Ebola agreement.</w:t>
      </w:r>
    </w:p>
    <w:p>
      <w:pPr>
        <w:spacing w:after="0" w:line="123" w:lineRule="exact"/>
        <w:rPr>
          <w:rFonts w:ascii="Arial" w:cs="Arial" w:eastAsia="Arial" w:hAnsi="Arial"/>
          <w:sz w:val="22"/>
          <w:szCs w:val="22"/>
          <w:color w:val="auto"/>
        </w:rPr>
      </w:pPr>
    </w:p>
    <w:p>
      <w:pPr>
        <w:ind w:left="660" w:right="140" w:hanging="328"/>
        <w:spacing w:after="0" w:line="246"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Other operating (income) expense, net, includes recognition of a portion of amounts previously deferred in connection with up-front and development milestone payments, as applicable, received in connection with the Company's collaborative arrangements.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300" w:lineRule="exact"/>
        <w:rPr>
          <w:sz w:val="20"/>
          <w:szCs w:val="20"/>
          <w:color w:val="auto"/>
        </w:rPr>
      </w:pPr>
    </w:p>
    <w:p>
      <w:pPr>
        <w:ind w:right="400"/>
        <w:spacing w:after="0" w:line="249" w:lineRule="auto"/>
        <w:rPr>
          <w:sz w:val="20"/>
          <w:szCs w:val="20"/>
          <w:color w:val="auto"/>
        </w:rPr>
      </w:pPr>
      <w:r>
        <w:rPr>
          <w:rFonts w:ascii="Arial" w:cs="Arial" w:eastAsia="Arial" w:hAnsi="Arial"/>
          <w:sz w:val="22"/>
          <w:szCs w:val="22"/>
          <w:color w:val="auto"/>
        </w:rPr>
        <w:t>GAAP other (expense) income, net, includes the recognition of net losses on equity securities of $57 million in the first quarter of 2020, compared to net gains of $43 million in the first quarter of 2019.</w:t>
      </w:r>
    </w:p>
    <w:p>
      <w:pPr>
        <w:spacing w:after="0" w:line="258" w:lineRule="exact"/>
        <w:rPr>
          <w:sz w:val="20"/>
          <w:szCs w:val="20"/>
          <w:color w:val="auto"/>
        </w:rPr>
      </w:pPr>
    </w:p>
    <w:p>
      <w:pPr>
        <w:ind w:right="180"/>
        <w:spacing w:after="0" w:line="259" w:lineRule="auto"/>
        <w:rPr>
          <w:sz w:val="20"/>
          <w:szCs w:val="20"/>
          <w:color w:val="auto"/>
        </w:rPr>
      </w:pPr>
      <w:r>
        <w:rPr>
          <w:rFonts w:ascii="Arial" w:cs="Arial" w:eastAsia="Arial" w:hAnsi="Arial"/>
          <w:sz w:val="21"/>
          <w:szCs w:val="21"/>
          <w:color w:val="auto"/>
        </w:rPr>
        <w:t>In the first quarter of 2020, the Company's GAAP effective tax rate was 6.6%, compared to 15.6% in the first quarter of 2019. The GAAP effective tax rate for the first quarter of 2020 was positively impacted, compared to the U.S. federal statutory rate, primarily by stock-based compensation, and, to a lesser extent, income earned in foreign jurisdictions with tax rates lower than the U.S. federal statutory rate and federal tax credits for research activities. In the first quarter of 2020, the non-GAAP effective tax rate was 9.5%, compared to 16.0% in the first quarter of 2019.</w:t>
      </w:r>
    </w:p>
    <w:p>
      <w:pPr>
        <w:spacing w:after="0" w:line="250"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GAAP net income per diluted share was $5.43 in the first quarter of 2020, compared to GAAP net income per diluted share of $3.99 in the first quarter of 2019. Non-GAAP net income per diluted share was $6.60 in the first quarter of 2020, compared to non-GAAP net income per diluted share of $4.45 in the first quarter of 2019. A reconciliation of the Company's GAAP to non-GAAP results is included in Table 3 of this press release.</w:t>
      </w:r>
    </w:p>
    <w:p>
      <w:pPr>
        <w:spacing w:after="0" w:line="263"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During the first quarter of 2020, the Company repurchased 719,167 shares of Common Stock under the Company's share repurchase program and recorded the cost of the shares received, or $273 million, as Treasury Stock. As of March 31, 2020, the Company had $473 million which remained available for share repurchases under the original $1.0 billion program.</w:t>
      </w:r>
    </w:p>
    <w:p>
      <w:pPr>
        <w:spacing w:after="0" w:line="263" w:lineRule="exact"/>
        <w:rPr>
          <w:sz w:val="20"/>
          <w:szCs w:val="20"/>
          <w:color w:val="auto"/>
        </w:rPr>
      </w:pPr>
    </w:p>
    <w:p>
      <w:pPr>
        <w:ind w:right="200"/>
        <w:spacing w:after="0" w:line="249" w:lineRule="auto"/>
        <w:rPr>
          <w:sz w:val="20"/>
          <w:szCs w:val="20"/>
          <w:color w:val="auto"/>
        </w:rPr>
      </w:pPr>
      <w:r>
        <w:rPr>
          <w:rFonts w:ascii="Arial" w:cs="Arial" w:eastAsia="Arial" w:hAnsi="Arial"/>
          <w:sz w:val="22"/>
          <w:szCs w:val="22"/>
          <w:color w:val="auto"/>
        </w:rPr>
        <w:t>The Company generated $528 million in free cash flow for the first quarter of 2020, compared to $823 million for the first quarter of 2019.</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03"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2020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2020 financial guidance consists of the following components: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4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1300"/>
              <w:spacing w:after="0"/>
              <w:rPr>
                <w:sz w:val="20"/>
                <w:szCs w:val="20"/>
                <w:color w:val="auto"/>
              </w:rPr>
            </w:pPr>
            <w:r>
              <w:rPr>
                <w:rFonts w:ascii="Arial" w:cs="Arial" w:eastAsia="Arial" w:hAnsi="Arial"/>
                <w:sz w:val="20"/>
                <w:szCs w:val="20"/>
                <w:b w:val="1"/>
                <w:bCs w:val="1"/>
                <w:color w:val="auto"/>
              </w:rPr>
              <w:t>GAAP</w:t>
            </w:r>
          </w:p>
        </w:tc>
        <w:tc>
          <w:tcPr>
            <w:tcW w:w="12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100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r>
      <w:tr>
        <w:trPr>
          <w:trHeight w:val="263"/>
        </w:trPr>
        <w:tc>
          <w:tcPr>
            <w:tcW w:w="2940" w:type="dxa"/>
            <w:vAlign w:val="bottom"/>
            <w:shd w:val="clear" w:color="auto" w:fill="CCEEFF"/>
          </w:tcPr>
          <w:p>
            <w:pPr>
              <w:ind w:left="40"/>
              <w:spacing w:after="0"/>
              <w:rPr>
                <w:sz w:val="20"/>
                <w:szCs w:val="20"/>
                <w:color w:val="auto"/>
              </w:rPr>
            </w:pPr>
            <w:r>
              <w:rPr>
                <w:rFonts w:ascii="Arial" w:cs="Arial" w:eastAsia="Arial" w:hAnsi="Arial"/>
                <w:sz w:val="20"/>
                <w:szCs w:val="20"/>
                <w:color w:val="auto"/>
              </w:rPr>
              <w:t>R&amp;D</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$2.150 billion–$2.310 billion</w:t>
            </w:r>
          </w:p>
        </w:tc>
        <w:tc>
          <w:tcPr>
            <w:tcW w:w="3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$1.900 billion–$2.040 billion</w:t>
            </w:r>
          </w:p>
        </w:tc>
      </w:tr>
      <w:tr>
        <w:trPr>
          <w:trHeight w:val="265"/>
        </w:trPr>
        <w:tc>
          <w:tcPr>
            <w:tcW w:w="2940" w:type="dxa"/>
            <w:vAlign w:val="bottom"/>
          </w:tcPr>
          <w:p>
            <w:pPr>
              <w:ind w:left="40"/>
              <w:spacing w:after="0"/>
              <w:rPr>
                <w:sz w:val="20"/>
                <w:szCs w:val="20"/>
                <w:color w:val="auto"/>
              </w:rPr>
            </w:pPr>
            <w:r>
              <w:rPr>
                <w:rFonts w:ascii="Arial" w:cs="Arial" w:eastAsia="Arial" w:hAnsi="Arial"/>
                <w:sz w:val="20"/>
                <w:szCs w:val="20"/>
                <w:color w:val="auto"/>
              </w:rPr>
              <w:t>SG&amp;A</w:t>
            </w:r>
          </w:p>
        </w:tc>
        <w:tc>
          <w:tcPr>
            <w:tcW w:w="3300" w:type="dxa"/>
            <w:vAlign w:val="bottom"/>
            <w:gridSpan w:val="2"/>
          </w:tcPr>
          <w:p>
            <w:pPr>
              <w:ind w:left="20"/>
              <w:spacing w:after="0"/>
              <w:rPr>
                <w:sz w:val="20"/>
                <w:szCs w:val="20"/>
                <w:color w:val="auto"/>
              </w:rPr>
            </w:pPr>
            <w:r>
              <w:rPr>
                <w:rFonts w:ascii="Arial" w:cs="Arial" w:eastAsia="Arial" w:hAnsi="Arial"/>
                <w:sz w:val="20"/>
                <w:szCs w:val="20"/>
                <w:color w:val="auto"/>
              </w:rPr>
              <w:t>$1.380 billion–$1.500 billion</w:t>
            </w:r>
          </w:p>
        </w:tc>
        <w:tc>
          <w:tcPr>
            <w:tcW w:w="3180" w:type="dxa"/>
            <w:vAlign w:val="bottom"/>
          </w:tcPr>
          <w:p>
            <w:pPr>
              <w:ind w:left="20"/>
              <w:spacing w:after="0"/>
              <w:rPr>
                <w:sz w:val="20"/>
                <w:szCs w:val="20"/>
                <w:color w:val="auto"/>
              </w:rPr>
            </w:pPr>
            <w:r>
              <w:rPr>
                <w:rFonts w:ascii="Arial" w:cs="Arial" w:eastAsia="Arial" w:hAnsi="Arial"/>
                <w:sz w:val="20"/>
                <w:szCs w:val="20"/>
                <w:color w:val="auto"/>
              </w:rPr>
              <w:t>$1.190 billion–$1.290 billion</w:t>
            </w:r>
          </w:p>
        </w:tc>
      </w:tr>
      <w:tr>
        <w:trPr>
          <w:trHeight w:val="275"/>
        </w:trPr>
        <w:tc>
          <w:tcPr>
            <w:tcW w:w="2940" w:type="dxa"/>
            <w:vAlign w:val="bottom"/>
            <w:shd w:val="clear" w:color="auto" w:fill="CCEEFF"/>
          </w:tcPr>
          <w:p>
            <w:pPr>
              <w:ind w:left="40"/>
              <w:spacing w:after="0"/>
              <w:rPr>
                <w:sz w:val="20"/>
                <w:szCs w:val="20"/>
                <w:color w:val="auto"/>
              </w:rPr>
            </w:pPr>
            <w:r>
              <w:rPr>
                <w:rFonts w:ascii="Arial" w:cs="Arial" w:eastAsia="Arial" w:hAnsi="Arial"/>
                <w:sz w:val="20"/>
                <w:szCs w:val="20"/>
                <w:color w:val="auto"/>
              </w:rPr>
              <w:t>COGS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$350 million–$420 million</w:t>
            </w:r>
          </w:p>
        </w:tc>
        <w:tc>
          <w:tcPr>
            <w:tcW w:w="3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$295 million–$355 million</w:t>
            </w:r>
          </w:p>
        </w:tc>
      </w:tr>
      <w:tr>
        <w:trPr>
          <w:trHeight w:val="270"/>
        </w:trPr>
        <w:tc>
          <w:tcPr>
            <w:tcW w:w="2940" w:type="dxa"/>
            <w:vAlign w:val="bottom"/>
          </w:tcPr>
          <w:p>
            <w:pPr>
              <w:ind w:left="4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(5)</w:t>
            </w:r>
          </w:p>
        </w:tc>
        <w:tc>
          <w:tcPr>
            <w:tcW w:w="3300" w:type="dxa"/>
            <w:vAlign w:val="bottom"/>
            <w:gridSpan w:val="2"/>
          </w:tcPr>
          <w:p>
            <w:pPr>
              <w:ind w:left="20"/>
              <w:spacing w:after="0"/>
              <w:rPr>
                <w:sz w:val="20"/>
                <w:szCs w:val="20"/>
                <w:color w:val="auto"/>
              </w:rPr>
            </w:pPr>
            <w:r>
              <w:rPr>
                <w:rFonts w:ascii="Arial" w:cs="Arial" w:eastAsia="Arial" w:hAnsi="Arial"/>
                <w:sz w:val="20"/>
                <w:szCs w:val="20"/>
                <w:color w:val="auto"/>
              </w:rPr>
              <w:t>$600 million–$700 million</w:t>
            </w:r>
          </w:p>
        </w:tc>
        <w:tc>
          <w:tcPr>
            <w:tcW w:w="3180" w:type="dxa"/>
            <w:vAlign w:val="bottom"/>
          </w:tcPr>
          <w:p>
            <w:pPr>
              <w:ind w:left="20"/>
              <w:spacing w:after="0"/>
              <w:rPr>
                <w:sz w:val="20"/>
                <w:szCs w:val="20"/>
                <w:color w:val="auto"/>
              </w:rPr>
            </w:pPr>
            <w:r>
              <w:rPr>
                <w:rFonts w:ascii="Arial" w:cs="Arial" w:eastAsia="Arial" w:hAnsi="Arial"/>
                <w:sz w:val="20"/>
                <w:szCs w:val="20"/>
                <w:color w:val="auto"/>
              </w:rPr>
              <w:t>*</w:t>
            </w:r>
          </w:p>
        </w:tc>
      </w:tr>
      <w:tr>
        <w:trPr>
          <w:trHeight w:val="239"/>
        </w:trPr>
        <w:tc>
          <w:tcPr>
            <w:tcW w:w="2940" w:type="dxa"/>
            <w:vAlign w:val="bottom"/>
            <w:shd w:val="clear" w:color="auto" w:fill="CCEEFF"/>
          </w:tcPr>
          <w:p>
            <w:pPr>
              <w:ind w:left="40"/>
              <w:spacing w:after="0"/>
              <w:rPr>
                <w:sz w:val="20"/>
                <w:szCs w:val="20"/>
                <w:color w:val="auto"/>
              </w:rPr>
            </w:pPr>
            <w:r>
              <w:rPr>
                <w:rFonts w:ascii="Arial" w:cs="Arial" w:eastAsia="Arial" w:hAnsi="Arial"/>
                <w:sz w:val="20"/>
                <w:szCs w:val="20"/>
                <w:color w:val="auto"/>
              </w:rPr>
              <w:t>Other operating (income)</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($175) million–($205) million</w:t>
            </w:r>
          </w:p>
        </w:tc>
        <w:tc>
          <w:tcPr>
            <w:tcW w:w="3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r>
      <w:tr>
        <w:trPr>
          <w:trHeight w:val="247"/>
        </w:trPr>
        <w:tc>
          <w:tcPr>
            <w:tcW w:w="2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expense, net</w:t>
            </w:r>
          </w:p>
        </w:tc>
        <w:tc>
          <w:tcPr>
            <w:tcW w:w="3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r>
      <w:tr>
        <w:trPr>
          <w:trHeight w:val="219"/>
        </w:trPr>
        <w:tc>
          <w:tcPr>
            <w:tcW w:w="2940" w:type="dxa"/>
            <w:vAlign w:val="bottom"/>
          </w:tcPr>
          <w:p>
            <w:pPr>
              <w:ind w:left="40"/>
              <w:spacing w:after="0" w:line="219" w:lineRule="exact"/>
              <w:rPr>
                <w:sz w:val="20"/>
                <w:szCs w:val="20"/>
                <w:color w:val="auto"/>
              </w:rPr>
            </w:pPr>
            <w:r>
              <w:rPr>
                <w:rFonts w:ascii="Arial" w:cs="Arial" w:eastAsia="Arial" w:hAnsi="Arial"/>
                <w:sz w:val="20"/>
                <w:szCs w:val="20"/>
                <w:color w:val="auto"/>
              </w:rPr>
              <w:t>Capital expenditures</w:t>
            </w:r>
          </w:p>
        </w:tc>
        <w:tc>
          <w:tcPr>
            <w:tcW w:w="3300" w:type="dxa"/>
            <w:vAlign w:val="bottom"/>
            <w:gridSpan w:val="2"/>
          </w:tcPr>
          <w:p>
            <w:pPr>
              <w:ind w:left="20"/>
              <w:spacing w:after="0" w:line="219" w:lineRule="exact"/>
              <w:rPr>
                <w:sz w:val="20"/>
                <w:szCs w:val="20"/>
                <w:color w:val="auto"/>
              </w:rPr>
            </w:pPr>
            <w:r>
              <w:rPr>
                <w:rFonts w:ascii="Arial" w:cs="Arial" w:eastAsia="Arial" w:hAnsi="Arial"/>
                <w:sz w:val="20"/>
                <w:szCs w:val="20"/>
                <w:color w:val="auto"/>
              </w:rPr>
              <w:t>$510 million–$590 million</w:t>
            </w:r>
          </w:p>
        </w:tc>
        <w:tc>
          <w:tcPr>
            <w:tcW w:w="3180" w:type="dxa"/>
            <w:vAlign w:val="bottom"/>
          </w:tcPr>
          <w:p>
            <w:pPr>
              <w:ind w:left="20"/>
              <w:spacing w:after="0" w:line="219" w:lineRule="exact"/>
              <w:rPr>
                <w:sz w:val="20"/>
                <w:szCs w:val="20"/>
                <w:color w:val="auto"/>
              </w:rPr>
            </w:pPr>
            <w:r>
              <w:rPr>
                <w:rFonts w:ascii="Arial" w:cs="Arial" w:eastAsia="Arial" w:hAnsi="Arial"/>
                <w:sz w:val="20"/>
                <w:szCs w:val="20"/>
                <w:color w:val="auto"/>
              </w:rPr>
              <w:t>*</w:t>
            </w:r>
          </w:p>
        </w:tc>
      </w:tr>
      <w:tr>
        <w:trPr>
          <w:trHeight w:val="216"/>
        </w:trPr>
        <w:tc>
          <w:tcPr>
            <w:tcW w:w="2940" w:type="dxa"/>
            <w:vAlign w:val="bottom"/>
          </w:tcPr>
          <w:p>
            <w:pPr>
              <w:spacing w:after="0"/>
              <w:rPr>
                <w:sz w:val="18"/>
                <w:szCs w:val="18"/>
                <w:color w:val="auto"/>
              </w:rPr>
            </w:pPr>
          </w:p>
        </w:tc>
        <w:tc>
          <w:tcPr>
            <w:tcW w:w="3300" w:type="dxa"/>
            <w:vAlign w:val="bottom"/>
            <w:gridSpan w:val="2"/>
          </w:tcPr>
          <w:p>
            <w:pPr>
              <w:ind w:left="20"/>
              <w:spacing w:after="0" w:line="216" w:lineRule="exact"/>
              <w:rPr>
                <w:sz w:val="20"/>
                <w:szCs w:val="20"/>
                <w:color w:val="auto"/>
              </w:rPr>
            </w:pPr>
            <w:r>
              <w:rPr>
                <w:rFonts w:ascii="Arial" w:cs="Arial" w:eastAsia="Arial" w:hAnsi="Arial"/>
                <w:sz w:val="20"/>
                <w:szCs w:val="20"/>
                <w:i w:val="1"/>
                <w:iCs w:val="1"/>
                <w:color w:val="auto"/>
              </w:rPr>
              <w:t>(previously $520 million–$620</w:t>
            </w:r>
          </w:p>
        </w:tc>
        <w:tc>
          <w:tcPr>
            <w:tcW w:w="3180" w:type="dxa"/>
            <w:vAlign w:val="bottom"/>
          </w:tcPr>
          <w:p>
            <w:pPr>
              <w:spacing w:after="0"/>
              <w:rPr>
                <w:sz w:val="18"/>
                <w:szCs w:val="18"/>
                <w:color w:val="auto"/>
              </w:rPr>
            </w:pPr>
          </w:p>
        </w:tc>
      </w:tr>
      <w:tr>
        <w:trPr>
          <w:trHeight w:val="262"/>
        </w:trPr>
        <w:tc>
          <w:tcPr>
            <w:tcW w:w="2940" w:type="dxa"/>
            <w:vAlign w:val="bottom"/>
          </w:tcPr>
          <w:p>
            <w:pPr>
              <w:spacing w:after="0"/>
              <w:rPr>
                <w:sz w:val="22"/>
                <w:szCs w:val="22"/>
                <w:color w:val="auto"/>
              </w:rPr>
            </w:pPr>
          </w:p>
        </w:tc>
        <w:tc>
          <w:tcPr>
            <w:tcW w:w="3300" w:type="dxa"/>
            <w:vAlign w:val="bottom"/>
            <w:gridSpan w:val="2"/>
          </w:tcPr>
          <w:p>
            <w:pPr>
              <w:ind w:left="20"/>
              <w:spacing w:after="0"/>
              <w:rPr>
                <w:sz w:val="20"/>
                <w:szCs w:val="20"/>
                <w:color w:val="auto"/>
              </w:rPr>
            </w:pPr>
            <w:r>
              <w:rPr>
                <w:rFonts w:ascii="Arial" w:cs="Arial" w:eastAsia="Arial" w:hAnsi="Arial"/>
                <w:sz w:val="20"/>
                <w:szCs w:val="20"/>
                <w:i w:val="1"/>
                <w:iCs w:val="1"/>
                <w:color w:val="auto"/>
              </w:rPr>
              <w:t>million)</w:t>
            </w:r>
          </w:p>
        </w:tc>
        <w:tc>
          <w:tcPr>
            <w:tcW w:w="3180" w:type="dxa"/>
            <w:vAlign w:val="bottom"/>
          </w:tcPr>
          <w:p>
            <w:pPr>
              <w:spacing w:after="0"/>
              <w:rPr>
                <w:sz w:val="22"/>
                <w:szCs w:val="22"/>
                <w:color w:val="auto"/>
              </w:rPr>
            </w:pPr>
          </w:p>
        </w:tc>
      </w:tr>
      <w:tr>
        <w:trPr>
          <w:trHeight w:val="275"/>
        </w:trPr>
        <w:tc>
          <w:tcPr>
            <w:tcW w:w="2940" w:type="dxa"/>
            <w:vAlign w:val="bottom"/>
            <w:shd w:val="clear" w:color="auto" w:fill="CCEEFF"/>
          </w:tcPr>
          <w:p>
            <w:pPr>
              <w:ind w:left="40"/>
              <w:spacing w:after="0"/>
              <w:rPr>
                <w:sz w:val="20"/>
                <w:szCs w:val="20"/>
                <w:color w:val="auto"/>
              </w:rPr>
            </w:pPr>
            <w:r>
              <w:rPr>
                <w:rFonts w:ascii="Arial" w:cs="Arial" w:eastAsia="Arial" w:hAnsi="Arial"/>
                <w:sz w:val="20"/>
                <w:szCs w:val="20"/>
                <w:color w:val="auto"/>
              </w:rPr>
              <w:t>Effective tax rate (ETR)</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10–12%</w:t>
            </w:r>
          </w:p>
        </w:tc>
        <w:tc>
          <w:tcPr>
            <w:tcW w:w="3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12–14%</w:t>
            </w:r>
          </w:p>
        </w:tc>
      </w:tr>
    </w:tbl>
    <w:p>
      <w:pPr>
        <w:spacing w:after="0" w:line="1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GAAP and non-GAAP amounts are equivalent as no non-GAAP adjustments have been or are expected to be recorded.</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full year 2020 GAAP to Non-GAAP financial guidance is included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20"/>
                <w:szCs w:val="20"/>
                <w:b w:val="1"/>
                <w:bCs w:val="1"/>
                <w:color w:val="auto"/>
              </w:rPr>
              <w:t>Projected Range</w:t>
            </w:r>
          </w:p>
        </w:tc>
      </w:tr>
      <w:tr>
        <w:trPr>
          <w:trHeight w:val="266"/>
        </w:trPr>
        <w:tc>
          <w:tcPr>
            <w:tcW w:w="462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(In millions)</w:t>
            </w:r>
          </w:p>
        </w:tc>
        <w:tc>
          <w:tcPr>
            <w:tcW w:w="380" w:type="dxa"/>
            <w:vAlign w:val="bottom"/>
          </w:tcPr>
          <w:p>
            <w:pPr>
              <w:spacing w:after="0"/>
              <w:rPr>
                <w:sz w:val="23"/>
                <w:szCs w:val="23"/>
                <w:color w:val="auto"/>
              </w:rPr>
            </w:pPr>
          </w:p>
        </w:tc>
        <w:tc>
          <w:tcPr>
            <w:tcW w:w="1380" w:type="dxa"/>
            <w:vAlign w:val="bottom"/>
            <w:gridSpan w:val="2"/>
          </w:tcPr>
          <w:p>
            <w:pPr>
              <w:ind w:left="260"/>
              <w:spacing w:after="0"/>
              <w:rPr>
                <w:sz w:val="20"/>
                <w:szCs w:val="20"/>
                <w:color w:val="auto"/>
              </w:rPr>
            </w:pPr>
            <w:r>
              <w:rPr>
                <w:rFonts w:ascii="Arial" w:cs="Arial" w:eastAsia="Arial" w:hAnsi="Arial"/>
                <w:sz w:val="20"/>
                <w:szCs w:val="20"/>
                <w:b w:val="1"/>
                <w:bCs w:val="1"/>
                <w:color w:val="auto"/>
              </w:rPr>
              <w:t>Low</w:t>
            </w:r>
          </w:p>
        </w:tc>
        <w:tc>
          <w:tcPr>
            <w:tcW w:w="380" w:type="dxa"/>
            <w:vAlign w:val="bottom"/>
          </w:tcPr>
          <w:p>
            <w:pPr>
              <w:spacing w:after="0"/>
              <w:rPr>
                <w:sz w:val="23"/>
                <w:szCs w:val="23"/>
                <w:color w:val="auto"/>
              </w:rPr>
            </w:pPr>
          </w:p>
        </w:tc>
        <w:tc>
          <w:tcPr>
            <w:tcW w:w="1260" w:type="dxa"/>
            <w:vAlign w:val="bottom"/>
          </w:tcPr>
          <w:p>
            <w:pPr>
              <w:jc w:val="right"/>
              <w:ind w:right="501"/>
              <w:spacing w:after="0"/>
              <w:rPr>
                <w:sz w:val="20"/>
                <w:szCs w:val="20"/>
                <w:color w:val="auto"/>
              </w:rPr>
            </w:pPr>
            <w:r>
              <w:rPr>
                <w:rFonts w:ascii="Arial" w:cs="Arial" w:eastAsia="Arial" w:hAnsi="Arial"/>
                <w:sz w:val="20"/>
                <w:szCs w:val="20"/>
                <w:b w:val="1"/>
                <w:bCs w:val="1"/>
                <w:color w:val="auto"/>
              </w:rPr>
              <w:t>High</w:t>
            </w:r>
          </w:p>
        </w:tc>
      </w:tr>
      <w:tr>
        <w:trPr>
          <w:trHeight w:val="268"/>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R&amp;D</w:t>
            </w:r>
          </w:p>
        </w:tc>
        <w:tc>
          <w:tcPr>
            <w:tcW w:w="3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20"/>
                <w:szCs w:val="20"/>
                <w:color w:val="auto"/>
              </w:rPr>
              <w:t>2,150</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2,310</w:t>
            </w:r>
          </w:p>
        </w:tc>
      </w:tr>
      <w:tr>
        <w:trPr>
          <w:trHeight w:val="239"/>
        </w:trPr>
        <w:tc>
          <w:tcPr>
            <w:tcW w:w="4620" w:type="dxa"/>
            <w:vAlign w:val="bottom"/>
          </w:tcPr>
          <w:p>
            <w:pPr>
              <w:ind w:left="280"/>
              <w:spacing w:after="0"/>
              <w:rPr>
                <w:sz w:val="20"/>
                <w:szCs w:val="20"/>
                <w:color w:val="auto"/>
              </w:rPr>
            </w:pPr>
            <w:r>
              <w:rPr>
                <w:rFonts w:ascii="Arial" w:cs="Arial" w:eastAsia="Arial" w:hAnsi="Arial"/>
                <w:sz w:val="20"/>
                <w:szCs w:val="20"/>
                <w:color w:val="auto"/>
              </w:rPr>
              <w:t>R&amp;D: Non-cash share-based compensation</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2"/>
        </w:trPr>
        <w:tc>
          <w:tcPr>
            <w:tcW w:w="4620" w:type="dxa"/>
            <w:vAlign w:val="bottom"/>
            <w:tcBorders>
              <w:bottom w:val="single" w:sz="8" w:color="CCEEFF"/>
            </w:tcBorders>
          </w:tcPr>
          <w:p>
            <w:pPr>
              <w:ind w:left="440"/>
              <w:spacing w:after="0"/>
              <w:rPr>
                <w:sz w:val="20"/>
                <w:szCs w:val="20"/>
                <w:color w:val="auto"/>
              </w:rPr>
            </w:pPr>
            <w:r>
              <w:rPr>
                <w:rFonts w:ascii="Arial" w:cs="Arial" w:eastAsia="Arial" w:hAnsi="Arial"/>
                <w:sz w:val="20"/>
                <w:szCs w:val="20"/>
                <w:color w:val="auto"/>
              </w:rPr>
              <w:t>expense</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(250)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(270)</w:t>
            </w:r>
          </w:p>
        </w:tc>
      </w:tr>
      <w:tr>
        <w:trPr>
          <w:trHeight w:val="263"/>
        </w:trPr>
        <w:tc>
          <w:tcPr>
            <w:tcW w:w="4620" w:type="dxa"/>
            <w:vAlign w:val="bottom"/>
            <w:shd w:val="clear" w:color="auto" w:fill="CCEEFF"/>
          </w:tcPr>
          <w:p>
            <w:pPr>
              <w:ind w:left="40"/>
              <w:spacing w:after="0"/>
              <w:rPr>
                <w:sz w:val="20"/>
                <w:szCs w:val="20"/>
                <w:color w:val="auto"/>
              </w:rPr>
            </w:pPr>
            <w:r>
              <w:rPr>
                <w:rFonts w:ascii="Arial" w:cs="Arial" w:eastAsia="Arial" w:hAnsi="Arial"/>
                <w:sz w:val="20"/>
                <w:szCs w:val="20"/>
                <w:color w:val="auto"/>
              </w:rPr>
              <w:t>Non-GAAP R&amp;D</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20"/>
                <w:szCs w:val="20"/>
                <w:color w:val="auto"/>
              </w:rPr>
              <w:t>1,900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2,040</w:t>
            </w:r>
          </w:p>
        </w:tc>
      </w:tr>
      <w:tr>
        <w:trPr>
          <w:trHeight w:val="322"/>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20"/>
                <w:szCs w:val="20"/>
                <w:color w:val="auto"/>
              </w:rPr>
              <w:t>GAAP SG&amp;A</w:t>
            </w: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1,380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1,500</w:t>
            </w:r>
          </w:p>
        </w:tc>
      </w:tr>
      <w:tr>
        <w:trPr>
          <w:trHeight w:val="239"/>
        </w:trPr>
        <w:tc>
          <w:tcPr>
            <w:tcW w:w="4620" w:type="dxa"/>
            <w:vAlign w:val="bottom"/>
          </w:tcPr>
          <w:p>
            <w:pPr>
              <w:ind w:left="280"/>
              <w:spacing w:after="0"/>
              <w:rPr>
                <w:sz w:val="20"/>
                <w:szCs w:val="20"/>
                <w:color w:val="auto"/>
              </w:rPr>
            </w:pPr>
            <w:r>
              <w:rPr>
                <w:rFonts w:ascii="Arial" w:cs="Arial" w:eastAsia="Arial" w:hAnsi="Arial"/>
                <w:sz w:val="20"/>
                <w:szCs w:val="20"/>
                <w:color w:val="auto"/>
              </w:rPr>
              <w:t>SG&amp;A: Non-cash share-based compensation</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2"/>
        </w:trPr>
        <w:tc>
          <w:tcPr>
            <w:tcW w:w="4620" w:type="dxa"/>
            <w:vAlign w:val="bottom"/>
          </w:tcPr>
          <w:p>
            <w:pPr>
              <w:ind w:left="440"/>
              <w:spacing w:after="0"/>
              <w:rPr>
                <w:sz w:val="20"/>
                <w:szCs w:val="20"/>
                <w:color w:val="auto"/>
              </w:rPr>
            </w:pPr>
            <w:r>
              <w:rPr>
                <w:rFonts w:ascii="Arial" w:cs="Arial" w:eastAsia="Arial" w:hAnsi="Arial"/>
                <w:sz w:val="20"/>
                <w:szCs w:val="20"/>
                <w:color w:val="auto"/>
              </w:rPr>
              <w:t>expense</w:t>
            </w:r>
          </w:p>
        </w:tc>
        <w:tc>
          <w:tcPr>
            <w:tcW w:w="38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20"/>
                <w:szCs w:val="20"/>
                <w:color w:val="auto"/>
              </w:rPr>
              <w:t>(160)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(180)</w:t>
            </w: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SG&amp;A: Litigation contingencies and other</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20"/>
                <w:szCs w:val="20"/>
                <w:color w:val="auto"/>
              </w:rPr>
              <w:t>(30)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(30)</w:t>
            </w:r>
          </w:p>
        </w:tc>
      </w:tr>
      <w:tr>
        <w:trPr>
          <w:trHeight w:val="26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Non-GAAP SG&amp;A</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1,190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1,290</w:t>
            </w:r>
          </w:p>
        </w:tc>
      </w:tr>
      <w:tr>
        <w:trPr>
          <w:trHeight w:val="322"/>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5"/>
        </w:trPr>
        <w:tc>
          <w:tcPr>
            <w:tcW w:w="4620" w:type="dxa"/>
            <w:vAlign w:val="bottom"/>
          </w:tcPr>
          <w:p>
            <w:pPr>
              <w:ind w:left="40"/>
              <w:spacing w:after="0"/>
              <w:rPr>
                <w:sz w:val="20"/>
                <w:szCs w:val="20"/>
                <w:color w:val="auto"/>
              </w:rPr>
            </w:pPr>
            <w:r>
              <w:rPr>
                <w:rFonts w:ascii="Arial" w:cs="Arial" w:eastAsia="Arial" w:hAnsi="Arial"/>
                <w:sz w:val="20"/>
                <w:szCs w:val="20"/>
                <w:color w:val="auto"/>
              </w:rPr>
              <w:t>GAAP COGS</w:t>
            </w: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22"/>
              <w:spacing w:after="0"/>
              <w:rPr>
                <w:sz w:val="20"/>
                <w:szCs w:val="20"/>
                <w:color w:val="auto"/>
              </w:rPr>
            </w:pPr>
            <w:r>
              <w:rPr>
                <w:rFonts w:ascii="Arial" w:cs="Arial" w:eastAsia="Arial" w:hAnsi="Arial"/>
                <w:sz w:val="20"/>
                <w:szCs w:val="20"/>
                <w:color w:val="auto"/>
              </w:rPr>
              <w:t>350</w:t>
            </w:r>
          </w:p>
        </w:tc>
        <w:tc>
          <w:tcPr>
            <w:tcW w:w="100" w:type="dxa"/>
            <w:vAlign w:val="bottom"/>
          </w:tcPr>
          <w:p>
            <w:pPr>
              <w:spacing w:after="0"/>
              <w:rPr>
                <w:sz w:val="23"/>
                <w:szCs w:val="23"/>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420</w:t>
            </w:r>
          </w:p>
        </w:tc>
      </w:tr>
      <w:tr>
        <w:trPr>
          <w:trHeight w:val="244"/>
        </w:trPr>
        <w:tc>
          <w:tcPr>
            <w:tcW w:w="46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COGS: Non-cash share-based compensation</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2"/>
        </w:trPr>
        <w:tc>
          <w:tcPr>
            <w:tcW w:w="46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expense</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20"/>
                <w:szCs w:val="20"/>
                <w:color w:val="auto"/>
              </w:rPr>
              <w:t>(55)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(65)</w:t>
            </w:r>
          </w:p>
        </w:tc>
      </w:tr>
      <w:tr>
        <w:trPr>
          <w:trHeight w:val="26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Non-GAAP COGS</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295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355</w:t>
            </w:r>
          </w:p>
        </w:tc>
      </w:tr>
      <w:tr>
        <w:trPr>
          <w:trHeight w:val="322"/>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5"/>
        </w:trPr>
        <w:tc>
          <w:tcPr>
            <w:tcW w:w="4620" w:type="dxa"/>
            <w:vAlign w:val="bottom"/>
          </w:tcPr>
          <w:p>
            <w:pPr>
              <w:ind w:left="40"/>
              <w:spacing w:after="0"/>
              <w:rPr>
                <w:sz w:val="20"/>
                <w:szCs w:val="20"/>
                <w:color w:val="auto"/>
              </w:rPr>
            </w:pPr>
            <w:r>
              <w:rPr>
                <w:rFonts w:ascii="Arial" w:cs="Arial" w:eastAsia="Arial" w:hAnsi="Arial"/>
                <w:sz w:val="20"/>
                <w:szCs w:val="20"/>
                <w:color w:val="auto"/>
              </w:rPr>
              <w:t>GAAP ETR</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44"/>
        </w:trPr>
        <w:tc>
          <w:tcPr>
            <w:tcW w:w="46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Income tax effect of GAAP to non-GAAP</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7"/>
        </w:trPr>
        <w:tc>
          <w:tcPr>
            <w:tcW w:w="4620" w:type="dxa"/>
            <w:vAlign w:val="bottom"/>
            <w:shd w:val="clear" w:color="auto" w:fill="CCEEFF"/>
          </w:tcPr>
          <w:p>
            <w:pPr>
              <w:ind w:left="440"/>
              <w:spacing w:after="0"/>
              <w:rPr>
                <w:sz w:val="20"/>
                <w:szCs w:val="20"/>
                <w:color w:val="auto"/>
              </w:rPr>
            </w:pPr>
            <w:r>
              <w:rPr>
                <w:rFonts w:ascii="Arial" w:cs="Arial" w:eastAsia="Arial" w:hAnsi="Arial"/>
                <w:sz w:val="20"/>
                <w:szCs w:val="20"/>
                <w:color w:val="auto"/>
              </w:rPr>
              <w:t>reconciling items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r>
      <w:tr>
        <w:trPr>
          <w:trHeight w:val="265"/>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Other</w:t>
            </w: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63"/>
        </w:trPr>
        <w:tc>
          <w:tcPr>
            <w:tcW w:w="4620" w:type="dxa"/>
            <w:vAlign w:val="bottom"/>
            <w:shd w:val="clear" w:color="auto" w:fill="CCEEFF"/>
          </w:tcPr>
          <w:p>
            <w:pPr>
              <w:ind w:left="40"/>
              <w:spacing w:after="0"/>
              <w:rPr>
                <w:sz w:val="20"/>
                <w:szCs w:val="20"/>
                <w:color w:val="auto"/>
              </w:rPr>
            </w:pPr>
            <w:r>
              <w:rPr>
                <w:rFonts w:ascii="Arial" w:cs="Arial" w:eastAsia="Arial" w:hAnsi="Arial"/>
                <w:sz w:val="20"/>
                <w:szCs w:val="20"/>
                <w:color w:val="auto"/>
              </w:rPr>
              <w:t>Non-GAAP ETR</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w:t>
            </w:r>
          </w:p>
        </w:tc>
      </w:tr>
      <w:tr>
        <w:trPr>
          <w:trHeight w:val="660"/>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2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39"/>
          </w:cols>
          <w:pgMar w:left="320" w:top="336" w:right="1440" w:bottom="1440" w:gutter="0" w:footer="0" w:header="0"/>
        </w:sectPr>
      </w:pPr>
    </w:p>
    <w:bookmarkStart w:id="10" w:name="page11"/>
    <w:bookmarkEnd w:id="10"/>
    <w:p>
      <w:pPr>
        <w:ind w:left="345" w:right="220" w:hanging="345"/>
        <w:spacing w:after="0" w:line="225" w:lineRule="auto"/>
        <w:tabs>
          <w:tab w:leader="none" w:pos="345" w:val="left"/>
        </w:tabs>
        <w:numPr>
          <w:ilvl w:val="0"/>
          <w:numId w:val="14"/>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press release uses non-GAAP R&amp;D, non-GAAP SG&amp;A, non-GAAP COGS, non-GAAP effective tax rate,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w:t>
      </w:r>
    </w:p>
    <w:p>
      <w:pPr>
        <w:spacing w:after="0" w:line="196" w:lineRule="exact"/>
        <w:rPr>
          <w:rFonts w:ascii="Arial" w:cs="Arial" w:eastAsia="Arial" w:hAnsi="Arial"/>
          <w:sz w:val="22"/>
          <w:szCs w:val="22"/>
          <w:color w:val="auto"/>
          <w:vertAlign w:val="superscript"/>
        </w:rPr>
      </w:pPr>
    </w:p>
    <w:p>
      <w:pPr>
        <w:ind w:left="345" w:right="20"/>
        <w:spacing w:after="0" w:line="226"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restructuring-related expenses, including employee separation costs).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67" w:lineRule="exact"/>
        <w:rPr>
          <w:rFonts w:ascii="Arial" w:cs="Arial" w:eastAsia="Arial" w:hAnsi="Arial"/>
          <w:sz w:val="22"/>
          <w:szCs w:val="22"/>
          <w:color w:val="auto"/>
          <w:vertAlign w:val="superscript"/>
        </w:rPr>
      </w:pPr>
    </w:p>
    <w:p>
      <w:pPr>
        <w:ind w:left="345" w:hanging="345"/>
        <w:spacing w:after="0" w:line="225" w:lineRule="auto"/>
        <w:tabs>
          <w:tab w:leader="none" w:pos="345" w:val="left"/>
        </w:tabs>
        <w:numPr>
          <w:ilvl w:val="0"/>
          <w:numId w:val="14"/>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155" w:lineRule="exact"/>
        <w:rPr>
          <w:rFonts w:ascii="Arial" w:cs="Arial" w:eastAsia="Arial" w:hAnsi="Arial"/>
          <w:sz w:val="22"/>
          <w:szCs w:val="22"/>
          <w:color w:val="auto"/>
          <w:vertAlign w:val="superscript"/>
        </w:rPr>
      </w:pPr>
    </w:p>
    <w:p>
      <w:pPr>
        <w:ind w:left="345" w:right="860" w:hanging="345"/>
        <w:spacing w:after="0" w:line="225" w:lineRule="auto"/>
        <w:tabs>
          <w:tab w:leader="none" w:pos="345" w:val="left"/>
        </w:tabs>
        <w:numPr>
          <w:ilvl w:val="0"/>
          <w:numId w:val="14"/>
        </w:numPr>
        <w:rPr>
          <w:rFonts w:ascii="Arial" w:cs="Arial" w:eastAsia="Arial" w:hAnsi="Arial"/>
          <w:sz w:val="22"/>
          <w:szCs w:val="22"/>
          <w:color w:val="auto"/>
          <w:vertAlign w:val="superscript"/>
        </w:rPr>
      </w:pPr>
      <w:r>
        <w:rPr>
          <w:rFonts w:ascii="Arial" w:cs="Arial" w:eastAsia="Arial" w:hAnsi="Arial"/>
          <w:sz w:val="20"/>
          <w:szCs w:val="20"/>
          <w:color w:val="auto"/>
        </w:rPr>
        <w:t>The Company's 2020 financial guidance does not assume the completion of any significant business development transactions not completed as of the date of this press release.</w:t>
      </w:r>
    </w:p>
    <w:p>
      <w:pPr>
        <w:spacing w:after="0" w:line="154" w:lineRule="exact"/>
        <w:rPr>
          <w:rFonts w:ascii="Arial" w:cs="Arial" w:eastAsia="Arial" w:hAnsi="Arial"/>
          <w:sz w:val="22"/>
          <w:szCs w:val="22"/>
          <w:color w:val="auto"/>
          <w:vertAlign w:val="superscript"/>
        </w:rPr>
      </w:pPr>
    </w:p>
    <w:p>
      <w:pPr>
        <w:ind w:left="345" w:right="180" w:hanging="345"/>
        <w:spacing w:after="0" w:line="237" w:lineRule="auto"/>
        <w:tabs>
          <w:tab w:leader="none" w:pos="345" w:val="left"/>
        </w:tabs>
        <w:numPr>
          <w:ilvl w:val="0"/>
          <w:numId w:val="14"/>
        </w:numPr>
        <w:rPr>
          <w:rFonts w:ascii="Arial" w:cs="Arial" w:eastAsia="Arial" w:hAnsi="Arial"/>
          <w:sz w:val="21"/>
          <w:szCs w:val="21"/>
          <w:color w:val="auto"/>
          <w:vertAlign w:val="superscript"/>
        </w:rPr>
      </w:pPr>
      <w:r>
        <w:rPr>
          <w:rFonts w:ascii="Arial" w:cs="Arial" w:eastAsia="Arial" w:hAnsi="Arial"/>
          <w:sz w:val="19"/>
          <w:szCs w:val="19"/>
          <w:color w:val="auto"/>
        </w:rPr>
        <w:t>Applicable amounts previously reported for the three months ended March 31, 2019 and as of December 31, 2019 have been revised to reflect a change in presentation of cost reimbursements from collaborators who are not deemed to be the Company's customers from collaboration revenue to a reduction of the corresponding operating expense. The Company also changed the presentation of amounts recognized in connection with up-front and development milestone payments received from collaboration revenue to Other operating income, as well as the presentation of the corresponding balance sheet accounts. The revisions were reclassifications only and had no impact on the Company's previously reported GAAP and non-GAAP net income and net income per share. Refer to the Company's Form 10-Q for the quarterly period ended March 31, 2020 (Note 1 of the Notes to Condensed Consolidated Financial Statements) for further details.</w:t>
      </w:r>
    </w:p>
    <w:p>
      <w:pPr>
        <w:spacing w:after="0" w:line="154" w:lineRule="exact"/>
        <w:rPr>
          <w:rFonts w:ascii="Arial" w:cs="Arial" w:eastAsia="Arial" w:hAnsi="Arial"/>
          <w:sz w:val="21"/>
          <w:szCs w:val="21"/>
          <w:color w:val="auto"/>
          <w:vertAlign w:val="superscript"/>
        </w:rPr>
      </w:pPr>
    </w:p>
    <w:p>
      <w:pPr>
        <w:ind w:left="345" w:right="180" w:hanging="345"/>
        <w:spacing w:after="0" w:line="225" w:lineRule="auto"/>
        <w:tabs>
          <w:tab w:leader="none" w:pos="345" w:val="left"/>
        </w:tabs>
        <w:numPr>
          <w:ilvl w:val="0"/>
          <w:numId w:val="14"/>
        </w:numPr>
        <w:rPr>
          <w:rFonts w:ascii="Arial" w:cs="Arial" w:eastAsia="Arial" w:hAnsi="Arial"/>
          <w:sz w:val="22"/>
          <w:szCs w:val="22"/>
          <w:color w:val="auto"/>
          <w:vertAlign w:val="superscript"/>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5"/>
          </w:cols>
          <w:pgMar w:left="355" w:top="784" w:right="3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Regeneron will host a conference call and simultaneous webcast to discuss its first quarter 2020 financial and operating results on Tuesday, May 5, 2020, at 8:30 AM. To access this call, dial (888) 660-6127 (U.S.) or (973) 890-8355 (International).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pain, infectious diseases, and rare diseases.</w:t>
      </w:r>
    </w:p>
    <w:p>
      <w:pPr>
        <w:spacing w:after="0" w:line="252" w:lineRule="exact"/>
        <w:rPr>
          <w:sz w:val="20"/>
          <w:szCs w:val="20"/>
          <w:color w:val="auto"/>
        </w:rPr>
      </w:pPr>
    </w:p>
    <w:p>
      <w:pPr>
        <w:ind w:right="300"/>
        <w:spacing w:after="0" w:line="248"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fasinumab, evinacumab, REGN-EB3, garetosmab, pozelimab, Regeneron's oncology programs (including its costimulatory bispecific portfolio), Regeneron's COVID-19 antibody program and other earlier-stage programs, and the use of human genetics in</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337" w:right="43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21"/>
          <w:szCs w:val="21"/>
          <w:color w:val="auto"/>
        </w:rPr>
        <w:t>Regeneron's research programs; the likelihood and timing of achieving any of the anticipated milestones described in this press release;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Regeneron's late-stage product candidates and new indications for Regeneron's Products, including without limitation EYLEA, Dupixent, Libtayo, Praluent, Kevzara, evinacumab, pozelimab, and REGN-EB3; the extent to which the results from the research and development programs conducted by Regeneron or its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payors, including Medicare and Medicaid;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COGS,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2019 and its Form 10-Q for the quarterly period ended March 31, 2020.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310"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63" w:right="339" w:bottom="1440" w:gutter="0" w:footer="0" w:header="0"/>
        </w:sectPr>
      </w:pPr>
    </w:p>
    <w:bookmarkStart w:id="13" w:name="page14"/>
    <w:bookmarkEnd w:id="13"/>
    <w:p>
      <w:pPr>
        <w:ind w:right="880"/>
        <w:spacing w:after="0" w:line="249" w:lineRule="auto"/>
        <w:rPr>
          <w:sz w:val="20"/>
          <w:szCs w:val="20"/>
          <w:color w:val="auto"/>
        </w:rPr>
      </w:pPr>
      <w:r>
        <w:rPr>
          <w:rFonts w:ascii="Arial" w:cs="Arial" w:eastAsia="Arial" w:hAnsi="Arial"/>
          <w:sz w:val="22"/>
          <w:szCs w:val="22"/>
          <w:color w:val="auto"/>
        </w:rPr>
        <w:t>on Regeneron's media and investor relations website (http://newsroom.regeneron.com) and its Twitter feed (http://twitter.com/regeneron).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363" w:right="499" w:bottom="1440" w:gutter="0" w:footer="0" w:header="0"/>
        </w:sectPr>
      </w:pPr>
    </w:p>
    <w:p>
      <w:pPr>
        <w:spacing w:after="0" w:line="31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Justin Holko</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6080" w:space="720"/>
            <w:col w:w="4280"/>
          </w:cols>
          <w:pgMar w:left="320" w:top="363" w:right="49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Corporate Communications</w:t>
      </w:r>
    </w:p>
    <w:p>
      <w:pPr>
        <w:spacing w:after="0" w:line="75" w:lineRule="exact"/>
        <w:rPr>
          <w:sz w:val="20"/>
          <w:szCs w:val="20"/>
          <w:color w:val="auto"/>
        </w:rPr>
      </w:pPr>
    </w:p>
    <w:p>
      <w:pPr>
        <w:sectPr>
          <w:pgSz w:w="11900" w:h="16838" w:orient="portrait"/>
          <w:cols w:equalWidth="0" w:num="2">
            <w:col w:w="6080" w:space="720"/>
            <w:col w:w="4280"/>
          </w:cols>
          <w:pgMar w:left="320" w:top="363" w:right="49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914-847-7786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6080" w:space="720"/>
            <w:col w:w="4280"/>
          </w:cols>
          <w:pgMar w:left="320" w:top="363" w:right="499" w:bottom="1440" w:gutter="0" w:footer="0" w:header="0"/>
          <w:type w:val="continuous"/>
        </w:sectPr>
      </w:pPr>
    </w:p>
    <w:p>
      <w:pPr>
        <w:spacing w:after="0" w:line="1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justin.holko@regeneron.com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6080" w:space="720"/>
            <w:col w:w="4280"/>
          </w:cols>
          <w:pgMar w:left="320" w:top="36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363" w:right="49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30"/>
        </w:trPr>
        <w:tc>
          <w:tcPr>
            <w:tcW w:w="80" w:type="dxa"/>
            <w:vAlign w:val="bottom"/>
          </w:tcPr>
          <w:p>
            <w:pPr>
              <w:spacing w:after="0"/>
              <w:rPr>
                <w:sz w:val="24"/>
                <w:szCs w:val="24"/>
                <w:color w:val="auto"/>
              </w:rPr>
            </w:pPr>
          </w:p>
        </w:tc>
        <w:tc>
          <w:tcPr>
            <w:tcW w:w="8100" w:type="dxa"/>
            <w:vAlign w:val="bottom"/>
          </w:tcPr>
          <w:p>
            <w:pPr>
              <w:jc w:val="center"/>
              <w:ind w:left="2890"/>
              <w:spacing w:after="0"/>
              <w:rPr>
                <w:sz w:val="20"/>
                <w:szCs w:val="20"/>
                <w:color w:val="auto"/>
              </w:rPr>
            </w:pPr>
            <w:r>
              <w:rPr>
                <w:rFonts w:ascii="Arial" w:cs="Arial" w:eastAsia="Arial" w:hAnsi="Arial"/>
                <w:sz w:val="18"/>
                <w:szCs w:val="18"/>
                <w:b w:val="1"/>
                <w:bCs w:val="1"/>
                <w:color w:val="auto"/>
              </w:rPr>
              <w:t>REGENERON PHARMACEUTICALS,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8320" w:type="dxa"/>
            <w:vAlign w:val="bottom"/>
            <w:gridSpan w:val="2"/>
          </w:tcPr>
          <w:p>
            <w:pPr>
              <w:jc w:val="center"/>
              <w:ind w:left="269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100" w:type="dxa"/>
            <w:vAlign w:val="bottom"/>
          </w:tcPr>
          <w:p>
            <w:pPr>
              <w:jc w:val="center"/>
              <w:ind w:left="291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94"/>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97"/>
        </w:trPr>
        <w:tc>
          <w:tcPr>
            <w:tcW w:w="80" w:type="dxa"/>
            <w:vAlign w:val="bottom"/>
          </w:tcPr>
          <w:p>
            <w:pPr>
              <w:spacing w:after="0"/>
              <w:rPr>
                <w:sz w:val="24"/>
                <w:szCs w:val="24"/>
                <w:color w:val="auto"/>
              </w:rPr>
            </w:pPr>
          </w:p>
        </w:tc>
        <w:tc>
          <w:tcPr>
            <w:tcW w:w="8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25"/>
                <w:szCs w:val="25"/>
                <w:b w:val="1"/>
                <w:bCs w:val="1"/>
                <w:color w:val="auto"/>
                <w:vertAlign w:val="superscript"/>
              </w:rPr>
              <w:t>*</w:t>
            </w:r>
          </w:p>
        </w:tc>
      </w:tr>
      <w:tr>
        <w:trPr>
          <w:trHeight w:val="243"/>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Cash and marketable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7,239.8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6,471.1</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 trade,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2,100.0</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Accounts receivable - Sanofi and other</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685.6</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1,415.5</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2,890.4</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824.2</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418.4</w:t>
            </w:r>
          </w:p>
        </w:tc>
      </w:tr>
      <w:tr>
        <w:trPr>
          <w:trHeight w:val="27"/>
        </w:trPr>
        <w:tc>
          <w:tcPr>
            <w:tcW w:w="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15,757.5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2,514.2</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487.4</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Finance lease liabilities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713.9</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11,089.7</w:t>
            </w:r>
          </w:p>
        </w:tc>
      </w:tr>
      <w:tr>
        <w:trPr>
          <w:trHeight w:val="257"/>
        </w:trPr>
        <w:tc>
          <w:tcPr>
            <w:tcW w:w="8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15,757.5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Certain revisions have been made to the previously reported December 31, 2019 amounts. See note (4) above.</w:t>
      </w: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20" w:top="341" w:right="3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30"/>
        </w:trPr>
        <w:tc>
          <w:tcPr>
            <w:tcW w:w="80" w:type="dxa"/>
            <w:vAlign w:val="bottom"/>
          </w:tcPr>
          <w:p>
            <w:pPr>
              <w:spacing w:after="0"/>
              <w:rPr>
                <w:sz w:val="24"/>
                <w:szCs w:val="24"/>
                <w:color w:val="auto"/>
              </w:rPr>
            </w:pPr>
          </w:p>
        </w:tc>
        <w:tc>
          <w:tcPr>
            <w:tcW w:w="8100" w:type="dxa"/>
            <w:vAlign w:val="bottom"/>
          </w:tcPr>
          <w:p>
            <w:pPr>
              <w:jc w:val="center"/>
              <w:ind w:left="289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9660" w:type="dxa"/>
            <w:vAlign w:val="bottom"/>
            <w:gridSpan w:val="4"/>
          </w:tcPr>
          <w:p>
            <w:pPr>
              <w:jc w:val="center"/>
              <w:ind w:left="133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100" w:type="dxa"/>
            <w:vAlign w:val="bottom"/>
          </w:tcPr>
          <w:p>
            <w:pPr>
              <w:jc w:val="center"/>
              <w:ind w:left="289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6"/>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8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line="26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5"/>
                <w:szCs w:val="25"/>
                <w:b w:val="1"/>
                <w:bCs w:val="1"/>
                <w:color w:val="auto"/>
                <w:vertAlign w:val="superscript"/>
              </w:rPr>
              <w:t>*</w:t>
            </w:r>
          </w:p>
        </w:tc>
      </w:tr>
      <w:tr>
        <w:trPr>
          <w:trHeight w:val="243"/>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1,236.7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1,104.4</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 collaboration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Bayer collaboration revenue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264.0</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37"/>
        </w:trPr>
        <w:tc>
          <w:tcPr>
            <w:tcW w:w="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1,828.2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1,372.6</w:t>
            </w:r>
          </w:p>
        </w:tc>
      </w:tr>
      <w:tr>
        <w:trPr>
          <w:trHeight w:val="27"/>
        </w:trPr>
        <w:tc>
          <w:tcPr>
            <w:tcW w:w="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583.9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486.1</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collaboration and contract manufacturing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Other operating (income) expense,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w:t>
            </w:r>
          </w:p>
        </w:tc>
      </w:tr>
      <w:tr>
        <w:trPr>
          <w:trHeight w:val="317"/>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r>
      <w:tr>
        <w:trPr>
          <w:trHeight w:val="318"/>
        </w:trPr>
        <w:tc>
          <w:tcPr>
            <w:tcW w:w="80" w:type="dxa"/>
            <w:vAlign w:val="bottom"/>
          </w:tcPr>
          <w:p>
            <w:pPr>
              <w:spacing w:after="0"/>
              <w:rPr>
                <w:sz w:val="24"/>
                <w:szCs w:val="24"/>
                <w:color w:val="auto"/>
              </w:rPr>
            </w:pPr>
          </w:p>
        </w:tc>
        <w:tc>
          <w:tcPr>
            <w:tcW w:w="8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318"/>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546.1</w:t>
            </w:r>
          </w:p>
        </w:tc>
      </w:tr>
      <w:tr>
        <w:trPr>
          <w:trHeight w:val="324"/>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318"/>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63"/>
        </w:trPr>
        <w:tc>
          <w:tcPr>
            <w:tcW w:w="8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461.1</w:t>
            </w:r>
          </w:p>
        </w:tc>
      </w:tr>
      <w:tr>
        <w:trPr>
          <w:trHeight w:val="20"/>
        </w:trPr>
        <w:tc>
          <w:tcPr>
            <w:tcW w:w="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43"/>
        </w:trPr>
        <w:tc>
          <w:tcPr>
            <w:tcW w:w="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r>
      <w:tr>
        <w:trPr>
          <w:trHeight w:val="27"/>
        </w:trPr>
        <w:tc>
          <w:tcPr>
            <w:tcW w:w="8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Certain revisions have been made to the previously reported March 31, 2019 amounts. See note (4)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341"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30"/>
        </w:trPr>
        <w:tc>
          <w:tcPr>
            <w:tcW w:w="80" w:type="dxa"/>
            <w:vAlign w:val="bottom"/>
          </w:tcPr>
          <w:p>
            <w:pPr>
              <w:spacing w:after="0"/>
              <w:rPr>
                <w:sz w:val="24"/>
                <w:szCs w:val="24"/>
                <w:color w:val="auto"/>
              </w:rPr>
            </w:pPr>
          </w:p>
        </w:tc>
        <w:tc>
          <w:tcPr>
            <w:tcW w:w="8020" w:type="dxa"/>
            <w:vAlign w:val="bottom"/>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9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020" w:type="dxa"/>
            <w:vAlign w:val="bottom"/>
          </w:tcPr>
          <w:p>
            <w:pPr>
              <w:jc w:val="center"/>
              <w:ind w:left="297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6"/>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7"/>
        </w:trPr>
        <w:tc>
          <w:tcPr>
            <w:tcW w:w="8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486.1</w:t>
            </w:r>
          </w:p>
        </w:tc>
      </w:tr>
      <w:tr>
        <w:trPr>
          <w:trHeight w:val="243"/>
        </w:trPr>
        <w:tc>
          <w:tcPr>
            <w:tcW w:w="80" w:type="dxa"/>
            <w:vAlign w:val="bottom"/>
          </w:tcPr>
          <w:p>
            <w:pPr>
              <w:spacing w:after="0"/>
              <w:rPr>
                <w:sz w:val="21"/>
                <w:szCs w:val="21"/>
                <w:color w:val="auto"/>
              </w:rPr>
            </w:pPr>
          </w:p>
        </w:tc>
        <w:tc>
          <w:tcPr>
            <w:tcW w:w="8020" w:type="dxa"/>
            <w:vAlign w:val="bottom"/>
          </w:tcPr>
          <w:p>
            <w:pPr>
              <w:ind w:left="260"/>
              <w:spacing w:after="0"/>
              <w:rPr>
                <w:sz w:val="20"/>
                <w:szCs w:val="20"/>
                <w:color w:val="auto"/>
              </w:rPr>
            </w:pPr>
            <w:r>
              <w:rPr>
                <w:rFonts w:ascii="Arial" w:cs="Arial" w:eastAsia="Arial" w:hAnsi="Arial"/>
                <w:sz w:val="18"/>
                <w:szCs w:val="18"/>
                <w:color w:val="auto"/>
              </w:rPr>
              <w:t>R&amp;D: Non-cash share-based compensation expense</w:t>
            </w:r>
          </w:p>
        </w:tc>
        <w:tc>
          <w:tcPr>
            <w:tcW w:w="32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58.7</w:t>
            </w:r>
          </w:p>
        </w:tc>
      </w:tr>
      <w:tr>
        <w:trPr>
          <w:trHeight w:val="27"/>
        </w:trPr>
        <w:tc>
          <w:tcPr>
            <w:tcW w:w="8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R&amp;D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427.4</w:t>
            </w:r>
          </w:p>
        </w:tc>
      </w:tr>
      <w:tr>
        <w:trPr>
          <w:trHeight w:val="20"/>
        </w:trPr>
        <w:tc>
          <w:tcPr>
            <w:tcW w:w="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291.1</w:t>
            </w:r>
          </w:p>
        </w:tc>
      </w:tr>
      <w:tr>
        <w:trPr>
          <w:trHeight w:val="243"/>
        </w:trPr>
        <w:tc>
          <w:tcPr>
            <w:tcW w:w="80" w:type="dxa"/>
            <w:vAlign w:val="bottom"/>
          </w:tcPr>
          <w:p>
            <w:pPr>
              <w:spacing w:after="0"/>
              <w:rPr>
                <w:sz w:val="21"/>
                <w:szCs w:val="21"/>
                <w:color w:val="auto"/>
              </w:rPr>
            </w:pPr>
          </w:p>
        </w:tc>
        <w:tc>
          <w:tcPr>
            <w:tcW w:w="8020" w:type="dxa"/>
            <w:vAlign w:val="bottom"/>
          </w:tcPr>
          <w:p>
            <w:pPr>
              <w:ind w:left="260"/>
              <w:spacing w:after="0"/>
              <w:rPr>
                <w:sz w:val="20"/>
                <w:szCs w:val="20"/>
                <w:color w:val="auto"/>
              </w:rPr>
            </w:pPr>
            <w:r>
              <w:rPr>
                <w:rFonts w:ascii="Arial" w:cs="Arial" w:eastAsia="Arial" w:hAnsi="Arial"/>
                <w:sz w:val="18"/>
                <w:szCs w:val="18"/>
                <w:color w:val="auto"/>
              </w:rPr>
              <w:t>SG&amp;A: Non-cash share-based compensation expense</w:t>
            </w:r>
          </w:p>
        </w:tc>
        <w:tc>
          <w:tcPr>
            <w:tcW w:w="32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43.8</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SG&amp;A: Litigation contingencies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97"/>
        </w:trPr>
        <w:tc>
          <w:tcPr>
            <w:tcW w:w="80" w:type="dxa"/>
            <w:vAlign w:val="bottom"/>
          </w:tcPr>
          <w:p>
            <w:pPr>
              <w:spacing w:after="0"/>
              <w:rPr>
                <w:sz w:val="24"/>
                <w:szCs w:val="24"/>
                <w:color w:val="auto"/>
              </w:rPr>
            </w:pPr>
          </w:p>
        </w:tc>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SG&amp;A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242.3</w:t>
            </w:r>
          </w:p>
        </w:tc>
      </w:tr>
      <w:tr>
        <w:trPr>
          <w:trHeight w:val="311"/>
        </w:trPr>
        <w:tc>
          <w:tcPr>
            <w:tcW w:w="80" w:type="dxa"/>
            <w:vAlign w:val="bottom"/>
          </w:tcPr>
          <w:p>
            <w:pPr>
              <w:spacing w:after="0"/>
              <w:rPr>
                <w:sz w:val="24"/>
                <w:szCs w:val="24"/>
                <w:color w:val="auto"/>
              </w:rPr>
            </w:pPr>
          </w:p>
        </w:tc>
        <w:tc>
          <w:tcPr>
            <w:tcW w:w="8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GAAP COGS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70.9</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COGS: Non-cash share-based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r>
      <w:tr>
        <w:trPr>
          <w:trHeight w:val="297"/>
        </w:trPr>
        <w:tc>
          <w:tcPr>
            <w:tcW w:w="80" w:type="dxa"/>
            <w:vAlign w:val="bottom"/>
          </w:tcPr>
          <w:p>
            <w:pPr>
              <w:spacing w:after="0"/>
              <w:rPr>
                <w:sz w:val="24"/>
                <w:szCs w:val="24"/>
                <w:color w:val="auto"/>
              </w:rPr>
            </w:pPr>
          </w:p>
        </w:tc>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COGS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65.5</w:t>
            </w:r>
          </w:p>
        </w:tc>
      </w:tr>
      <w:tr>
        <w:trPr>
          <w:trHeight w:val="311"/>
        </w:trPr>
        <w:tc>
          <w:tcPr>
            <w:tcW w:w="80" w:type="dxa"/>
            <w:vAlign w:val="bottom"/>
          </w:tcPr>
          <w:p>
            <w:pPr>
              <w:spacing w:after="0"/>
              <w:rPr>
                <w:sz w:val="24"/>
                <w:szCs w:val="24"/>
                <w:color w:val="auto"/>
              </w:rPr>
            </w:pPr>
          </w:p>
        </w:tc>
        <w:tc>
          <w:tcPr>
            <w:tcW w:w="8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GAAP other (expense) income,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66.1</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income/expense: Losses (gains) on investments in equity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r>
      <w:tr>
        <w:trPr>
          <w:trHeight w:val="297"/>
        </w:trPr>
        <w:tc>
          <w:tcPr>
            <w:tcW w:w="80" w:type="dxa"/>
            <w:vAlign w:val="bottom"/>
          </w:tcPr>
          <w:p>
            <w:pPr>
              <w:spacing w:after="0"/>
              <w:rPr>
                <w:sz w:val="24"/>
                <w:szCs w:val="24"/>
                <w:color w:val="auto"/>
              </w:rPr>
            </w:pPr>
          </w:p>
        </w:tc>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other (expense) income,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23.3</w:t>
            </w:r>
          </w:p>
        </w:tc>
      </w:tr>
      <w:tr>
        <w:trPr>
          <w:trHeight w:val="311"/>
        </w:trPr>
        <w:tc>
          <w:tcPr>
            <w:tcW w:w="80" w:type="dxa"/>
            <w:vAlign w:val="bottom"/>
          </w:tcPr>
          <w:p>
            <w:pPr>
              <w:spacing w:after="0"/>
              <w:rPr>
                <w:sz w:val="24"/>
                <w:szCs w:val="24"/>
                <w:color w:val="auto"/>
              </w:rPr>
            </w:pPr>
          </w:p>
        </w:tc>
        <w:tc>
          <w:tcPr>
            <w:tcW w:w="8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461.1</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of GAAP to non-GAAP reconciling items above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70.1</w:t>
            </w:r>
          </w:p>
        </w:tc>
      </w:tr>
      <w:tr>
        <w:trPr>
          <w:trHeight w:val="243"/>
        </w:trPr>
        <w:tc>
          <w:tcPr>
            <w:tcW w:w="80" w:type="dxa"/>
            <w:vAlign w:val="bottom"/>
          </w:tcPr>
          <w:p>
            <w:pPr>
              <w:spacing w:after="0"/>
              <w:rPr>
                <w:sz w:val="21"/>
                <w:szCs w:val="21"/>
                <w:color w:val="auto"/>
              </w:rPr>
            </w:pPr>
          </w:p>
        </w:tc>
        <w:tc>
          <w:tcPr>
            <w:tcW w:w="8020" w:type="dxa"/>
            <w:vAlign w:val="bottom"/>
          </w:tcPr>
          <w:p>
            <w:pPr>
              <w:ind w:left="260"/>
              <w:spacing w:after="0"/>
              <w:rPr>
                <w:sz w:val="20"/>
                <w:szCs w:val="20"/>
                <w:color w:val="auto"/>
              </w:rPr>
            </w:pPr>
            <w:r>
              <w:rPr>
                <w:rFonts w:ascii="Arial" w:cs="Arial" w:eastAsia="Arial" w:hAnsi="Arial"/>
                <w:sz w:val="18"/>
                <w:szCs w:val="18"/>
                <w:color w:val="auto"/>
              </w:rPr>
              <w:t>Income tax effect of GAAP to non-GAAP reconciling items</w:t>
            </w:r>
          </w:p>
        </w:tc>
        <w:tc>
          <w:tcPr>
            <w:tcW w:w="3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(13.5)</w:t>
            </w:r>
          </w:p>
        </w:tc>
      </w:tr>
      <w:tr>
        <w:trPr>
          <w:trHeight w:val="27"/>
        </w:trPr>
        <w:tc>
          <w:tcPr>
            <w:tcW w:w="8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517.7</w:t>
            </w:r>
          </w:p>
        </w:tc>
      </w:tr>
      <w:tr>
        <w:trPr>
          <w:trHeight w:val="20"/>
        </w:trPr>
        <w:tc>
          <w:tcPr>
            <w:tcW w:w="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80" w:type="dxa"/>
            <w:vAlign w:val="bottom"/>
          </w:tcPr>
          <w:p>
            <w:pPr>
              <w:spacing w:after="0"/>
              <w:rPr>
                <w:sz w:val="22"/>
                <w:szCs w:val="22"/>
                <w:color w:val="auto"/>
              </w:rPr>
            </w:pPr>
          </w:p>
        </w:tc>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4.75</w:t>
            </w: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4.45</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108.9</w:t>
            </w: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2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116.3</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effective tax rate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80" w:type="dxa"/>
            <w:vAlign w:val="bottom"/>
          </w:tcPr>
          <w:p>
            <w:pPr>
              <w:spacing w:after="0"/>
              <w:rPr>
                <w:sz w:val="21"/>
                <w:szCs w:val="21"/>
                <w:color w:val="auto"/>
              </w:rPr>
            </w:pPr>
          </w:p>
        </w:tc>
        <w:tc>
          <w:tcPr>
            <w:tcW w:w="8020" w:type="dxa"/>
            <w:vAlign w:val="bottom"/>
          </w:tcPr>
          <w:p>
            <w:pPr>
              <w:ind w:left="260"/>
              <w:spacing w:after="0"/>
              <w:rPr>
                <w:sz w:val="20"/>
                <w:szCs w:val="20"/>
                <w:color w:val="auto"/>
              </w:rPr>
            </w:pPr>
            <w:r>
              <w:rPr>
                <w:rFonts w:ascii="Arial" w:cs="Arial" w:eastAsia="Arial" w:hAnsi="Arial"/>
                <w:sz w:val="18"/>
                <w:szCs w:val="18"/>
                <w:color w:val="auto"/>
              </w:rPr>
              <w:t>Income tax effect of GAAP to non-GAAP reconciling items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effective tax rate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698.0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897.0</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w:t>
            </w:r>
          </w:p>
        </w:tc>
      </w:tr>
      <w:tr>
        <w:trPr>
          <w:trHeight w:val="236"/>
        </w:trPr>
        <w:tc>
          <w:tcPr>
            <w:tcW w:w="8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822.7</w:t>
            </w:r>
          </w:p>
        </w:tc>
      </w:tr>
      <w:tr>
        <w:trPr>
          <w:trHeight w:val="27"/>
        </w:trPr>
        <w:tc>
          <w:tcPr>
            <w:tcW w:w="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41" w:right="399" w:bottom="1440" w:gutter="0" w:footer="0" w:header="0"/>
        </w:sectPr>
      </w:pP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80"/>
          </w:cols>
          <w:pgMar w:left="320" w:top="341" w:right="39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711"/>
        </w:trPr>
        <w:tc>
          <w:tcPr>
            <w:tcW w:w="80" w:type="dxa"/>
            <w:vAlign w:val="bottom"/>
          </w:tcPr>
          <w:p>
            <w:pPr>
              <w:spacing w:after="0"/>
              <w:rPr>
                <w:sz w:val="24"/>
                <w:szCs w:val="24"/>
                <w:color w:val="auto"/>
              </w:rPr>
            </w:pPr>
          </w:p>
        </w:tc>
        <w:tc>
          <w:tcPr>
            <w:tcW w:w="8100" w:type="dxa"/>
            <w:vAlign w:val="bottom"/>
          </w:tcPr>
          <w:p>
            <w:pPr>
              <w:jc w:val="center"/>
              <w:ind w:left="2890"/>
              <w:spacing w:after="0"/>
              <w:rPr>
                <w:sz w:val="20"/>
                <w:szCs w:val="20"/>
                <w:color w:val="auto"/>
              </w:rPr>
            </w:pPr>
            <w:r>
              <w:rPr>
                <w:rFonts w:ascii="Arial" w:cs="Arial" w:eastAsia="Arial" w:hAnsi="Arial"/>
                <w:sz w:val="18"/>
                <w:szCs w:val="18"/>
                <w:b w:val="1"/>
                <w:bCs w:val="1"/>
                <w:color w:val="auto"/>
              </w:rPr>
              <w:t>REGENERON PHARMACEUTICALS, INC.</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8100" w:type="dxa"/>
            <w:vAlign w:val="bottom"/>
          </w:tcPr>
          <w:p>
            <w:pPr>
              <w:jc w:val="center"/>
              <w:ind w:left="2910"/>
              <w:spacing w:after="0"/>
              <w:rPr>
                <w:sz w:val="20"/>
                <w:szCs w:val="20"/>
                <w:color w:val="auto"/>
              </w:rPr>
            </w:pPr>
            <w:r>
              <w:rPr>
                <w:rFonts w:ascii="Arial" w:cs="Arial" w:eastAsia="Arial" w:hAnsi="Arial"/>
                <w:sz w:val="18"/>
                <w:szCs w:val="18"/>
                <w:b w:val="1"/>
                <w:bCs w:val="1"/>
                <w:color w:val="auto"/>
                <w:w w:val="98"/>
              </w:rPr>
              <w:t>COLLABORATION REVENUE (Unaudited)</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100" w:type="dxa"/>
            <w:vAlign w:val="bottom"/>
          </w:tcPr>
          <w:p>
            <w:pPr>
              <w:jc w:val="center"/>
              <w:ind w:left="2910"/>
              <w:spacing w:after="0"/>
              <w:rPr>
                <w:sz w:val="20"/>
                <w:szCs w:val="20"/>
                <w:color w:val="auto"/>
              </w:rPr>
            </w:pPr>
            <w:r>
              <w:rPr>
                <w:rFonts w:ascii="Arial" w:cs="Arial" w:eastAsia="Arial" w:hAnsi="Arial"/>
                <w:sz w:val="18"/>
                <w:szCs w:val="18"/>
                <w:b w:val="1"/>
                <w:bCs w:val="1"/>
                <w:i w:val="1"/>
                <w:iCs w:val="1"/>
                <w:color w:val="auto"/>
                <w:w w:val="93"/>
              </w:rPr>
              <w:t>(In millions)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6"/>
        </w:trPr>
        <w:tc>
          <w:tcPr>
            <w:tcW w:w="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4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52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8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5"/>
                <w:szCs w:val="25"/>
                <w:b w:val="1"/>
                <w:bCs w:val="1"/>
                <w:color w:val="auto"/>
                <w:vertAlign w:val="superscript"/>
              </w:rPr>
              <w:t>*</w:t>
            </w:r>
          </w:p>
        </w:tc>
        <w:tc>
          <w:tcPr>
            <w:tcW w:w="520" w:type="dxa"/>
            <w:vAlign w:val="bottom"/>
            <w:tcBorders>
              <w:bottom w:val="single" w:sz="8" w:color="auto"/>
            </w:tcBorders>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Antibody:</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Regeneron's share of profits (losses) in connection with commercialization of antibodies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(27.8)</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Reimbursement for manufacturing of commercial supplies</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Immuno-oncology:</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w w:val="96"/>
              </w:rPr>
              <w:t>Regeneron's share of losses in connection with commercialization of Libtayo outside the United States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for manufacturing of commercial supplies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246.9</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w:t>
            </w:r>
          </w:p>
        </w:tc>
      </w:tr>
      <w:tr>
        <w:trPr>
          <w:trHeight w:val="311"/>
        </w:trPr>
        <w:tc>
          <w:tcPr>
            <w:tcW w:w="8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249.3</w:t>
            </w:r>
          </w:p>
        </w:tc>
      </w:tr>
      <w:tr>
        <w:trPr>
          <w:trHeight w:val="243"/>
        </w:trPr>
        <w:tc>
          <w:tcPr>
            <w:tcW w:w="8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Reimbursement for manufacturing of commercial supplies</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281.4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264.0</w:t>
            </w:r>
          </w:p>
        </w:tc>
      </w:tr>
      <w:tr>
        <w:trPr>
          <w:trHeight w:val="20"/>
        </w:trPr>
        <w:tc>
          <w:tcPr>
            <w:tcW w:w="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Certain revisions have been made to the previously reported March 31, 2019 amounts. See note (4)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341" w:right="3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TABLE 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630"/>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rPr>
              <w:t>REGENERON PHARMACEUTICALS,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0"/>
        </w:trPr>
        <w:tc>
          <w:tcPr>
            <w:tcW w:w="9020" w:type="dxa"/>
            <w:vAlign w:val="bottom"/>
            <w:gridSpan w:val="17"/>
          </w:tcPr>
          <w:p>
            <w:pPr>
              <w:jc w:val="center"/>
              <w:ind w:left="2130"/>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left="17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5"/>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 Sales)</w:t>
            </w:r>
          </w:p>
        </w:tc>
      </w:tr>
      <w:tr>
        <w:trPr>
          <w:trHeight w:val="27"/>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16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1,743.5</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3160" w:type="dxa"/>
            <w:vAlign w:val="bottom"/>
          </w:tcPr>
          <w:p>
            <w:pPr>
              <w:ind w:left="40"/>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Net product sales recorded by Regeneron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1,236.7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1,104.4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r>
      <w:tr>
        <w:trPr>
          <w:trHeight w:val="311"/>
        </w:trPr>
        <w:tc>
          <w:tcPr>
            <w:tcW w:w="3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3160" w:type="dxa"/>
            <w:vAlign w:val="bottom"/>
          </w:tcPr>
          <w:p>
            <w:pPr>
              <w:ind w:left="40"/>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Dupixent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Praluent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Kevzara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ZALTRAP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170" w:lineRule="exact"/>
        <w:rPr>
          <w:sz w:val="20"/>
          <w:szCs w:val="20"/>
          <w:color w:val="auto"/>
        </w:rPr>
      </w:pPr>
    </w:p>
    <w:p>
      <w:pPr>
        <w:ind w:left="280" w:right="100" w:hanging="2"/>
        <w:spacing w:after="0" w:line="238" w:lineRule="auto"/>
        <w:tabs>
          <w:tab w:leader="none" w:pos="388"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Bayer records net product sales of EYLEA outside the United States, and Sanofi records net product sales of Libtayo outside the United States and global net product sales of Dupixent, Kevzara, and ZALTRAP. The Company records its share of profits/losses in connection with (i) sales of EYLEA and Libtayo outside the United States, and (ii) global sales of Dupixent and Kevzara, within collaboration revenue (see Table 4). Sanofi pays the Company a percentage of aggregate net sales of ZALTRAP.</w:t>
      </w:r>
    </w:p>
    <w:p>
      <w:pPr>
        <w:spacing w:after="0" w:line="115" w:lineRule="exact"/>
        <w:rPr>
          <w:sz w:val="20"/>
          <w:szCs w:val="20"/>
          <w:color w:val="auto"/>
        </w:rPr>
      </w:pPr>
    </w:p>
    <w:p>
      <w:pPr>
        <w:ind w:left="280" w:right="560"/>
        <w:spacing w:after="0" w:line="290" w:lineRule="auto"/>
        <w:rPr>
          <w:sz w:val="20"/>
          <w:szCs w:val="20"/>
          <w:color w:val="auto"/>
        </w:rPr>
      </w:pPr>
      <w:r>
        <w:rPr>
          <w:rFonts w:ascii="Arial" w:cs="Arial" w:eastAsia="Arial" w:hAnsi="Arial"/>
          <w:sz w:val="13"/>
          <w:szCs w:val="13"/>
          <w:color w:val="auto"/>
        </w:rPr>
        <w:t>Historically, Sanofi also recorded global net product sales of Praluent and the Company recorded its share of profits/losses in connection with such sales; effective April 1, 2020, the Company and Sanofi entered into an agreement to restructure its collaboration for Praluent; see "Business Development Update" section above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2020-05-05T06:36:56Z</dcterms:created>
  <dcterms:modified xsi:type="dcterms:W3CDTF">2020-05-05T06:36:56Z</dcterms:modified>
</cp:coreProperties>
</file>