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Regeneron Pharmaceuticals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75886F107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13d-1(d)</w:t>
      </w:r>
    </w:p>
    <w:p>
      <w:pPr>
        <w:spacing w:after="0" w:line="223"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75886F107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188,647</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7,461,968</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469,252</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7,931,220</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7.56%</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Regeneron Pharmaceuticals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777 Old Saw Mill River Road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Tarrytown, New York 10591-6707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75886F107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7,931,220</w:t>
      </w:r>
    </w:p>
    <w:p>
      <w:pPr>
        <w:spacing w:after="0" w:line="1"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0</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188,647</w:t>
      </w:r>
    </w:p>
    <w:p>
      <w:pPr>
        <w:spacing w:after="0" w:line="223" w:lineRule="exact"/>
        <w:rPr>
          <w:rFonts w:ascii="Times New Roman" w:cs="Times New Roman" w:eastAsia="Times New Roman" w:hAnsi="Times New Roman"/>
          <w:sz w:val="17"/>
          <w:szCs w:val="17"/>
          <w:color w:val="auto"/>
        </w:rPr>
      </w:pPr>
    </w:p>
    <w:p>
      <w:pPr>
        <w:ind w:left="220" w:right="614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7,461,968 (iv) shared power to dispose or to direct the disposition of: 469,252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beneficially owns 5% or greater of the outstanding shares of the security class being reported on this Schedule 13G</w:t>
      </w:r>
    </w:p>
    <w:sectPr>
      <w:pgSz w:w="11900" w:h="16838" w:orient="portrait"/>
      <w:cols w:equalWidth="0" w:num="1">
        <w:col w:w="10139"/>
      </w:cols>
      <w:pgMar w:left="320" w:top="6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2021-02-10T10:52:17Z</dcterms:created>
  <dcterms:modified xsi:type="dcterms:W3CDTF">2021-02-10T10:52:17Z</dcterms:modified>
</cp:coreProperties>
</file>