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February 9, 2017 (February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60" w:firstLine="243"/>
        <w:spacing w:after="0" w:line="264" w:lineRule="auto"/>
        <w:rPr>
          <w:sz w:val="20"/>
          <w:szCs w:val="20"/>
          <w:color w:val="auto"/>
        </w:rPr>
      </w:pPr>
      <w:r>
        <w:rPr>
          <w:rFonts w:ascii="Arial" w:cs="Arial" w:eastAsia="Arial" w:hAnsi="Arial"/>
          <w:sz w:val="18"/>
          <w:szCs w:val="18"/>
          <w:color w:val="auto"/>
        </w:rPr>
        <w:t>On February 9, 2017, Regeneron Pharmaceuticals, Inc. issued a press release announcing its financial and operating results for the quarter and year ended December 31, 2016.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9, 2017, Reporting Fourth Quarter and Full Year 2016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Date: February 9, 2017</w:t>
            </w:r>
          </w:p>
        </w:tc>
        <w:tc>
          <w:tcPr>
            <w:tcW w:w="6640" w:type="dxa"/>
            <w:vAlign w:val="bottom"/>
            <w:gridSpan w:val="2"/>
          </w:tcPr>
          <w:p>
            <w:pPr>
              <w:ind w:left="88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40" w:type="dxa"/>
            <w:vAlign w:val="bottom"/>
          </w:tcPr>
          <w:p>
            <w:pPr>
              <w:spacing w:after="0"/>
              <w:rPr>
                <w:sz w:val="24"/>
                <w:szCs w:val="24"/>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spacing w:after="0"/>
              <w:rPr>
                <w:sz w:val="20"/>
                <w:szCs w:val="20"/>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540" w:type="dxa"/>
            <w:vAlign w:val="bottom"/>
          </w:tcPr>
          <w:p>
            <w:pPr>
              <w:spacing w:after="0"/>
              <w:rPr>
                <w:sz w:val="23"/>
                <w:szCs w:val="23"/>
                <w:color w:val="auto"/>
              </w:rPr>
            </w:pPr>
          </w:p>
        </w:tc>
        <w:tc>
          <w:tcPr>
            <w:tcW w:w="2640" w:type="dxa"/>
            <w:vAlign w:val="bottom"/>
          </w:tcPr>
          <w:p>
            <w:pPr>
              <w:ind w:left="88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8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February 9, 2017, Reporting Fourth Quarter and Full Year 2016 Financial and</w:t>
            </w:r>
          </w:p>
        </w:tc>
      </w:tr>
      <w:tr>
        <w:trPr>
          <w:trHeight w:val="230"/>
        </w:trPr>
        <w:tc>
          <w:tcPr>
            <w:tcW w:w="580" w:type="dxa"/>
            <w:vAlign w:val="bottom"/>
          </w:tcPr>
          <w:p>
            <w:pPr>
              <w:spacing w:after="0"/>
              <w:rPr>
                <w:sz w:val="20"/>
                <w:szCs w:val="20"/>
                <w:color w:val="auto"/>
              </w:rPr>
            </w:pPr>
          </w:p>
        </w:tc>
        <w:tc>
          <w:tcPr>
            <w:tcW w:w="7740" w:type="dxa"/>
            <w:vAlign w:val="bottom"/>
            <w:gridSpan w:val="3"/>
          </w:tcPr>
          <w:p>
            <w:pPr>
              <w:ind w:left="620"/>
              <w:spacing w:after="0"/>
              <w:rPr>
                <w:sz w:val="20"/>
                <w:szCs w:val="20"/>
                <w:color w:val="auto"/>
              </w:rPr>
            </w:pPr>
            <w:r>
              <w:rPr>
                <w:rFonts w:ascii="Arial" w:cs="Arial" w:eastAsia="Arial" w:hAnsi="Arial"/>
                <w:sz w:val="18"/>
                <w:szCs w:val="18"/>
                <w:color w:val="auto"/>
              </w:rPr>
              <w:t>Operating Results.</w:t>
            </w:r>
          </w:p>
        </w:tc>
      </w:tr>
    </w:tbl>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2016 Financial and Operating Results</w:t>
      </w:r>
    </w:p>
    <w:p>
      <w:pPr>
        <w:spacing w:after="0" w:line="63" w:lineRule="exact"/>
        <w:rPr>
          <w:sz w:val="20"/>
          <w:szCs w:val="20"/>
          <w:color w:val="auto"/>
        </w:rPr>
      </w:pPr>
    </w:p>
    <w:p>
      <w:pPr>
        <w:ind w:left="340" w:right="600" w:hanging="332"/>
        <w:spacing w:after="0" w:line="232"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Fourth quarter 2016 EYLEA</w:t>
      </w:r>
      <w:r>
        <w:rPr>
          <w:rFonts w:ascii="Arial" w:cs="Arial" w:eastAsia="Arial" w:hAnsi="Arial"/>
          <w:sz w:val="27"/>
          <w:szCs w:val="27"/>
          <w:b w:val="1"/>
          <w:bCs w:val="1"/>
          <w:color w:val="auto"/>
          <w:vertAlign w:val="superscript"/>
        </w:rPr>
        <w:t>®</w:t>
      </w:r>
      <w:r>
        <w:rPr>
          <w:rFonts w:ascii="Arial" w:cs="Arial" w:eastAsia="Arial" w:hAnsi="Arial"/>
          <w:sz w:val="21"/>
          <w:szCs w:val="21"/>
          <w:i w:val="1"/>
          <w:iCs w:val="1"/>
          <w:color w:val="auto"/>
        </w:rPr>
        <w:t xml:space="preserve"> (aflibercept) Injection U.S. net sales increased 15% to $858 million versus fourth quarter 2015 and full year 2016 EYLEA U.S. net sales increased 24% to $3.32 billion versus full year 2015</w:t>
      </w:r>
    </w:p>
    <w:p>
      <w:pPr>
        <w:spacing w:after="0" w:line="1" w:lineRule="exact"/>
        <w:rPr>
          <w:rFonts w:ascii="Arial" w:cs="Arial" w:eastAsia="Arial" w:hAnsi="Arial"/>
          <w:sz w:val="21"/>
          <w:szCs w:val="21"/>
          <w:color w:val="auto"/>
        </w:rPr>
      </w:pPr>
    </w:p>
    <w:p>
      <w:pPr>
        <w:ind w:left="340" w:right="44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2016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17% to $1.35 billion versus fourth quarter 2015 and full year 2016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27% to $5.20 billion versus full year 2015</w:t>
      </w:r>
    </w:p>
    <w:p>
      <w:pPr>
        <w:ind w:left="340" w:right="360" w:hanging="332"/>
        <w:spacing w:after="0" w:line="215"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U.S. Court of Appeals for the Federal Circuit has granted stay of permanent injunction for Praluent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(alirocumab) during appeal process</w:t>
      </w:r>
    </w:p>
    <w:p>
      <w:pPr>
        <w:spacing w:after="0" w:line="229" w:lineRule="exact"/>
        <w:rPr>
          <w:sz w:val="20"/>
          <w:szCs w:val="20"/>
          <w:color w:val="auto"/>
        </w:rPr>
      </w:pPr>
    </w:p>
    <w:p>
      <w:pPr>
        <w:ind w:right="340"/>
        <w:spacing w:after="0" w:line="274" w:lineRule="auto"/>
        <w:rPr>
          <w:sz w:val="20"/>
          <w:szCs w:val="20"/>
          <w:color w:val="auto"/>
        </w:rPr>
      </w:pPr>
      <w:r>
        <w:rPr>
          <w:rFonts w:ascii="Arial" w:cs="Arial" w:eastAsia="Arial" w:hAnsi="Arial"/>
          <w:sz w:val="22"/>
          <w:szCs w:val="22"/>
          <w:b w:val="1"/>
          <w:bCs w:val="1"/>
          <w:color w:val="auto"/>
        </w:rPr>
        <w:t xml:space="preserve">Tarrytown, New York (February 9, 2017)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2016 and provided a business update.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ind w:left="6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4300" w:val="left"/>
        </w:tabs>
        <w:rPr>
          <w:sz w:val="20"/>
          <w:szCs w:val="20"/>
          <w:color w:val="auto"/>
        </w:rPr>
      </w:pPr>
      <w:r>
        <w:rPr>
          <w:rFonts w:ascii="Arial" w:cs="Arial" w:eastAsia="Arial" w:hAnsi="Arial"/>
          <w:sz w:val="20"/>
          <w:szCs w:val="20"/>
          <w:b w:val="1"/>
          <w:bCs w:val="1"/>
          <w:color w:val="auto"/>
        </w:rPr>
        <w:t>Three Months Ended</w:t>
      </w:r>
      <w:r>
        <w:rPr>
          <w:sz w:val="20"/>
          <w:szCs w:val="20"/>
          <w:color w:val="auto"/>
        </w:rPr>
        <w:tab/>
      </w:r>
      <w:r>
        <w:rPr>
          <w:rFonts w:ascii="Arial" w:cs="Arial" w:eastAsia="Arial" w:hAnsi="Arial"/>
          <w:sz w:val="18"/>
          <w:szCs w:val="18"/>
          <w:b w:val="1"/>
          <w:bCs w:val="1"/>
          <w:color w:val="auto"/>
        </w:rPr>
        <w:t>Year Ended</w:t>
      </w:r>
    </w:p>
    <w:p>
      <w:pPr>
        <w:spacing w:after="0" w:line="22" w:lineRule="exact"/>
        <w:rPr>
          <w:sz w:val="20"/>
          <w:szCs w:val="20"/>
          <w:color w:val="auto"/>
        </w:rPr>
      </w:pPr>
    </w:p>
    <w:p>
      <w:pPr>
        <w:ind w:left="320"/>
        <w:spacing w:after="0"/>
        <w:tabs>
          <w:tab w:leader="none" w:pos="4220" w:val="left"/>
        </w:tabs>
        <w:rPr>
          <w:sz w:val="20"/>
          <w:szCs w:val="20"/>
          <w:color w:val="auto"/>
        </w:rPr>
      </w:pPr>
      <w:r>
        <w:rPr>
          <w:rFonts w:ascii="Arial" w:cs="Arial" w:eastAsia="Arial" w:hAnsi="Arial"/>
          <w:sz w:val="20"/>
          <w:szCs w:val="20"/>
          <w:b w:val="1"/>
          <w:bCs w:val="1"/>
          <w:color w:val="auto"/>
        </w:rPr>
        <w:t>December 31,</w:t>
      </w:r>
      <w:r>
        <w:rPr>
          <w:sz w:val="20"/>
          <w:szCs w:val="20"/>
          <w:color w:val="auto"/>
        </w:rPr>
        <w:tab/>
      </w: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4905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960" w:space="720"/>
            <w:col w:w="674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87"/>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61"/>
              <w:spacing w:after="0"/>
              <w:rPr>
                <w:sz w:val="20"/>
                <w:szCs w:val="20"/>
                <w:color w:val="auto"/>
              </w:rPr>
            </w:pPr>
            <w:r>
              <w:rPr>
                <w:rFonts w:ascii="Arial" w:cs="Arial" w:eastAsia="Arial" w:hAnsi="Arial"/>
                <w:sz w:val="20"/>
                <w:szCs w:val="20"/>
                <w:b w:val="1"/>
                <w:bCs w:val="1"/>
                <w:color w:val="auto"/>
              </w:rPr>
              <w:t>2016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41"/>
              <w:spacing w:after="0"/>
              <w:rPr>
                <w:sz w:val="20"/>
                <w:szCs w:val="20"/>
                <w:color w:val="auto"/>
              </w:rPr>
            </w:pPr>
            <w:r>
              <w:rPr>
                <w:rFonts w:ascii="Arial" w:cs="Arial" w:eastAsia="Arial" w:hAnsi="Arial"/>
                <w:sz w:val="20"/>
                <w:szCs w:val="20"/>
                <w:b w:val="1"/>
                <w:bCs w:val="1"/>
                <w:color w:val="auto"/>
              </w:rPr>
              <w:t>2015</w:t>
            </w:r>
            <w:r>
              <w:rPr>
                <w:rFonts w:ascii="Arial" w:cs="Arial" w:eastAsia="Arial" w:hAnsi="Arial"/>
                <w:sz w:val="25"/>
                <w:szCs w:val="25"/>
                <w:b w:val="1"/>
                <w:bCs w:val="1"/>
                <w:color w:val="auto"/>
                <w:vertAlign w:val="superscript"/>
              </w:rPr>
              <w:t>*</w:t>
            </w:r>
          </w:p>
        </w:tc>
        <w:tc>
          <w:tcPr>
            <w:tcW w:w="12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20"/>
                <w:szCs w:val="20"/>
                <w:b w:val="1"/>
                <w:bCs w:val="1"/>
                <w:color w:val="auto"/>
              </w:rPr>
              <w:t>% Change</w:t>
            </w:r>
          </w:p>
        </w:tc>
        <w:tc>
          <w:tcPr>
            <w:tcW w:w="260" w:type="dxa"/>
            <w:vAlign w:val="bottom"/>
          </w:tcPr>
          <w:p>
            <w:pPr>
              <w:spacing w:after="0"/>
              <w:rPr>
                <w:sz w:val="24"/>
                <w:szCs w:val="24"/>
                <w:color w:val="auto"/>
              </w:rPr>
            </w:pPr>
          </w:p>
        </w:tc>
        <w:tc>
          <w:tcPr>
            <w:tcW w:w="880" w:type="dxa"/>
            <w:vAlign w:val="bottom"/>
          </w:tcPr>
          <w:p>
            <w:pPr>
              <w:jc w:val="right"/>
              <w:ind w:right="28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41"/>
              <w:spacing w:after="0"/>
              <w:rPr>
                <w:sz w:val="20"/>
                <w:szCs w:val="20"/>
                <w:color w:val="auto"/>
              </w:rPr>
            </w:pPr>
            <w:r>
              <w:rPr>
                <w:rFonts w:ascii="Arial" w:cs="Arial" w:eastAsia="Arial" w:hAnsi="Arial"/>
                <w:sz w:val="20"/>
                <w:szCs w:val="20"/>
                <w:b w:val="1"/>
                <w:bCs w:val="1"/>
                <w:color w:val="auto"/>
              </w:rPr>
              <w:t>2015</w:t>
            </w:r>
            <w:r>
              <w:rPr>
                <w:rFonts w:ascii="Arial" w:cs="Arial" w:eastAsia="Arial" w:hAnsi="Arial"/>
                <w:sz w:val="25"/>
                <w:szCs w:val="25"/>
                <w:b w:val="1"/>
                <w:bCs w:val="1"/>
                <w:color w:val="auto"/>
                <w:vertAlign w:val="superscript"/>
              </w:rPr>
              <w:t>*</w:t>
            </w:r>
          </w:p>
        </w:tc>
        <w:tc>
          <w:tcPr>
            <w:tcW w:w="100" w:type="dxa"/>
            <w:vAlign w:val="bottom"/>
          </w:tcPr>
          <w:p>
            <w:pPr>
              <w:spacing w:after="0"/>
              <w:rPr>
                <w:sz w:val="24"/>
                <w:szCs w:val="24"/>
                <w:color w:val="auto"/>
              </w:rPr>
            </w:pPr>
          </w:p>
        </w:tc>
        <w:tc>
          <w:tcPr>
            <w:tcW w:w="134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5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3,323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24%</w:t>
            </w:r>
          </w:p>
        </w:tc>
      </w:tr>
      <w:tr>
        <w:trPr>
          <w:trHeight w:val="261"/>
        </w:trPr>
        <w:tc>
          <w:tcPr>
            <w:tcW w:w="362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1,227</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1,098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4,860</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4,104</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w:t>
            </w:r>
          </w:p>
        </w:tc>
      </w:tr>
      <w:tr>
        <w:trPr>
          <w:trHeight w:val="261"/>
        </w:trPr>
        <w:tc>
          <w:tcPr>
            <w:tcW w:w="362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2.19</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1.34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63%</w:t>
            </w:r>
          </w:p>
        </w:tc>
        <w:tc>
          <w:tcPr>
            <w:tcW w:w="10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7.70</w:t>
            </w:r>
          </w:p>
        </w:tc>
        <w:tc>
          <w:tcPr>
            <w:tcW w:w="100" w:type="dxa"/>
            <w:vAlign w:val="bottom"/>
          </w:tcPr>
          <w:p>
            <w:pPr>
              <w:spacing w:after="0"/>
              <w:rPr>
                <w:sz w:val="22"/>
                <w:szCs w:val="22"/>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5.52</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3620" w:type="dxa"/>
            <w:vAlign w:val="bottom"/>
            <w:shd w:val="clear" w:color="auto" w:fill="CCEEFF"/>
          </w:tcPr>
          <w:p>
            <w:pPr>
              <w:ind w:left="2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258</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944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w:t>
            </w:r>
          </w:p>
        </w:tc>
      </w:tr>
      <w:tr>
        <w:trPr>
          <w:trHeight w:val="240"/>
        </w:trPr>
        <w:tc>
          <w:tcPr>
            <w:tcW w:w="3620" w:type="dxa"/>
            <w:vAlign w:val="bottom"/>
          </w:tcPr>
          <w:p>
            <w:pPr>
              <w:ind w:left="20"/>
              <w:spacing w:after="0"/>
              <w:rPr>
                <w:sz w:val="20"/>
                <w:szCs w:val="20"/>
                <w:color w:val="auto"/>
              </w:rPr>
            </w:pPr>
            <w:r>
              <w:rPr>
                <w:rFonts w:ascii="Arial" w:cs="Arial" w:eastAsia="Arial" w:hAnsi="Arial"/>
                <w:sz w:val="20"/>
                <w:szCs w:val="20"/>
                <w:color w:val="auto"/>
              </w:rPr>
              <w:t>Non-GAAP net income per share -</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1"/>
        </w:trPr>
        <w:tc>
          <w:tcPr>
            <w:tcW w:w="3620" w:type="dxa"/>
            <w:vAlign w:val="bottom"/>
          </w:tcPr>
          <w:p>
            <w:pPr>
              <w:ind w:left="180"/>
              <w:spacing w:after="0"/>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(2)</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3.04</w:t>
            </w:r>
          </w:p>
        </w:tc>
        <w:tc>
          <w:tcPr>
            <w:tcW w:w="120" w:type="dxa"/>
            <w:vAlign w:val="bottom"/>
          </w:tcPr>
          <w:p>
            <w:pPr>
              <w:spacing w:after="0"/>
              <w:rPr>
                <w:sz w:val="24"/>
                <w:szCs w:val="24"/>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2.23</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4"/>
                <w:szCs w:val="24"/>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11.32</w:t>
            </w:r>
          </w:p>
        </w:tc>
        <w:tc>
          <w:tcPr>
            <w:tcW w:w="100" w:type="dxa"/>
            <w:vAlign w:val="bottom"/>
          </w:tcPr>
          <w:p>
            <w:pPr>
              <w:spacing w:after="0"/>
              <w:rPr>
                <w:sz w:val="24"/>
                <w:szCs w:val="24"/>
                <w:color w:val="auto"/>
              </w:rPr>
            </w:pP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8.12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See Table 3 of this press release for an explanation of revisions made to 2015 non-GAAP amounts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"The hard work of our scientists over the last decades has brought Regeneron to the next phase of our evolution - this year we anticipate launching two additional important therapies, significantly expanding our impact for patients with serious diseases and our company's growth potential," said Leonard S. Schleifer, M.D., Ph.D., President and Chief Executive Officer of Regeneron. "In March, we look forward to the potential U.S. approval of Dupixent, our innovative and breakthrough IL4/13 blocking antibody, in adults with atopic dermatitis. We believe Dupixent may have the potential to help additional patients with serious allergic diseases, with pivotal Phase 3 data in adult asthma patients expected later this year. We are also studying Dupixent in patients with nasal polyps and pediatric patients with asthma or atopic dermatitis."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13" w:lineRule="auto"/>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2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fourth quarter of 2016, net sales of EYLEA in the United States increased 15% to $858 million from $746 million in the fourth quarter of 2015. For the full year of 2016, net sales of EYLEA in the United States increased 24% to $3.323 billion from $2.676 billion for the full year 2015.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hanging="332"/>
        <w:spacing w:after="0" w:line="234"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fourth quarter of 2016,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$496 million, compared to $413 million in the fourth quarter of 2015. In the fourth quarter of 2016, Regeneron recognized $165 million from its share of net profit from EYLEA sales outside the United States, compared to $140 million in the fourth quarter of 2015. For the full year of 2016,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$1.872 billion, compared to $1.413 billion for the full year 2015. For the full year of 2016, Regeneron recognized $649 million from its share of net profit from EYLEA sales outside the United States, compared to $467 million for the full year 2015.</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fourth quarter of 2016, global net sales of Praluent were $41 million, compared to $7 million in the fourth quarter of 2015. For the full year of 2016, global net sales of Praluent were $116 million, compared to $11 million for the full year 2015. Product sales for Praluent are recorded by Sanofi, and the Company shares in any profits or losses from the commercialization of Praluent. Praluent was launched in the United States in the third quarter of 2015 and in certain countries in the European Union commencing in the fourth quarter of 2015.</w:t>
      </w:r>
    </w:p>
    <w:p>
      <w:pPr>
        <w:spacing w:after="0" w:line="2" w:lineRule="exact"/>
        <w:rPr>
          <w:rFonts w:ascii="Arial" w:cs="Arial" w:eastAsia="Arial" w:hAnsi="Arial"/>
          <w:sz w:val="22"/>
          <w:szCs w:val="22"/>
          <w:color w:val="auto"/>
        </w:rPr>
      </w:pPr>
    </w:p>
    <w:p>
      <w:pPr>
        <w:ind w:left="340" w:right="2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On January 5, 2017, the United States District Court for the District of Delaware issued a permanent injunction prohibiting the Company and Sanofi from marketing, selling, or manufacturing Praluent in the United States. On February 8, 2017, the United States Court of Appeals for the Federal Circuit stayed (suspended) the injunction pending appeal. This ruling means that Regeneron and Sanofi will continue marketing, selling, and manufacturing Praluent in the United States during the appeal process.</w:t>
      </w:r>
    </w:p>
    <w:p>
      <w:pPr>
        <w:spacing w:after="0" w:line="2" w:lineRule="exact"/>
        <w:rPr>
          <w:rFonts w:ascii="Arial" w:cs="Arial" w:eastAsia="Arial" w:hAnsi="Arial"/>
          <w:sz w:val="22"/>
          <w:szCs w:val="22"/>
          <w:color w:val="auto"/>
        </w:rPr>
      </w:pPr>
    </w:p>
    <w:p>
      <w:pPr>
        <w:ind w:left="340" w:right="60" w:hanging="332"/>
        <w:spacing w:after="0" w:line="255"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the fourth quarter of 2016, the European Commission approved a Praluent dosing regimen of 300mg every 4 weeks. In January 2017, the U.S. Food and Drug Administration (FDA) extended the review period for the supplemental Biologics License Application (sBLA) for a monthly dosing regimen of Praluent. The FDA determined that Regeneron's and Sanofi's responses to information requested by the FDA during its review of the sBLA was a major amendment, which results in a three month extension of the Prescription Drug User Fee Act (PDUFA) date to allow time for the FDA to review the additional information. The new target action date is April 24, 2017.</w:t>
      </w:r>
    </w:p>
    <w:p>
      <w:pPr>
        <w:ind w:left="340" w:right="20" w:hanging="332"/>
        <w:spacing w:after="0" w:line="24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ODYSSEY OUTCOMES trial remains ongoing, and is assessing the potential of Praluent to demonstrate cardiovascular benefit. In November 2016, an independent Data Monitoring Committee (DMC) completed a second pre-specified interim analysis. Based on the results of this analysis, the DMC recommended the trial continue as planned. The DMC will continue to monitor the ongoing safety and efficacy of Praluent in the trial.</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0" w:lineRule="exact"/>
        <w:rPr>
          <w:sz w:val="20"/>
          <w:szCs w:val="20"/>
          <w:color w:val="auto"/>
        </w:rPr>
      </w:pPr>
    </w:p>
    <w:p>
      <w:pPr>
        <w:jc w:val="both"/>
        <w:ind w:right="300"/>
        <w:spacing w:after="0" w:line="233" w:lineRule="auto"/>
        <w:rPr>
          <w:sz w:val="20"/>
          <w:szCs w:val="20"/>
          <w:color w:val="auto"/>
        </w:rPr>
      </w:pPr>
      <w:r>
        <w:rPr>
          <w:rFonts w:ascii="Arial" w:cs="Arial" w:eastAsia="Arial" w:hAnsi="Arial"/>
          <w:sz w:val="21"/>
          <w:szCs w:val="21"/>
          <w:color w:val="auto"/>
        </w:rPr>
        <w:t xml:space="preserve">Regeneron has sixteen product candidates in clinical development. These consist of EYLEA and fifteen fully human monoclonal antibody product candidates generated using the Company's </w:t>
      </w:r>
      <w:r>
        <w:rPr>
          <w:rFonts w:ascii="Arial" w:cs="Arial" w:eastAsia="Arial" w:hAnsi="Arial"/>
          <w:sz w:val="21"/>
          <w:szCs w:val="21"/>
          <w:i w:val="1"/>
          <w:iCs w:val="1"/>
          <w:color w:val="auto"/>
        </w:rPr>
        <w:t>VelocImmune</w:t>
      </w:r>
      <w:r>
        <w:rPr>
          <w:rFonts w:ascii="Arial" w:cs="Arial" w:eastAsia="Arial" w:hAnsi="Arial"/>
          <w:sz w:val="27"/>
          <w:szCs w:val="27"/>
          <w:i w:val="1"/>
          <w:iCs w:val="1"/>
          <w:color w:val="auto"/>
          <w:vertAlign w:val="superscript"/>
        </w:rPr>
        <w:t>®</w:t>
      </w:r>
      <w:r>
        <w:rPr>
          <w:rFonts w:ascii="Arial" w:cs="Arial" w:eastAsia="Arial" w:hAnsi="Arial"/>
          <w:sz w:val="21"/>
          <w:szCs w:val="21"/>
          <w:color w:val="auto"/>
        </w:rPr>
        <w:t xml:space="preserve"> technology, including six in collaboration with Sanofi. In addition to EYLEA and Praluent, highlights from the antibody pipeline include: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w:t>
      </w:r>
    </w:p>
    <w:p>
      <w:pPr>
        <w:spacing w:after="0" w:line="1" w:lineRule="exact"/>
        <w:rPr>
          <w:sz w:val="20"/>
          <w:szCs w:val="20"/>
          <w:color w:val="auto"/>
        </w:rPr>
      </w:pPr>
    </w:p>
    <w:p>
      <w:pPr>
        <w:ind w:left="660" w:right="140" w:hanging="328"/>
        <w:spacing w:after="0" w:line="228"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2017, Health Canada approved Kevzara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(sarilumab) for the treatment of adult patients with moderately to severely active rheumatoid arthritis who have an inadequate response to or intolerance to one or more biologic or non-biologic Disease-Modifying Anti-Rheumatic Drugs (DMARDs). This is the first approval of Kevzara worldwide.</w:t>
      </w:r>
    </w:p>
    <w:p>
      <w:pPr>
        <w:spacing w:after="0" w:line="1" w:lineRule="exact"/>
        <w:rPr>
          <w:rFonts w:ascii="Arial" w:cs="Arial" w:eastAsia="Arial" w:hAnsi="Arial"/>
          <w:sz w:val="22"/>
          <w:szCs w:val="22"/>
          <w:color w:val="auto"/>
        </w:rPr>
      </w:pPr>
    </w:p>
    <w:p>
      <w:pPr>
        <w:ind w:left="660" w:right="94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July 2016, the European Medicines Agency (EMA) accepted for review the Marketing Authorization Application (MAA) for sarilumab. In addition, in October 2016, an application for marketing approval for sarilumab was submitted in Japan.</w:t>
      </w:r>
    </w:p>
    <w:p>
      <w:pPr>
        <w:spacing w:after="0" w:line="1" w:lineRule="exact"/>
        <w:rPr>
          <w:rFonts w:ascii="Arial" w:cs="Arial" w:eastAsia="Arial" w:hAnsi="Arial"/>
          <w:sz w:val="22"/>
          <w:szCs w:val="22"/>
          <w:color w:val="auto"/>
        </w:rPr>
      </w:pPr>
    </w:p>
    <w:p>
      <w:pPr>
        <w:jc w:val="both"/>
        <w:ind w:left="660" w:right="28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October 28, 2016, the Company and Sanofi announced that the FDA issued a Complete Response Letter (CRL) regarding the BLA for sarilumab. The CRL refers to certain deficiencies identified during a routine good manufacturing practice inspection of the Sanofi fill-and-finish facility in Le Trait, France.</w:t>
      </w:r>
    </w:p>
    <w:p>
      <w:pPr>
        <w:spacing w:after="0" w:line="1" w:lineRule="exact"/>
        <w:rPr>
          <w:rFonts w:ascii="Arial" w:cs="Arial" w:eastAsia="Arial" w:hAnsi="Arial"/>
          <w:sz w:val="22"/>
          <w:szCs w:val="22"/>
          <w:color w:val="auto"/>
        </w:rPr>
      </w:pPr>
    </w:p>
    <w:p>
      <w:pPr>
        <w:ind w:left="660" w:right="18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first quarter of 2017, the Company expects to resubmit the sarilumab BLA, contingent upon successful completion of the pre-approval inspection for Dupixent, and anticipates a two-month review cycle for sarilumab with an action date in the second quarter of 2017. Refer to "Sanofi's Le Trait Facility Update" section below for further information.</w:t>
      </w:r>
    </w:p>
    <w:p>
      <w:pPr>
        <w:spacing w:after="0" w:line="1" w:lineRule="exact"/>
        <w:rPr>
          <w:rFonts w:ascii="Arial" w:cs="Arial" w:eastAsia="Arial" w:hAnsi="Arial"/>
          <w:sz w:val="22"/>
          <w:szCs w:val="22"/>
          <w:color w:val="auto"/>
        </w:rPr>
      </w:pPr>
    </w:p>
    <w:p>
      <w:pPr>
        <w:ind w:left="660" w:right="60" w:hanging="328"/>
        <w:spacing w:after="0" w:line="228"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November 2016, the Company and Sanofi presented additional results from the Phase 3 SARIL-RA-MONARCH study, which demonstrated the superiority of sarilumab monotherapy versus adalimumab (marketed by AbbVie Inc. as HUMIRA</w:t>
      </w:r>
      <w:r>
        <w:rPr>
          <w:rFonts w:ascii="Arial" w:cs="Arial" w:eastAsia="Arial" w:hAnsi="Arial"/>
          <w:sz w:val="28"/>
          <w:szCs w:val="28"/>
          <w:color w:val="auto"/>
          <w:vertAlign w:val="superscript"/>
        </w:rPr>
        <w:t>®</w:t>
      </w:r>
      <w:r>
        <w:rPr>
          <w:rFonts w:ascii="Arial" w:cs="Arial" w:eastAsia="Arial" w:hAnsi="Arial"/>
          <w:sz w:val="22"/>
          <w:szCs w:val="22"/>
          <w:color w:val="auto"/>
        </w:rPr>
        <w:t>) monotherapy in improving the clinical signs and symptoms in adults with active rheumatoid arthritis at the American College of Rheumatology (ACR) Annual Meeting.</w:t>
      </w:r>
    </w:p>
    <w:p>
      <w:pPr>
        <w:spacing w:after="0" w:line="256" w:lineRule="exact"/>
        <w:rPr>
          <w:sz w:val="20"/>
          <w:szCs w:val="20"/>
          <w:color w:val="auto"/>
        </w:rPr>
      </w:pPr>
    </w:p>
    <w:p>
      <w:pPr>
        <w:ind w:left="340" w:right="180"/>
        <w:spacing w:after="0" w:line="243" w:lineRule="auto"/>
        <w:rPr>
          <w:sz w:val="20"/>
          <w:szCs w:val="20"/>
          <w:color w:val="auto"/>
        </w:rPr>
      </w:pPr>
      <w:r>
        <w:rPr>
          <w:rFonts w:ascii="Arial" w:cs="Arial" w:eastAsia="Arial" w:hAnsi="Arial"/>
          <w:sz w:val="22"/>
          <w:szCs w:val="22"/>
          <w:u w:val="single" w:color="auto"/>
          <w:color w:val="auto"/>
        </w:rPr>
        <w:t>Dupixent (dupilumab)</w:t>
      </w:r>
      <w:r>
        <w:rPr>
          <w:rFonts w:ascii="Arial" w:cs="Arial" w:eastAsia="Arial" w:hAnsi="Arial"/>
          <w:sz w:val="22"/>
          <w:szCs w:val="22"/>
          <w:color w:val="auto"/>
        </w:rPr>
        <w:t>, the Company's antibody that blocks signaling of IL-4 and IL-13, is currently being studied in atopic dermatitis, asthma, nasal polyps, and eosinophilic esophagitis.</w:t>
      </w:r>
    </w:p>
    <w:p>
      <w:pPr>
        <w:spacing w:after="0" w:line="1" w:lineRule="exact"/>
        <w:rPr>
          <w:sz w:val="20"/>
          <w:szCs w:val="20"/>
          <w:color w:val="auto"/>
        </w:rPr>
      </w:pPr>
    </w:p>
    <w:p>
      <w:pPr>
        <w:jc w:val="both"/>
        <w:ind w:left="660" w:right="4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previously designated Dupixent as a Breakthrough Therapy for the treatment of adult patients with inadequately controlled moderate-to-severe atopic dermatitis, and in September 2016, accepted the BLA for priority review with a target action date of March 29, 2017.</w:t>
      </w:r>
    </w:p>
    <w:p>
      <w:pPr>
        <w:spacing w:after="0" w:line="1" w:lineRule="exact"/>
        <w:rPr>
          <w:rFonts w:ascii="Arial" w:cs="Arial" w:eastAsia="Arial" w:hAnsi="Arial"/>
          <w:sz w:val="22"/>
          <w:szCs w:val="22"/>
          <w:color w:val="auto"/>
        </w:rPr>
      </w:pPr>
    </w:p>
    <w:p>
      <w:pPr>
        <w:ind w:left="660" w:hanging="328"/>
        <w:spacing w:after="0" w:line="255" w:lineRule="auto"/>
        <w:tabs>
          <w:tab w:leader="none" w:pos="66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October 2016, the FDA granted Breakthrough Therapy designation for Dupixent for the treatment of moderate to severe (12 to less than 18 years of age) and severe (6 months to less than 12 years of age) atopic dermatitis in pediatric patients who are not adequately controlled with, or who are intolerant to, topical medication.</w:t>
      </w:r>
    </w:p>
    <w:p>
      <w:pPr>
        <w:ind w:left="660" w:right="20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October 2016, additional data from LIBERTY AD SOLO 1 and SOLO 2 atopic dermatitis studies of Dupixent were presented at the European Academy of Dermatology and Venereology conference and simultaneously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660" w:right="980" w:hanging="328"/>
        <w:spacing w:after="0" w:line="249"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December 2016, the EMA accepted for review the MAA for Dupixent for the treatment of adults with moderate-to-severe atopic dermatitis who are candidates for systemic therapy.</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4" w:right="279" w:bottom="1440" w:gutter="0" w:footer="0" w:header="0"/>
        </w:sectPr>
      </w:pPr>
    </w:p>
    <w:bookmarkStart w:id="7" w:name="page8"/>
    <w:bookmarkEnd w:id="7"/>
    <w:p>
      <w:pPr>
        <w:ind w:left="328" w:right="500" w:hanging="328"/>
        <w:spacing w:after="0" w:line="243" w:lineRule="auto"/>
        <w:tabs>
          <w:tab w:leader="none" w:pos="32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pivotal Phase 3 LIBERTY ASTHMA QUEST study of dupilumab for the treatment of asthma completed enrollment during the third quarter of 2016.</w:t>
      </w:r>
    </w:p>
    <w:p>
      <w:pPr>
        <w:ind w:left="328" w:hanging="328"/>
        <w:spacing w:after="0"/>
        <w:tabs>
          <w:tab w:leader="none" w:pos="328"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of dupilumab for the treatment of nasal polyps was initiated in the fourth quarter of 2016.</w:t>
      </w:r>
    </w:p>
    <w:p>
      <w:pPr>
        <w:spacing w:after="0" w:line="260" w:lineRule="exact"/>
        <w:rPr>
          <w:sz w:val="20"/>
          <w:szCs w:val="20"/>
          <w:color w:val="auto"/>
        </w:rPr>
      </w:pPr>
    </w:p>
    <w:p>
      <w:pPr>
        <w:ind w:left="8"/>
        <w:spacing w:after="0"/>
        <w:rPr>
          <w:sz w:val="20"/>
          <w:szCs w:val="20"/>
          <w:color w:val="auto"/>
        </w:rPr>
      </w:pPr>
      <w:r>
        <w:rPr>
          <w:rFonts w:ascii="Arial" w:cs="Arial" w:eastAsia="Arial" w:hAnsi="Arial"/>
          <w:sz w:val="22"/>
          <w:szCs w:val="22"/>
          <w:u w:val="single" w:color="auto"/>
          <w:color w:val="auto"/>
        </w:rPr>
        <w:t>Sanofi's Le Trait Facility Update</w:t>
      </w:r>
    </w:p>
    <w:p>
      <w:pPr>
        <w:spacing w:after="0" w:line="4" w:lineRule="exact"/>
        <w:rPr>
          <w:sz w:val="20"/>
          <w:szCs w:val="20"/>
          <w:color w:val="auto"/>
        </w:rPr>
      </w:pPr>
    </w:p>
    <w:p>
      <w:pPr>
        <w:ind w:left="328" w:right="120" w:hanging="328"/>
        <w:spacing w:after="0" w:line="249" w:lineRule="auto"/>
        <w:tabs>
          <w:tab w:leader="none" w:pos="328" w:val="left"/>
        </w:tabs>
        <w:numPr>
          <w:ilvl w:val="0"/>
          <w:numId w:val="8"/>
        </w:numPr>
        <w:rPr>
          <w:rFonts w:ascii="Arial" w:cs="Arial" w:eastAsia="Arial" w:hAnsi="Arial"/>
          <w:sz w:val="22"/>
          <w:szCs w:val="22"/>
          <w:color w:val="auto"/>
        </w:rPr>
      </w:pPr>
      <w:r>
        <w:rPr>
          <w:rFonts w:ascii="Arial" w:cs="Arial" w:eastAsia="Arial" w:hAnsi="Arial"/>
          <w:sz w:val="22"/>
          <w:szCs w:val="22"/>
          <w:color w:val="auto"/>
        </w:rPr>
        <w:t>Sanofi's facility in Le Trait, France conducts fill-and-finish activities for certain products, including sarilumab and dupilumab</w:t>
      </w:r>
      <w:r>
        <w:rPr>
          <w:rFonts w:ascii="Arial" w:cs="Arial" w:eastAsia="Arial" w:hAnsi="Arial"/>
          <w:sz w:val="18"/>
          <w:szCs w:val="18"/>
          <w:color w:val="auto"/>
        </w:rPr>
        <w:t>.</w:t>
      </w:r>
    </w:p>
    <w:p>
      <w:pPr>
        <w:spacing w:after="0" w:line="1" w:lineRule="exact"/>
        <w:rPr>
          <w:rFonts w:ascii="Arial" w:cs="Arial" w:eastAsia="Arial" w:hAnsi="Arial"/>
          <w:sz w:val="22"/>
          <w:szCs w:val="22"/>
          <w:color w:val="auto"/>
        </w:rPr>
      </w:pPr>
    </w:p>
    <w:p>
      <w:pPr>
        <w:ind w:left="328" w:right="220" w:hanging="328"/>
        <w:spacing w:after="0" w:line="243" w:lineRule="auto"/>
        <w:tabs>
          <w:tab w:leader="none" w:pos="328"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FDA has reclassified the Le Trait fill-and-finish facility as "acceptable" based on review of responses to an FDA Form 483.</w:t>
      </w:r>
    </w:p>
    <w:p>
      <w:pPr>
        <w:ind w:left="328" w:hanging="328"/>
        <w:spacing w:after="0"/>
        <w:tabs>
          <w:tab w:leader="none" w:pos="328"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pre-approval inspection for Dupixent has been scheduled for the first quarter of 2017.</w:t>
      </w:r>
    </w:p>
    <w:p>
      <w:pPr>
        <w:spacing w:after="0" w:line="260" w:lineRule="exact"/>
        <w:rPr>
          <w:sz w:val="20"/>
          <w:szCs w:val="20"/>
          <w:color w:val="auto"/>
        </w:rPr>
      </w:pPr>
    </w:p>
    <w:p>
      <w:pPr>
        <w:jc w:val="both"/>
        <w:ind w:left="8" w:right="220"/>
        <w:spacing w:after="0" w:line="246"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the Company's antibody to programmed cell death protein 1 (PD-1), is being studied in patients with cancer. A Phase 2 potentially pivotal study for the treatment of advanced cutaneous squamous cell carcinoma, as well as various Phase 1 studies, continue to enroll patients.</w:t>
      </w:r>
    </w:p>
    <w:p>
      <w:pPr>
        <w:spacing w:after="0" w:line="249" w:lineRule="exact"/>
        <w:rPr>
          <w:sz w:val="20"/>
          <w:szCs w:val="20"/>
          <w:color w:val="auto"/>
        </w:rPr>
      </w:pPr>
    </w:p>
    <w:p>
      <w:pPr>
        <w:ind w:left="8" w:right="340"/>
        <w:spacing w:after="0" w:line="243"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the Company's antibody targeting Nerve Growth Factor (NGF), is being studied in patients with pain due to osteoarthritis and chronic low back pain.</w:t>
      </w:r>
    </w:p>
    <w:p>
      <w:pPr>
        <w:spacing w:after="0" w:line="1" w:lineRule="exact"/>
        <w:rPr>
          <w:sz w:val="20"/>
          <w:szCs w:val="20"/>
          <w:color w:val="auto"/>
        </w:rPr>
      </w:pPr>
    </w:p>
    <w:p>
      <w:pPr>
        <w:ind w:left="328" w:right="60" w:hanging="328"/>
        <w:spacing w:after="0" w:line="243"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2016, the FDA placed the Phase 2b study of fasinumab in chronic low back pain on clinical hold and requested an amendment of the study protocol; this was based on the FDA's recommendation that patients with advanced osteoarthritis at baseline not receive higher doses of fasinumab. Following this development, the Company completed an unplanned analysis which showed clear evidence of efficacy with improvement in pain scores in all fasinumab groups compared to placebo at the 8- and 12-week time points, and preliminary safety results are generally consistent with what has been previously reported with the class. The Company and Teva plan to design pivotal Phase 3 studies in chronic low back pain.</w:t>
      </w:r>
    </w:p>
    <w:p>
      <w:pPr>
        <w:spacing w:after="0" w:line="3" w:lineRule="exact"/>
        <w:rPr>
          <w:rFonts w:ascii="Arial" w:cs="Arial" w:eastAsia="Arial" w:hAnsi="Arial"/>
          <w:sz w:val="22"/>
          <w:szCs w:val="22"/>
          <w:color w:val="auto"/>
        </w:rPr>
      </w:pPr>
    </w:p>
    <w:p>
      <w:pPr>
        <w:ind w:left="328" w:hanging="328"/>
        <w:spacing w:after="0" w:line="244"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October 2016, the Company announced that at the 36-week analysis of the Phase 2/3 clinical study of fasinumab in patients with moderate-to-severe osteoarthritis pain of the hip or knee, the incidence of adjudicated arthropathies was found to be potentially dose-dependent, with a higher rate of patients experiencing arthropathies in the higher dose groups. In the ongoing fasinumab osteoarthritis pivotal Phase 3 program, the Company and Teva are planning to advance only the lower doses from the Phase 2/3 study, subject to discussion with the FDA and other health authorities.</w:t>
      </w:r>
    </w:p>
    <w:p>
      <w:pPr>
        <w:spacing w:after="0" w:line="253" w:lineRule="exact"/>
        <w:rPr>
          <w:sz w:val="20"/>
          <w:szCs w:val="20"/>
          <w:color w:val="auto"/>
        </w:rPr>
      </w:pPr>
    </w:p>
    <w:p>
      <w:pPr>
        <w:ind w:left="8" w:right="60"/>
        <w:spacing w:after="0" w:line="245" w:lineRule="auto"/>
        <w:rPr>
          <w:sz w:val="20"/>
          <w:szCs w:val="20"/>
          <w:color w:val="auto"/>
        </w:rPr>
      </w:pPr>
      <w:r>
        <w:rPr>
          <w:rFonts w:ascii="Arial" w:cs="Arial" w:eastAsia="Arial" w:hAnsi="Arial"/>
          <w:sz w:val="22"/>
          <w:szCs w:val="22"/>
          <w:u w:val="single" w:color="auto"/>
          <w:color w:val="auto"/>
        </w:rPr>
        <w:t>Nesvacumab</w:t>
      </w:r>
      <w:r>
        <w:rPr>
          <w:rFonts w:ascii="Arial" w:cs="Arial" w:eastAsia="Arial" w:hAnsi="Arial"/>
          <w:sz w:val="22"/>
          <w:szCs w:val="22"/>
          <w:color w:val="auto"/>
        </w:rPr>
        <w:t>, an antibody to Ang2 co-formulated with aflibercept for intravitreal injection, is currently being studied in patients with neovascular age-related macular degeneration (wet AMD) and diabetic macular edema (DME). The Phase 2 RUBY study of nesvacumab/aflibercept for the treatment of DME completed enrollment during the fourth quarter of 2016, and the Phase 2 ONYX study of nesvacumab/aflibercept for the treatment of wet AMD completed enrollment during the first quarter of 2017.</w:t>
      </w:r>
    </w:p>
    <w:p>
      <w:pPr>
        <w:spacing w:after="0" w:line="248" w:lineRule="exact"/>
        <w:rPr>
          <w:sz w:val="20"/>
          <w:szCs w:val="20"/>
          <w:color w:val="auto"/>
        </w:rPr>
      </w:pPr>
    </w:p>
    <w:p>
      <w:pPr>
        <w:ind w:left="8" w:right="220"/>
        <w:spacing w:after="0" w:line="249" w:lineRule="auto"/>
        <w:rPr>
          <w:sz w:val="20"/>
          <w:szCs w:val="20"/>
          <w:color w:val="auto"/>
        </w:rPr>
      </w:pPr>
      <w:r>
        <w:rPr>
          <w:rFonts w:ascii="Arial" w:cs="Arial" w:eastAsia="Arial" w:hAnsi="Arial"/>
          <w:sz w:val="22"/>
          <w:szCs w:val="22"/>
          <w:u w:val="single" w:color="auto"/>
          <w:color w:val="auto"/>
        </w:rPr>
        <w:t>REGN3767</w:t>
      </w:r>
      <w:r>
        <w:rPr>
          <w:rFonts w:ascii="Arial" w:cs="Arial" w:eastAsia="Arial" w:hAnsi="Arial"/>
          <w:sz w:val="22"/>
          <w:szCs w:val="22"/>
          <w:color w:val="auto"/>
        </w:rPr>
        <w:t>, an antibody to Lymphocyte Activation Gene 3 (LAG-3) protein, entered Phase 1 clinical development for treatment of advanced malignancies in the fourth quarter of 2016.</w:t>
      </w:r>
    </w:p>
    <w:p>
      <w:pPr>
        <w:spacing w:after="0" w:line="245" w:lineRule="exact"/>
        <w:rPr>
          <w:sz w:val="20"/>
          <w:szCs w:val="20"/>
          <w:color w:val="auto"/>
        </w:rPr>
      </w:pPr>
    </w:p>
    <w:p>
      <w:pPr>
        <w:ind w:left="8" w:right="1000"/>
        <w:spacing w:after="0" w:line="249" w:lineRule="auto"/>
        <w:rPr>
          <w:sz w:val="20"/>
          <w:szCs w:val="20"/>
          <w:color w:val="auto"/>
        </w:rPr>
      </w:pPr>
      <w:r>
        <w:rPr>
          <w:rFonts w:ascii="Arial" w:cs="Arial" w:eastAsia="Arial" w:hAnsi="Arial"/>
          <w:sz w:val="22"/>
          <w:szCs w:val="22"/>
          <w:u w:val="single" w:color="auto"/>
          <w:color w:val="auto"/>
        </w:rPr>
        <w:t>REGN2477</w:t>
      </w:r>
      <w:r>
        <w:rPr>
          <w:rFonts w:ascii="Arial" w:cs="Arial" w:eastAsia="Arial" w:hAnsi="Arial"/>
          <w:sz w:val="22"/>
          <w:szCs w:val="22"/>
          <w:color w:val="auto"/>
        </w:rPr>
        <w:t>, an antibody to Activin A, received orphan drug designation from the FDA for the treatment of Fibrodysplasia Ossificans Progressiva (FOP) in the first quarter of 2017.</w:t>
      </w:r>
    </w:p>
    <w:p>
      <w:pPr>
        <w:spacing w:after="0" w:line="200" w:lineRule="exact"/>
        <w:rPr>
          <w:sz w:val="20"/>
          <w:szCs w:val="20"/>
          <w:color w:val="auto"/>
        </w:rPr>
      </w:pPr>
    </w:p>
    <w:p>
      <w:pPr>
        <w:spacing w:after="0" w:line="26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8"/>
          </w:cols>
          <w:pgMar w:left="572" w:top="390"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Select Upcoming 2017 Milestones</w:t>
      </w:r>
    </w:p>
    <w:p>
      <w:pPr>
        <w:spacing w:after="0" w:line="157" w:lineRule="exact"/>
        <w:rPr>
          <w:sz w:val="20"/>
          <w:szCs w:val="20"/>
          <w:color w:val="auto"/>
        </w:rPr>
      </w:pPr>
    </w:p>
    <w:tbl>
      <w:tblPr>
        <w:tblLayout w:type="fixed"/>
        <w:tblInd w:w="840" w:type="dxa"/>
        <w:tblCellMar>
          <w:top w:w="0" w:type="dxa"/>
          <w:left w:w="0" w:type="dxa"/>
          <w:bottom w:w="0" w:type="dxa"/>
          <w:right w:w="0" w:type="dxa"/>
        </w:tblCellMar>
      </w:tblPr>
      <w:tr>
        <w:trPr>
          <w:trHeight w:val="266"/>
        </w:trPr>
        <w:tc>
          <w:tcPr>
            <w:tcW w:w="3480" w:type="dxa"/>
            <w:vAlign w:val="bottom"/>
            <w:tcBorders>
              <w:bottom w:val="single" w:sz="8" w:color="auto"/>
            </w:tcBorders>
          </w:tcPr>
          <w:p>
            <w:pPr>
              <w:ind w:left="1280"/>
              <w:spacing w:after="0"/>
              <w:rPr>
                <w:sz w:val="20"/>
                <w:szCs w:val="20"/>
                <w:color w:val="auto"/>
              </w:rPr>
            </w:pPr>
            <w:r>
              <w:rPr>
                <w:rFonts w:ascii="Arial" w:cs="Arial" w:eastAsia="Arial" w:hAnsi="Arial"/>
                <w:sz w:val="20"/>
                <w:szCs w:val="20"/>
                <w:b w:val="1"/>
                <w:bCs w:val="1"/>
                <w:color w:val="auto"/>
              </w:rPr>
              <w:t>Programs</w:t>
            </w:r>
          </w:p>
        </w:tc>
        <w:tc>
          <w:tcPr>
            <w:tcW w:w="6420" w:type="dxa"/>
            <w:vAlign w:val="bottom"/>
            <w:tcBorders>
              <w:bottom w:val="single" w:sz="8" w:color="auto"/>
            </w:tcBorders>
          </w:tcPr>
          <w:p>
            <w:pPr>
              <w:ind w:left="2800"/>
              <w:spacing w:after="0"/>
              <w:rPr>
                <w:sz w:val="20"/>
                <w:szCs w:val="20"/>
                <w:color w:val="auto"/>
              </w:rPr>
            </w:pPr>
            <w:r>
              <w:rPr>
                <w:rFonts w:ascii="Arial" w:cs="Arial" w:eastAsia="Arial" w:hAnsi="Arial"/>
                <w:sz w:val="20"/>
                <w:szCs w:val="20"/>
                <w:b w:val="1"/>
                <w:bCs w:val="1"/>
                <w:color w:val="auto"/>
              </w:rPr>
              <w:t>Milestones</w:t>
            </w:r>
          </w:p>
        </w:tc>
      </w:tr>
      <w:tr>
        <w:trPr>
          <w:trHeight w:val="259"/>
        </w:trPr>
        <w:tc>
          <w:tcPr>
            <w:tcW w:w="3480" w:type="dxa"/>
            <w:vAlign w:val="bottom"/>
          </w:tcPr>
          <w:p>
            <w:pPr>
              <w:ind w:left="40"/>
              <w:spacing w:after="0"/>
              <w:rPr>
                <w:sz w:val="20"/>
                <w:szCs w:val="20"/>
                <w:color w:val="auto"/>
              </w:rPr>
            </w:pPr>
            <w:r>
              <w:rPr>
                <w:rFonts w:ascii="Arial" w:cs="Arial" w:eastAsia="Arial" w:hAnsi="Arial"/>
                <w:sz w:val="20"/>
                <w:szCs w:val="20"/>
                <w:color w:val="auto"/>
              </w:rPr>
              <w:t>Praluent</w:t>
            </w:r>
          </w:p>
        </w:tc>
        <w:tc>
          <w:tcPr>
            <w:tcW w:w="6420" w:type="dxa"/>
            <w:vAlign w:val="bottom"/>
          </w:tcPr>
          <w:p>
            <w:pPr>
              <w:ind w:left="20"/>
              <w:spacing w:after="0"/>
              <w:rPr>
                <w:sz w:val="20"/>
                <w:szCs w:val="20"/>
                <w:color w:val="auto"/>
              </w:rPr>
            </w:pPr>
            <w:r>
              <w:rPr>
                <w:rFonts w:ascii="Arial" w:cs="Arial" w:eastAsia="Arial" w:hAnsi="Arial"/>
                <w:sz w:val="20"/>
                <w:szCs w:val="20"/>
                <w:color w:val="auto"/>
              </w:rPr>
              <w:t>Ÿ Complete ODYSSEY OUTCOMES study</w:t>
            </w:r>
          </w:p>
        </w:tc>
      </w:tr>
      <w:tr>
        <w:trPr>
          <w:trHeight w:val="23"/>
        </w:trPr>
        <w:tc>
          <w:tcPr>
            <w:tcW w:w="3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33"/>
        </w:trPr>
        <w:tc>
          <w:tcPr>
            <w:tcW w:w="3480" w:type="dxa"/>
            <w:vAlign w:val="bottom"/>
            <w:shd w:val="clear" w:color="auto" w:fill="CCEEFF"/>
          </w:tcPr>
          <w:p>
            <w:pPr>
              <w:ind w:left="40"/>
              <w:spacing w:after="0"/>
              <w:rPr>
                <w:sz w:val="20"/>
                <w:szCs w:val="20"/>
                <w:color w:val="auto"/>
              </w:rPr>
            </w:pPr>
            <w:r>
              <w:rPr>
                <w:rFonts w:ascii="Arial" w:cs="Arial" w:eastAsia="Arial" w:hAnsi="Arial"/>
                <w:sz w:val="20"/>
                <w:szCs w:val="20"/>
                <w:color w:val="auto"/>
              </w:rPr>
              <w:t>Sarilumab (IL-6R Antibody)</w:t>
            </w:r>
          </w:p>
        </w:tc>
        <w:tc>
          <w:tcPr>
            <w:tcW w:w="6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 Re-submission of the BLA in the first quarter of 2017 contingent upon</w:t>
            </w:r>
          </w:p>
        </w:tc>
      </w:tr>
      <w:tr>
        <w:trPr>
          <w:trHeight w:val="216"/>
        </w:trPr>
        <w:tc>
          <w:tcPr>
            <w:tcW w:w="3480" w:type="dxa"/>
            <w:vAlign w:val="bottom"/>
            <w:shd w:val="clear" w:color="auto" w:fill="CCEEFF"/>
          </w:tcPr>
          <w:p>
            <w:pPr>
              <w:spacing w:after="0"/>
              <w:rPr>
                <w:sz w:val="18"/>
                <w:szCs w:val="18"/>
                <w:color w:val="auto"/>
              </w:rPr>
            </w:pPr>
          </w:p>
        </w:tc>
        <w:tc>
          <w:tcPr>
            <w:tcW w:w="6420" w:type="dxa"/>
            <w:vAlign w:val="bottom"/>
            <w:shd w:val="clear" w:color="auto" w:fill="CCEEFF"/>
          </w:tcPr>
          <w:p>
            <w:pPr>
              <w:ind w:left="220"/>
              <w:spacing w:after="0" w:line="216" w:lineRule="exact"/>
              <w:rPr>
                <w:sz w:val="20"/>
                <w:szCs w:val="20"/>
                <w:color w:val="auto"/>
              </w:rPr>
            </w:pPr>
            <w:r>
              <w:rPr>
                <w:rFonts w:ascii="Arial" w:cs="Arial" w:eastAsia="Arial" w:hAnsi="Arial"/>
                <w:sz w:val="20"/>
                <w:szCs w:val="20"/>
                <w:color w:val="auto"/>
              </w:rPr>
              <w:t>successful FDA re-inspection of Le Trait facility. FDA action would</w:t>
            </w:r>
          </w:p>
        </w:tc>
      </w:tr>
      <w:tr>
        <w:trPr>
          <w:trHeight w:val="237"/>
        </w:trPr>
        <w:tc>
          <w:tcPr>
            <w:tcW w:w="3480" w:type="dxa"/>
            <w:vAlign w:val="bottom"/>
            <w:shd w:val="clear" w:color="auto" w:fill="CCEEFF"/>
          </w:tcPr>
          <w:p>
            <w:pPr>
              <w:spacing w:after="0"/>
              <w:rPr>
                <w:sz w:val="20"/>
                <w:szCs w:val="20"/>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then be expected in the second quarter of 2017.</w:t>
            </w:r>
          </w:p>
        </w:tc>
      </w:tr>
      <w:tr>
        <w:trPr>
          <w:trHeight w:val="249"/>
        </w:trPr>
        <w:tc>
          <w:tcPr>
            <w:tcW w:w="3480" w:type="dxa"/>
            <w:vAlign w:val="bottom"/>
            <w:shd w:val="clear" w:color="auto" w:fill="CCEEFF"/>
          </w:tcPr>
          <w:p>
            <w:pPr>
              <w:spacing w:after="0"/>
              <w:rPr>
                <w:sz w:val="21"/>
                <w:szCs w:val="21"/>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 Submission for additional regulatory approvals and regulatory agency</w:t>
            </w:r>
          </w:p>
        </w:tc>
      </w:tr>
      <w:tr>
        <w:trPr>
          <w:trHeight w:val="242"/>
        </w:trPr>
        <w:tc>
          <w:tcPr>
            <w:tcW w:w="3480" w:type="dxa"/>
            <w:vAlign w:val="bottom"/>
            <w:tcBorders>
              <w:bottom w:val="single" w:sz="8" w:color="auto"/>
            </w:tcBorders>
            <w:shd w:val="clear" w:color="auto" w:fill="CCEEFF"/>
          </w:tcPr>
          <w:p>
            <w:pPr>
              <w:spacing w:after="0"/>
              <w:rPr>
                <w:sz w:val="21"/>
                <w:szCs w:val="21"/>
                <w:color w:val="auto"/>
              </w:rPr>
            </w:pPr>
          </w:p>
        </w:tc>
        <w:tc>
          <w:tcPr>
            <w:tcW w:w="6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20"/>
                <w:szCs w:val="20"/>
                <w:color w:val="auto"/>
              </w:rPr>
              <w:t>decisions on applications outside of the United States</w:t>
            </w:r>
          </w:p>
        </w:tc>
      </w:tr>
      <w:tr>
        <w:trPr>
          <w:trHeight w:val="259"/>
        </w:trPr>
        <w:tc>
          <w:tcPr>
            <w:tcW w:w="3480" w:type="dxa"/>
            <w:vAlign w:val="bottom"/>
          </w:tcPr>
          <w:p>
            <w:pPr>
              <w:ind w:left="40"/>
              <w:spacing w:after="0"/>
              <w:rPr>
                <w:sz w:val="20"/>
                <w:szCs w:val="20"/>
                <w:color w:val="auto"/>
              </w:rPr>
            </w:pPr>
            <w:r>
              <w:rPr>
                <w:rFonts w:ascii="Arial" w:cs="Arial" w:eastAsia="Arial" w:hAnsi="Arial"/>
                <w:sz w:val="20"/>
                <w:szCs w:val="20"/>
                <w:color w:val="auto"/>
              </w:rPr>
              <w:t>Dupilumab (IL-4R Antibody)</w:t>
            </w:r>
          </w:p>
        </w:tc>
        <w:tc>
          <w:tcPr>
            <w:tcW w:w="6420" w:type="dxa"/>
            <w:vAlign w:val="bottom"/>
          </w:tcPr>
          <w:p>
            <w:pPr>
              <w:ind w:left="20"/>
              <w:spacing w:after="0"/>
              <w:rPr>
                <w:sz w:val="20"/>
                <w:szCs w:val="20"/>
                <w:color w:val="auto"/>
              </w:rPr>
            </w:pPr>
            <w:r>
              <w:rPr>
                <w:rFonts w:ascii="Arial" w:cs="Arial" w:eastAsia="Arial" w:hAnsi="Arial"/>
                <w:sz w:val="20"/>
                <w:szCs w:val="20"/>
                <w:color w:val="auto"/>
              </w:rPr>
              <w:t>Ÿ FDA target action date of March 29, 2017 for atopic dermatitis</w:t>
            </w:r>
          </w:p>
        </w:tc>
      </w:tr>
      <w:tr>
        <w:trPr>
          <w:trHeight w:val="284"/>
        </w:trPr>
        <w:tc>
          <w:tcPr>
            <w:tcW w:w="348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Report results from Phase 3 asthma study</w:t>
            </w:r>
          </w:p>
        </w:tc>
      </w:tr>
      <w:tr>
        <w:trPr>
          <w:trHeight w:val="284"/>
        </w:trPr>
        <w:tc>
          <w:tcPr>
            <w:tcW w:w="348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Submit sBLA for asthma in adults</w:t>
            </w:r>
          </w:p>
        </w:tc>
      </w:tr>
      <w:tr>
        <w:trPr>
          <w:trHeight w:val="284"/>
        </w:trPr>
        <w:tc>
          <w:tcPr>
            <w:tcW w:w="348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Report results from Phase 2 study in eosinophilic esophagitis</w:t>
            </w:r>
          </w:p>
        </w:tc>
      </w:tr>
      <w:tr>
        <w:trPr>
          <w:trHeight w:val="263"/>
        </w:trPr>
        <w:tc>
          <w:tcPr>
            <w:tcW w:w="3480" w:type="dxa"/>
            <w:vAlign w:val="bottom"/>
          </w:tcPr>
          <w:p>
            <w:pPr>
              <w:spacing w:after="0"/>
              <w:rPr>
                <w:sz w:val="22"/>
                <w:szCs w:val="22"/>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Initiate Phase 3 studies in pediatric patients in atopic dermatitis and</w:t>
            </w:r>
          </w:p>
        </w:tc>
      </w:tr>
      <w:tr>
        <w:trPr>
          <w:trHeight w:val="237"/>
        </w:trPr>
        <w:tc>
          <w:tcPr>
            <w:tcW w:w="3480" w:type="dxa"/>
            <w:vAlign w:val="bottom"/>
          </w:tcPr>
          <w:p>
            <w:pPr>
              <w:spacing w:after="0"/>
              <w:rPr>
                <w:sz w:val="20"/>
                <w:szCs w:val="20"/>
                <w:color w:val="auto"/>
              </w:rPr>
            </w:pPr>
          </w:p>
        </w:tc>
        <w:tc>
          <w:tcPr>
            <w:tcW w:w="6420" w:type="dxa"/>
            <w:vAlign w:val="bottom"/>
          </w:tcPr>
          <w:p>
            <w:pPr>
              <w:ind w:left="220"/>
              <w:spacing w:after="0"/>
              <w:rPr>
                <w:sz w:val="20"/>
                <w:szCs w:val="20"/>
                <w:color w:val="auto"/>
              </w:rPr>
            </w:pPr>
            <w:r>
              <w:rPr>
                <w:rFonts w:ascii="Arial" w:cs="Arial" w:eastAsia="Arial" w:hAnsi="Arial"/>
                <w:sz w:val="20"/>
                <w:szCs w:val="20"/>
                <w:color w:val="auto"/>
              </w:rPr>
              <w:t>asthma</w:t>
            </w:r>
          </w:p>
        </w:tc>
      </w:tr>
      <w:tr>
        <w:trPr>
          <w:trHeight w:val="270"/>
        </w:trPr>
        <w:tc>
          <w:tcPr>
            <w:tcW w:w="3480" w:type="dxa"/>
            <w:vAlign w:val="bottom"/>
          </w:tcPr>
          <w:p>
            <w:pPr>
              <w:spacing w:after="0"/>
              <w:rPr>
                <w:sz w:val="23"/>
                <w:szCs w:val="23"/>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Initiate Phase 2 study in food allergies</w:t>
            </w:r>
          </w:p>
        </w:tc>
      </w:tr>
      <w:tr>
        <w:trPr>
          <w:trHeight w:val="23"/>
        </w:trPr>
        <w:tc>
          <w:tcPr>
            <w:tcW w:w="3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82"/>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REGN2222 (RSV-F Antibody)</w:t>
            </w: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 Report results from Phase 3 study</w:t>
            </w:r>
          </w:p>
        </w:tc>
      </w:tr>
      <w:tr>
        <w:trPr>
          <w:trHeight w:val="254"/>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Fasinumab (NGF Antibody)</w:t>
            </w:r>
          </w:p>
        </w:tc>
        <w:tc>
          <w:tcPr>
            <w:tcW w:w="64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Ÿ Initiate additional Phase 3 study in patients with osteoarthritis pain</w:t>
            </w:r>
          </w:p>
        </w:tc>
      </w:tr>
      <w:tr>
        <w:trPr>
          <w:trHeight w:val="284"/>
        </w:trPr>
        <w:tc>
          <w:tcPr>
            <w:tcW w:w="348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20"/>
                <w:szCs w:val="20"/>
                <w:color w:val="auto"/>
              </w:rPr>
              <w:t>Ÿ Initiate Phase 3 study in chronic low back pain</w:t>
            </w:r>
          </w:p>
        </w:tc>
      </w:tr>
      <w:tr>
        <w:trPr>
          <w:trHeight w:val="23"/>
        </w:trPr>
        <w:tc>
          <w:tcPr>
            <w:tcW w:w="34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54"/>
        </w:trPr>
        <w:tc>
          <w:tcPr>
            <w:tcW w:w="348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REGN2810 (PD-1 Antibody)</w:t>
            </w:r>
          </w:p>
        </w:tc>
        <w:tc>
          <w:tcPr>
            <w:tcW w:w="6420" w:type="dxa"/>
            <w:vAlign w:val="bottom"/>
            <w:shd w:val="clear" w:color="auto" w:fill="CCEEFF"/>
          </w:tcPr>
          <w:p>
            <w:pPr>
              <w:ind w:left="20"/>
              <w:spacing w:after="0"/>
              <w:rPr>
                <w:sz w:val="20"/>
                <w:szCs w:val="20"/>
                <w:color w:val="auto"/>
              </w:rPr>
            </w:pPr>
            <w:r>
              <w:rPr>
                <w:rFonts w:ascii="Arial" w:cs="Arial" w:eastAsia="Arial" w:hAnsi="Arial"/>
                <w:sz w:val="20"/>
                <w:szCs w:val="20"/>
                <w:color w:val="auto"/>
              </w:rPr>
              <w:t>Ÿ Initiate Phase 2 study in non-small cell lung cancer</w:t>
            </w:r>
          </w:p>
        </w:tc>
      </w:tr>
      <w:tr>
        <w:trPr>
          <w:trHeight w:val="312"/>
        </w:trPr>
        <w:tc>
          <w:tcPr>
            <w:tcW w:w="3480" w:type="dxa"/>
            <w:vAlign w:val="bottom"/>
            <w:tcBorders>
              <w:bottom w:val="single" w:sz="8" w:color="CCEEFF"/>
            </w:tcBorders>
            <w:shd w:val="clear" w:color="auto" w:fill="CCEEFF"/>
          </w:tcPr>
          <w:p>
            <w:pPr>
              <w:spacing w:after="0"/>
              <w:rPr>
                <w:sz w:val="24"/>
                <w:szCs w:val="24"/>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Ÿ Initiate Phase 2 study in basal cell carcinoma</w:t>
            </w:r>
          </w:p>
        </w:tc>
      </w:tr>
      <w:tr>
        <w:trPr>
          <w:trHeight w:val="233"/>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Nesvacumab/aflibercept (Ang2</w:t>
            </w:r>
          </w:p>
        </w:tc>
        <w:tc>
          <w:tcPr>
            <w:tcW w:w="64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Ÿ Report data from Phase 2 studies in DME and wet AMD</w:t>
            </w:r>
          </w:p>
        </w:tc>
      </w:tr>
      <w:tr>
        <w:trPr>
          <w:trHeight w:val="216"/>
        </w:trPr>
        <w:tc>
          <w:tcPr>
            <w:tcW w:w="3480" w:type="dxa"/>
            <w:vAlign w:val="bottom"/>
          </w:tcPr>
          <w:p>
            <w:pPr>
              <w:ind w:left="40"/>
              <w:spacing w:after="0" w:line="216" w:lineRule="exact"/>
              <w:rPr>
                <w:sz w:val="20"/>
                <w:szCs w:val="20"/>
                <w:color w:val="auto"/>
              </w:rPr>
            </w:pPr>
            <w:r>
              <w:rPr>
                <w:rFonts w:ascii="Arial" w:cs="Arial" w:eastAsia="Arial" w:hAnsi="Arial"/>
                <w:sz w:val="20"/>
                <w:szCs w:val="20"/>
                <w:color w:val="auto"/>
              </w:rPr>
              <w:t>Antibody co-formulated with</w:t>
            </w:r>
          </w:p>
        </w:tc>
        <w:tc>
          <w:tcPr>
            <w:tcW w:w="6420" w:type="dxa"/>
            <w:vAlign w:val="bottom"/>
          </w:tcPr>
          <w:p>
            <w:pPr>
              <w:spacing w:after="0"/>
              <w:rPr>
                <w:sz w:val="18"/>
                <w:szCs w:val="18"/>
                <w:color w:val="auto"/>
              </w:rPr>
            </w:pPr>
          </w:p>
        </w:tc>
      </w:tr>
      <w:tr>
        <w:trPr>
          <w:trHeight w:val="242"/>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aflibercept)</w:t>
            </w:r>
          </w:p>
        </w:tc>
        <w:tc>
          <w:tcPr>
            <w:tcW w:w="6420" w:type="dxa"/>
            <w:vAlign w:val="bottom"/>
            <w:tcBorders>
              <w:bottom w:val="single" w:sz="8" w:color="auto"/>
            </w:tcBorders>
          </w:tcPr>
          <w:p>
            <w:pPr>
              <w:spacing w:after="0"/>
              <w:rPr>
                <w:sz w:val="21"/>
                <w:szCs w:val="2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Fourth Quarter and Full Year 2016 Financial Results</w:t>
      </w:r>
    </w:p>
    <w:p>
      <w:pPr>
        <w:spacing w:after="0" w:line="2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$863 million in the fourth quarter and $3.338 billion for the full year 2016,</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$750 million in the fourth quarter and $2.689 billion for the full year 2015. EYLEA net product sales in the United States were $858 million in the fourth quarter and $3.323 billion for the full year 2016, compared to $746 million in the fourth quarter and $2.676 billion for the full year 2015.</w:t>
      </w:r>
    </w:p>
    <w:p>
      <w:pPr>
        <w:spacing w:after="0" w:line="216"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12% to $1.227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fourth quarter of 2016, compared to $1.098 billion in the fourth quarter of 2015. Total revenues also include Sanofi and Bayer collaboration revenues of $313 million in the fourth quarter of 2016, compared to $330 million in the fourth quarter of 2015. Full year 2016 total revenues increased by 18% to $4.860 billion, compared to $4.104 billion for the full year 2015, and included collaboration revenues of $1.403 billion for the full year 2016, compared to $1.339 billion for the full year 2015. Refer to Table 4 for a summary of collaboration revenue.</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In 2016, GAAP R&amp;D expenses were $479 million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and $2.052 billion for the full year, compared to $461 million in the fourth quarter and $1.621 billion for the full year 2015. The higher R&amp;D expenses for the full</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64" w:right="319" w:bottom="1440" w:gutter="0" w:footer="0" w:header="0"/>
        </w:sectPr>
      </w:pPr>
    </w:p>
    <w:bookmarkStart w:id="9" w:name="page10"/>
    <w:bookmarkEnd w:id="9"/>
    <w:p>
      <w:pPr>
        <w:ind w:right="100"/>
        <w:spacing w:after="0" w:line="258" w:lineRule="auto"/>
        <w:rPr>
          <w:sz w:val="20"/>
          <w:szCs w:val="20"/>
          <w:color w:val="auto"/>
        </w:rPr>
      </w:pPr>
      <w:r>
        <w:rPr>
          <w:rFonts w:ascii="Arial" w:cs="Arial" w:eastAsia="Arial" w:hAnsi="Arial"/>
          <w:sz w:val="21"/>
          <w:szCs w:val="21"/>
          <w:color w:val="auto"/>
        </w:rPr>
        <w:t>year 2016 compared to the full year 2015 were principally due to the $75 million up-front payment made in connection with the April 2016 license and collaboration with Intellia, the $25 million up-front payment made in connection with the July 2016 license and collaboration agreement with Adicet, higher development costs, including manufacturing drug supplies, primarily related to fasinumab and REGN2810, and higher headcount to support the Company's increased R&amp;D activities, partly offset by lower development costs primarily related to Praluent. In addition, in 2016, R&amp;D-related non-cash share-based compensation expense was $75 million for the fourth quarter and $313 million for the full year, compared to $73 million in the fourth quarter and $256 million for the full year 2015.</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b w:val="1"/>
          <w:bCs w:val="1"/>
          <w:color w:val="auto"/>
        </w:rPr>
        <w:t xml:space="preserve">Selling, General, and Administrative (SG&amp;A) Expenses: </w:t>
      </w:r>
      <w:r>
        <w:rPr>
          <w:rFonts w:ascii="Arial" w:cs="Arial" w:eastAsia="Arial" w:hAnsi="Arial"/>
          <w:sz w:val="21"/>
          <w:szCs w:val="21"/>
          <w:color w:val="auto"/>
        </w:rPr>
        <w:t>In 2016, GAAP SG&amp;A expenses were $326 million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fourth quarter and $1.178 billion for the full year, compared to $295 million in the fourth quarter and $839 million for the full year 2015. The higher SG&amp;A expenses for the full year 2016 compared to the full year 2015 were primarily due to higher commercialization-related expenses in connection with EYLEA and Praluent, higher commercialization-related expenses in connection with preparing to launch sarilumab and dupilumab, and higher headcount. In addition, in 2016, SG&amp;A-related non-cash share-based compensation expense was $74 million for the fourth quarter and $231 million for the full year, compared to $82 million in the fourth quarter and $193 million for the full year 2015.</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In 2016, GAAP COGS was $45 million in the fourth quarter and $195 million for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year, compared to $71 million in the fourth quarter and $242 million for the full year 2015. COGS decreased principally due to a decrease in royalties since the Company's obligation to pay Genentech based on U.S. sales of EYLEA ended in May 2016, partly offset by an increase in various start-up costs in connection with the Company's Limerick, Ireland commercial manufacturing facility and an increase in U.S. EYLEA net sales.</w:t>
      </w:r>
    </w:p>
    <w:p>
      <w:pPr>
        <w:spacing w:after="0" w:line="217"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In 2016, GAAP COCM was $30 million in the fourth</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$105 million for the full year, compared to $40 million in the fourth quarter and $151 million for the full year 2015. COCM decreased primarily due to lower royalties since the Company's obligation to pay Genentech based on sales of EYLEA outside the United States also ended in May 2016.</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21"/>
          <w:szCs w:val="21"/>
          <w:b w:val="1"/>
          <w:bCs w:val="1"/>
          <w:color w:val="auto"/>
        </w:rPr>
        <w:t xml:space="preserve">Income Tax Expense: </w:t>
      </w:r>
      <w:r>
        <w:rPr>
          <w:rFonts w:ascii="Arial" w:cs="Arial" w:eastAsia="Arial" w:hAnsi="Arial"/>
          <w:sz w:val="21"/>
          <w:szCs w:val="21"/>
          <w:color w:val="auto"/>
        </w:rPr>
        <w:t>In the fourth quarter of 2016, GAAP income tax expense was $88 million and the effective tax</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rate was 25.9%, compared to $72 million and 31.8% in the fourth quarter of 2015. In 2016, GAAP income tax expense was $434 million and the effective tax rate was 32.7% for the full year, compared to $589 million and 48.1% for the full year 2015. The effective tax rates for the both the fourth quarter and full year of 2016 were positively impacted, compared to the U.S. federal statutory rate, primarily by the tax benefit associated with stock-based compensation, partly offset by the negative impact of losses incurred in foreign jurisdictions with rates lower than the federal statutory rate. As described in Table 3 of this press release, the Company adopted Accounting Standards Update 2016-09 (ASU 2016-09), </w:t>
      </w:r>
      <w:r>
        <w:rPr>
          <w:rFonts w:ascii="Arial" w:cs="Arial" w:eastAsia="Arial" w:hAnsi="Arial"/>
          <w:sz w:val="21"/>
          <w:szCs w:val="21"/>
          <w:i w:val="1"/>
          <w:iCs w:val="1"/>
          <w:color w:val="auto"/>
        </w:rPr>
        <w:t>Compensation - Stock Compensation, Improvements to Employee Share-Based Payment Accounting</w:t>
      </w:r>
      <w:r>
        <w:rPr>
          <w:rFonts w:ascii="Arial" w:cs="Arial" w:eastAsia="Arial" w:hAnsi="Arial"/>
          <w:sz w:val="21"/>
          <w:szCs w:val="21"/>
          <w:color w:val="auto"/>
        </w:rPr>
        <w:t>, during the second quarter of 2016. ASU 2016-09 requires companies to recognize all excess tax benefits and tax deficiencies in connection with stock-based compensation as income tax expense or benefit in the income statement (previously, excess tax benefits were recognized in additional paid-in capital on the balance sheet).</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90" w:right="259" w:bottom="1440" w:gutter="0" w:footer="0" w:header="0"/>
        </w:sectPr>
      </w:pPr>
    </w:p>
    <w:bookmarkStart w:id="10" w:name="page11"/>
    <w:bookmarkEnd w:id="10"/>
    <w:p>
      <w:pPr>
        <w:ind w:right="40"/>
        <w:spacing w:after="0" w:line="251" w:lineRule="auto"/>
        <w:rPr>
          <w:sz w:val="20"/>
          <w:szCs w:val="20"/>
          <w:color w:val="auto"/>
        </w:rPr>
      </w:pPr>
      <w:r>
        <w:rPr>
          <w:rFonts w:ascii="Arial" w:cs="Arial" w:eastAsia="Arial" w:hAnsi="Arial"/>
          <w:sz w:val="22"/>
          <w:szCs w:val="22"/>
          <w:b w:val="1"/>
          <w:bCs w:val="1"/>
          <w:color w:val="auto"/>
        </w:rPr>
        <w:t xml:space="preserve">GAAP and Non-GAAP Net Income: </w:t>
      </w:r>
      <w:r>
        <w:rPr>
          <w:rFonts w:ascii="Arial" w:cs="Arial" w:eastAsia="Arial" w:hAnsi="Arial"/>
          <w:sz w:val="22"/>
          <w:szCs w:val="22"/>
          <w:color w:val="auto"/>
        </w:rPr>
        <w:t>The Company reported GAAP net income of $253 million, or $2.41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$2.19 per diluted share, in the fourth quarter of 2016, compared to GAAP net income of $155 million, or $1.49 per basic share and $1.34 per diluted share, in the fourth quarter of 2015. The Company reported GAAP net income of $896 million, or $8.55 per basic share and $7.70 per diluted share, for the full year 2016, compared to GAAP net income of $636 million, or $6.17 per basic share and $5.52 per diluted share, for the full year 2015.</w:t>
      </w:r>
    </w:p>
    <w:p>
      <w:pPr>
        <w:spacing w:after="0" w:line="243"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The Company reported non-GAAP net income of $353 million, or $3.35 per basic share and $3.04 per diluted share, in the fourth quarter of 2016, compared to non-GAAP net income of $258 million, or $2.48 per basic share and $2.23 per diluted share, in the fourth quarter of 2015. The Company reported non-GAAP net income of $1.319 billion, or $12.60 per basic share and $11.32 per diluted share, for the full year 2016, compared to non-GAAP net income of $944 million, or $9.16 per basic share and $8.12 per diluted share, for the full year 2015.</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4"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b w:val="1"/>
          <w:bCs w:val="1"/>
          <w:color w:val="auto"/>
        </w:rPr>
        <w:t xml:space="preserve">Tarrytown, New York Facilities Update: </w:t>
      </w:r>
      <w:r>
        <w:rPr>
          <w:rFonts w:ascii="Arial" w:cs="Arial" w:eastAsia="Arial" w:hAnsi="Arial"/>
          <w:sz w:val="22"/>
          <w:szCs w:val="22"/>
          <w:color w:val="auto"/>
        </w:rPr>
        <w:t>On December 30, 2016, the Company entered into a Purchase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BMR-Landmark at Eastview LLC and BMR-Landmark at Eastview IV LLC (collectively, BMR), pursuant to which the Company has agreed to purchase from BMR its Tarrytown, New York facilities (the Facility), which includes laboratory and office space the Company's currently leases, for a purchase price of $720 million. The closing of the Purchase Agreement is anticipated in the first quarter of 2017.</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The Company intends to fund the acquisition contemplated by the Purchase Agreement with a new financing; accordingly, the Company has entered into an engagement letter with Banc of America Leasing &amp; Capital, LLC (BAL) to arrange a $720 million lease financing in connection with this acquisition. Immediately thereafter, the Company intends to lease the Facility from an affiliate of BAL for a term of five years. At the end of the lease term, the Company expects to have an option to extend the term of the lease, purchase the Facility at a predetermined amount, or sell the Facility to a third party on behalf of BAL.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2017 financial guidance consists of the following components:</w:t>
      </w:r>
    </w:p>
    <w:p>
      <w:pPr>
        <w:spacing w:after="0" w:line="112" w:lineRule="exact"/>
        <w:rPr>
          <w:sz w:val="20"/>
          <w:szCs w:val="20"/>
          <w:color w:val="auto"/>
        </w:rPr>
      </w:pPr>
    </w:p>
    <w:tbl>
      <w:tblPr>
        <w:tblLayout w:type="fixed"/>
        <w:tblInd w:w="1270" w:type="dxa"/>
        <w:tblCellMar>
          <w:top w:w="0" w:type="dxa"/>
          <w:left w:w="0" w:type="dxa"/>
          <w:bottom w:w="0" w:type="dxa"/>
          <w:right w:w="0" w:type="dxa"/>
        </w:tblCellMar>
      </w:tblPr>
      <w:tr>
        <w:trPr>
          <w:trHeight w:val="302"/>
        </w:trPr>
        <w:tc>
          <w:tcPr>
            <w:tcW w:w="3660" w:type="dxa"/>
            <w:vAlign w:val="bottom"/>
            <w:tcBorders>
              <w:top w:val="single" w:sz="8" w:color="auto"/>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820" w:type="dxa"/>
            <w:vAlign w:val="bottom"/>
            <w:tcBorders>
              <w:top w:val="single" w:sz="8" w:color="auto"/>
              <w:bottom w:val="single" w:sz="8" w:color="CCEEFF"/>
              <w:right w:val="single" w:sz="8" w:color="auto"/>
            </w:tcBorders>
            <w:shd w:val="clear" w:color="auto" w:fill="CCEEFF"/>
          </w:tcPr>
          <w:p>
            <w:pPr>
              <w:spacing w:after="0"/>
              <w:rPr>
                <w:sz w:val="24"/>
                <w:szCs w:val="24"/>
                <w:color w:val="auto"/>
              </w:rPr>
            </w:pPr>
          </w:p>
        </w:tc>
        <w:tc>
          <w:tcPr>
            <w:tcW w:w="446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Single digit percentage growth over 2016</w:t>
            </w:r>
          </w:p>
        </w:tc>
      </w:tr>
      <w:tr>
        <w:trPr>
          <w:trHeight w:val="233"/>
        </w:trPr>
        <w:tc>
          <w:tcPr>
            <w:tcW w:w="36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Sanofi reimbursement of Regeneron</w:t>
            </w:r>
          </w:p>
        </w:tc>
        <w:tc>
          <w:tcPr>
            <w:tcW w:w="820" w:type="dxa"/>
            <w:vAlign w:val="bottom"/>
            <w:tcBorders>
              <w:top w:val="single" w:sz="8" w:color="auto"/>
              <w:right w:val="single" w:sz="8" w:color="auto"/>
            </w:tcBorders>
          </w:tcPr>
          <w:p>
            <w:pPr>
              <w:spacing w:after="0"/>
              <w:rPr>
                <w:sz w:val="20"/>
                <w:szCs w:val="20"/>
                <w:color w:val="auto"/>
              </w:rPr>
            </w:pPr>
          </w:p>
        </w:tc>
        <w:tc>
          <w:tcPr>
            <w:tcW w:w="4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$400 million - $450 million</w:t>
            </w:r>
          </w:p>
        </w:tc>
      </w:tr>
      <w:tr>
        <w:trPr>
          <w:trHeight w:val="250"/>
        </w:trPr>
        <w:tc>
          <w:tcPr>
            <w:tcW w:w="36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commercialization-related expenses</w:t>
            </w:r>
          </w:p>
        </w:tc>
        <w:tc>
          <w:tcPr>
            <w:tcW w:w="82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spacing w:after="0"/>
              <w:rPr>
                <w:sz w:val="21"/>
                <w:szCs w:val="21"/>
                <w:color w:val="auto"/>
              </w:rPr>
            </w:pPr>
          </w:p>
        </w:tc>
      </w:tr>
      <w:tr>
        <w:trPr>
          <w:trHeight w:val="23"/>
        </w:trPr>
        <w:tc>
          <w:tcPr>
            <w:tcW w:w="366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77"/>
        </w:trPr>
        <w:tc>
          <w:tcPr>
            <w:tcW w:w="3660" w:type="dxa"/>
            <w:vAlign w:val="bottom"/>
            <w:tcBorders>
              <w:left w:val="single" w:sz="8" w:color="auto"/>
              <w:bottom w:val="single" w:sz="8" w:color="auto"/>
            </w:tcBorders>
            <w:shd w:val="clear" w:color="auto" w:fill="CCEEFF"/>
          </w:tcPr>
          <w:p>
            <w:pPr>
              <w:ind w:left="40"/>
              <w:spacing w:after="0" w:line="277"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 (4)</w:t>
            </w:r>
          </w:p>
        </w:tc>
        <w:tc>
          <w:tcPr>
            <w:tcW w:w="820" w:type="dxa"/>
            <w:vAlign w:val="bottom"/>
            <w:tcBorders>
              <w:bottom w:val="single" w:sz="8" w:color="auto"/>
              <w:right w:val="single" w:sz="8" w:color="auto"/>
            </w:tcBorders>
            <w:shd w:val="clear" w:color="auto" w:fill="CCEEFF"/>
          </w:tcPr>
          <w:p>
            <w:pPr>
              <w:spacing w:after="0"/>
              <w:rPr>
                <w:sz w:val="24"/>
                <w:szCs w:val="24"/>
                <w:color w:val="auto"/>
              </w:rPr>
            </w:pPr>
          </w:p>
        </w:tc>
        <w:tc>
          <w:tcPr>
            <w:tcW w:w="44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$950 million - $1.025 billion</w:t>
            </w:r>
          </w:p>
        </w:tc>
      </w:tr>
      <w:tr>
        <w:trPr>
          <w:trHeight w:val="277"/>
        </w:trPr>
        <w:tc>
          <w:tcPr>
            <w:tcW w:w="3660" w:type="dxa"/>
            <w:vAlign w:val="bottom"/>
            <w:tcBorders>
              <w:left w:val="single" w:sz="8" w:color="auto"/>
              <w:bottom w:val="single" w:sz="8" w:color="auto"/>
            </w:tcBorders>
          </w:tcPr>
          <w:p>
            <w:pPr>
              <w:ind w:left="40"/>
              <w:spacing w:after="0" w:line="277"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 (4)</w:t>
            </w:r>
          </w:p>
        </w:tc>
        <w:tc>
          <w:tcPr>
            <w:tcW w:w="820" w:type="dxa"/>
            <w:vAlign w:val="bottom"/>
            <w:tcBorders>
              <w:bottom w:val="single" w:sz="8" w:color="auto"/>
              <w:right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$1.175 billion - $1.250 billion</w:t>
            </w:r>
          </w:p>
        </w:tc>
      </w:tr>
      <w:tr>
        <w:trPr>
          <w:trHeight w:val="282"/>
        </w:trPr>
        <w:tc>
          <w:tcPr>
            <w:tcW w:w="36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820" w:type="dxa"/>
            <w:vAlign w:val="bottom"/>
            <w:tcBorders>
              <w:bottom w:val="single" w:sz="8" w:color="CCEEFF"/>
              <w:right w:val="single" w:sz="8" w:color="auto"/>
            </w:tcBorders>
            <w:shd w:val="clear" w:color="auto" w:fill="CCEEFF"/>
          </w:tcPr>
          <w:p>
            <w:pPr>
              <w:spacing w:after="0"/>
              <w:rPr>
                <w:sz w:val="24"/>
                <w:szCs w:val="24"/>
                <w:color w:val="auto"/>
              </w:rPr>
            </w:pPr>
          </w:p>
        </w:tc>
        <w:tc>
          <w:tcPr>
            <w:tcW w:w="44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32% - 38%</w:t>
            </w:r>
          </w:p>
        </w:tc>
      </w:tr>
      <w:tr>
        <w:trPr>
          <w:trHeight w:val="254"/>
        </w:trPr>
        <w:tc>
          <w:tcPr>
            <w:tcW w:w="36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820" w:type="dxa"/>
            <w:vAlign w:val="bottom"/>
            <w:tcBorders>
              <w:top w:val="single" w:sz="8" w:color="auto"/>
              <w:right w:val="single" w:sz="8" w:color="auto"/>
            </w:tcBorders>
          </w:tcPr>
          <w:p>
            <w:pPr>
              <w:spacing w:after="0"/>
              <w:rPr>
                <w:sz w:val="22"/>
                <w:szCs w:val="22"/>
                <w:color w:val="auto"/>
              </w:rPr>
            </w:pPr>
          </w:p>
        </w:tc>
        <w:tc>
          <w:tcPr>
            <w:tcW w:w="4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$375 million - $450 million</w:t>
            </w:r>
          </w:p>
        </w:tc>
      </w:tr>
      <w:tr>
        <w:trPr>
          <w:trHeight w:val="23"/>
        </w:trPr>
        <w:tc>
          <w:tcPr>
            <w:tcW w:w="366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777"/>
        </w:trPr>
        <w:tc>
          <w:tcPr>
            <w:tcW w:w="3660" w:type="dxa"/>
            <w:vAlign w:val="bottom"/>
          </w:tcPr>
          <w:p>
            <w:pPr>
              <w:spacing w:after="0"/>
              <w:rPr>
                <w:sz w:val="24"/>
                <w:szCs w:val="24"/>
                <w:color w:val="auto"/>
              </w:rPr>
            </w:pPr>
          </w:p>
        </w:tc>
        <w:tc>
          <w:tcPr>
            <w:tcW w:w="5280" w:type="dxa"/>
            <w:vAlign w:val="bottom"/>
            <w:gridSpan w:val="2"/>
          </w:tcPr>
          <w:p>
            <w:pPr>
              <w:jc w:val="right"/>
              <w:ind w:right="4341"/>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364" w:right="239" w:bottom="1440" w:gutter="0" w:footer="0" w:header="0"/>
        </w:sectPr>
      </w:pPr>
    </w:p>
    <w:bookmarkStart w:id="11" w:name="page12"/>
    <w:bookmarkEnd w:id="11"/>
    <w:p>
      <w:pPr>
        <w:ind w:left="345" w:right="26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56"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8" w:lineRule="exact"/>
        <w:rPr>
          <w:rFonts w:ascii="Arial" w:cs="Arial" w:eastAsia="Arial" w:hAnsi="Arial"/>
          <w:sz w:val="22"/>
          <w:szCs w:val="22"/>
          <w:color w:val="auto"/>
          <w:vertAlign w:val="superscript"/>
        </w:rPr>
      </w:pPr>
    </w:p>
    <w:p>
      <w:pPr>
        <w:ind w:left="345" w:right="8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2017 financial guidance does not assume the completion of any significant business development transactions not completed as of the date of this press release and assumes that Praluent will remain on the market throughout 2017.</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2017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5"/>
          </w:cols>
          <w:pgMar w:left="275" w:top="555" w:right="27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fourth quarter and full year 2016 financial and operating results on Thursday, February 9, 2017,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that discovers, invents, develops, manufactures, and commercializes medicines for the treatment of serious medical conditions. Regeneron commercializes medicines for eye diseases, high LDL-cholesterol, and a rare inflammatory condition and has product candidates in development in other areas of high unmet medical need, including rheumatoid arthritis, atopic dermatitis, asthma, pain, cancer,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risks associated with intellectual property of other parties and pending or future litigation relating thereto, including without limitation the patent litigation relating to Praluent, the permanent injunction granted by the United States District Court for the District of Delaware that, if upheld on appeal, would prohibit Regeneron and Sanofi from marketing, selling, or manufacturing Praluent in the United States, the outcome of any appeals regarding such injunction, the ultimate outcome of such litigation, and the impact any of the foregoing may have on Regeneron’s business, prospects, operating results, and financial condition;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 REGN2810, fasinumab, nesvacumab, REGN3767, and REGN2477; ongoing regulatory obligations and oversight impacting Regeneron's marketed products (such as EYLEA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64" w:right="279" w:bottom="1440" w:gutter="0" w:footer="0" w:header="0"/>
        </w:sectPr>
      </w:pPr>
    </w:p>
    <w:bookmarkStart w:id="13" w:name="page14"/>
    <w:bookmarkEnd w:id="13"/>
    <w:p>
      <w:pPr>
        <w:spacing w:after="0" w:line="243" w:lineRule="auto"/>
        <w:rPr>
          <w:sz w:val="20"/>
          <w:szCs w:val="20"/>
          <w:color w:val="auto"/>
        </w:rPr>
      </w:pPr>
      <w:r>
        <w:rPr>
          <w:rFonts w:ascii="Arial" w:cs="Arial" w:eastAsia="Arial" w:hAnsi="Arial"/>
          <w:sz w:val="22"/>
          <w:szCs w:val="22"/>
          <w:color w:val="auto"/>
        </w:rPr>
        <w:t>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as well as actions by Regeneron's collaborators or third-party manufacturers, or other parties performing steps in the supply chain, impacting the foregoing;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and the potential for any license or collaboration agreement, including Regeneron's agreements with Sanofi, Bayer, and Teva Pharmaceutical Industries Ltd. (or their respective affiliated companies, as applicable), to be cancelled or terminated without any further product success.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6"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80"/>
          </w:cols>
          <w:pgMar w:left="240" w:top="390" w:right="27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80"/>
          </w:cols>
          <w:pgMar w:left="240" w:top="39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80"/>
          </w:cols>
          <w:pgMar w:left="240" w:top="39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80"/>
          </w:cols>
          <w:pgMar w:left="240" w:top="390" w:right="27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80"/>
          </w:cols>
          <w:pgMar w:left="240" w:top="390" w:right="2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390" w:right="2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3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1,902,944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1,677,385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1,152,489</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Accounts receivable from Sanofi and Bayer</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268,252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315,304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238,578</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825,303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461,945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2,083,421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1,594,120</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150,822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169,311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6,973,466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3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980,659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760,619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1,062,436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818,166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Capital and facility lease obligations</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481,126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364,708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4,449,245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3,654,837</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6,973,466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TABLE 2</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384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900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3660" w:type="dxa"/>
            <w:vAlign w:val="bottom"/>
            <w:gridSpan w:val="5"/>
          </w:tcPr>
          <w:p>
            <w:pPr>
              <w:jc w:val="center"/>
              <w:ind w:left="1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862,521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749,524</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3,338,390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2,689,478</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165,672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758,873</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Bayer collaboration revenue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181,484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164,809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744,270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580,488</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74,889</w:t>
            </w: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1,226,827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1,098,077</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4,860,427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4,103,728</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479,206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461,210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2,052,295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1,620,577</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294,954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1,177,697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838,526</w:t>
            </w: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44,534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71,078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194,624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241,702</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Cost of collaboration and contract manufacturing</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151,007</w:t>
            </w:r>
          </w:p>
        </w:tc>
      </w:tr>
      <w:tr>
        <w:trPr>
          <w:trHeight w:val="237"/>
        </w:trPr>
        <w:tc>
          <w:tcPr>
            <w:tcW w:w="3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879,824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866,995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3,529,686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2,851,812</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231,082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1,330,741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1,251,916</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(26,819)</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341,527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227,289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1,329,815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1,225,097</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(88,412)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(72,295)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(434,293)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(589,041)</w:t>
            </w:r>
          </w:p>
        </w:tc>
      </w:tr>
      <w:tr>
        <w:trPr>
          <w:trHeight w:val="27"/>
        </w:trPr>
        <w:tc>
          <w:tcPr>
            <w:tcW w:w="38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8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3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253,115</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154,994</w:t>
            </w:r>
          </w:p>
        </w:tc>
        <w:tc>
          <w:tcPr>
            <w:tcW w:w="2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895,522</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636,056</w:t>
            </w:r>
          </w:p>
        </w:tc>
      </w:tr>
      <w:tr>
        <w:trPr>
          <w:trHeight w:val="311"/>
        </w:trPr>
        <w:tc>
          <w:tcPr>
            <w:tcW w:w="3840" w:type="dxa"/>
            <w:vAlign w:val="bottom"/>
            <w:tcBorders>
              <w:top w:val="single" w:sz="8" w:color="CCEEFF"/>
            </w:tcBorders>
            <w:shd w:val="clear" w:color="auto" w:fill="CCEEFF"/>
          </w:tcPr>
          <w:p>
            <w:pPr>
              <w:spacing w:after="0"/>
              <w:rPr>
                <w:sz w:val="24"/>
                <w:szCs w:val="24"/>
                <w:color w:val="auto"/>
              </w:rPr>
            </w:pPr>
          </w:p>
        </w:tc>
        <w:tc>
          <w:tcPr>
            <w:tcW w:w="16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324"/>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103,765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103,061</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115,788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115,496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116,367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115,230</w:t>
            </w:r>
          </w:p>
        </w:tc>
      </w:tr>
      <w:tr>
        <w:trPr>
          <w:trHeight w:val="702"/>
        </w:trPr>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1010"/>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9940" w:type="dxa"/>
            <w:vAlign w:val="bottom"/>
            <w:gridSpan w:val="10"/>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180" w:type="dxa"/>
            <w:vAlign w:val="bottom"/>
            <w:gridSpan w:val="5"/>
          </w:tcPr>
          <w:p>
            <w:pPr>
              <w:jc w:val="center"/>
              <w:ind w:left="41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253,115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154,994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75,057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255,708</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R&amp;D: Upfront payment related to license and collaboration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agreements</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82,212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193,026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1"/>
              </w:rPr>
              <w:t>COGS and COCM: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3,609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10,315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Other expense: Non-cash interest and loss on extinguishment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related to convertible senior notes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21,679</w:t>
            </w:r>
          </w:p>
        </w:tc>
      </w:tr>
      <w:tr>
        <w:trPr>
          <w:trHeight w:val="270"/>
        </w:trPr>
        <w:tc>
          <w:tcPr>
            <w:tcW w:w="50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Income tax effect of reconciling items above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(55,132)</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(57,608)</w:t>
            </w:r>
          </w:p>
        </w:tc>
        <w:tc>
          <w:tcPr>
            <w:tcW w:w="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(172,719)</w:t>
            </w:r>
          </w:p>
        </w:tc>
      </w:tr>
      <w:tr>
        <w:trPr>
          <w:trHeight w:val="264"/>
        </w:trPr>
        <w:tc>
          <w:tcPr>
            <w:tcW w:w="504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Non-GAAP net income </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352,542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257,752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1,319,299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944,065</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8.12</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103,765</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103,061</w:t>
            </w:r>
          </w:p>
        </w:tc>
      </w:tr>
      <w:tr>
        <w:trPr>
          <w:trHeight w:val="341"/>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115,887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115,639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116,548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116,355</w:t>
            </w:r>
          </w:p>
        </w:tc>
      </w:tr>
    </w:tbl>
    <w:p>
      <w:pPr>
        <w:spacing w:after="0" w:line="76" w:lineRule="exact"/>
        <w:rPr>
          <w:sz w:val="20"/>
          <w:szCs w:val="20"/>
          <w:color w:val="auto"/>
        </w:rPr>
      </w:pPr>
    </w:p>
    <w:p>
      <w:pPr>
        <w:ind w:left="380" w:right="460" w:hanging="345"/>
        <w:spacing w:after="0" w:line="342" w:lineRule="auto"/>
        <w:tabs>
          <w:tab w:leader="none" w:pos="380" w:val="left"/>
        </w:tabs>
        <w:numPr>
          <w:ilvl w:val="0"/>
          <w:numId w:val="12"/>
        </w:numPr>
        <w:rPr>
          <w:rFonts w:ascii="Arial" w:cs="Arial" w:eastAsia="Arial" w:hAnsi="Arial"/>
          <w:sz w:val="11"/>
          <w:szCs w:val="11"/>
          <w:color w:val="auto"/>
        </w:rPr>
      </w:pPr>
      <w:r>
        <w:rPr>
          <w:rFonts w:ascii="Arial" w:cs="Arial" w:eastAsia="Arial" w:hAnsi="Arial"/>
          <w:sz w:val="16"/>
          <w:szCs w:val="16"/>
          <w:color w:val="auto"/>
        </w:rPr>
        <w:t>For diluted non-GAAP net income per share calculations, interest expense related to the contractual coupon interest rate on the Company's 1.875% convertible senior notes was excluded when these securities were dilutive. Such interest expense was not material for all periods presented.</w:t>
      </w:r>
    </w:p>
    <w:p>
      <w:pPr>
        <w:spacing w:after="0" w:line="83" w:lineRule="exact"/>
        <w:rPr>
          <w:rFonts w:ascii="Arial" w:cs="Arial" w:eastAsia="Arial" w:hAnsi="Arial"/>
          <w:sz w:val="11"/>
          <w:szCs w:val="11"/>
          <w:color w:val="auto"/>
        </w:rPr>
      </w:pPr>
    </w:p>
    <w:p>
      <w:pPr>
        <w:ind w:left="380" w:right="40" w:hanging="345"/>
        <w:spacing w:after="0" w:line="277" w:lineRule="auto"/>
        <w:tabs>
          <w:tab w:leader="none" w:pos="380" w:val="left"/>
        </w:tabs>
        <w:numPr>
          <w:ilvl w:val="0"/>
          <w:numId w:val="12"/>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129" w:lineRule="exact"/>
        <w:rPr>
          <w:rFonts w:ascii="Arial" w:cs="Arial" w:eastAsia="Arial" w:hAnsi="Arial"/>
          <w:sz w:val="13"/>
          <w:szCs w:val="13"/>
          <w:color w:val="auto"/>
        </w:rPr>
      </w:pPr>
    </w:p>
    <w:p>
      <w:pPr>
        <w:ind w:left="380" w:right="40" w:hanging="345"/>
        <w:spacing w:after="0" w:line="271"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7"/>
          <w:szCs w:val="17"/>
          <w:color w:val="auto"/>
        </w:rPr>
        <w:t xml:space="preserve">Prior to the quarter ended June 30, 2016, non-GAAP measures presented by the Company also included an income tax expense adjustment from GAAP tax expense to the amount of taxes that were paid or payable in cash in respect of the relevant period. Historically, there had been a significant difference between the Company's GAAP effective tax rate and actual cash income taxes paid or payable primarily due to the utilization of excess tax benefits in connection with employee exercises of stock options (which were recorded to additional paid-in capital for GAAP reporting purposes). In connection with the adoption of ASU 2016-09, </w:t>
      </w:r>
      <w:r>
        <w:rPr>
          <w:rFonts w:ascii="Arial" w:cs="Arial" w:eastAsia="Arial" w:hAnsi="Arial"/>
          <w:sz w:val="17"/>
          <w:szCs w:val="17"/>
          <w:i w:val="1"/>
          <w:iCs w:val="1"/>
          <w:color w:val="auto"/>
        </w:rPr>
        <w:t>Compensation - Stock Compensation, Improvements to Employee Share-Based Payment Accounting</w:t>
      </w:r>
      <w:r>
        <w:rPr>
          <w:rFonts w:ascii="Arial" w:cs="Arial" w:eastAsia="Arial" w:hAnsi="Arial"/>
          <w:sz w:val="17"/>
          <w:szCs w:val="17"/>
          <w:color w:val="auto"/>
        </w:rPr>
        <w:t>, during the second quarter of 2016, the Company chose to discontinue such non-GAAP adjustment as ASU 2016-09 requires entities to recognize excess tax benefits in connection with employee exercises of stock options in the income statement. The Company adopted this aspect of ASU 2016-09 prospectively. A reconciliation to the previously reported non-GAAP adjustment is presented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8"/>
                <w:szCs w:val="18"/>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2015</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2015</w:t>
            </w: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 as revised (see above)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944,065</w:t>
            </w:r>
          </w:p>
        </w:tc>
      </w:tr>
      <w:tr>
        <w:trPr>
          <w:trHeight w:val="243"/>
        </w:trPr>
        <w:tc>
          <w:tcPr>
            <w:tcW w:w="4760" w:type="dxa"/>
            <w:vAlign w:val="bottom"/>
          </w:tcPr>
          <w:p>
            <w:pPr>
              <w:ind w:left="200"/>
              <w:spacing w:after="0"/>
              <w:rPr>
                <w:sz w:val="20"/>
                <w:szCs w:val="20"/>
                <w:color w:val="auto"/>
              </w:rPr>
            </w:pPr>
            <w:r>
              <w:rPr>
                <w:rFonts w:ascii="Arial" w:cs="Arial" w:eastAsia="Arial" w:hAnsi="Arial"/>
                <w:sz w:val="18"/>
                <w:szCs w:val="18"/>
                <w:color w:val="auto"/>
              </w:rPr>
              <w:t>Income tax effect of reconciling items (see above)</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57,608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172,719</w:t>
            </w: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income taxes (as previously reported)</w:t>
            </w: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287,110</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Non-GAAP net income - as previously reported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326,793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1,403,894</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i w:val="1"/>
          <w:iCs w:val="1"/>
          <w:color w:val="auto"/>
        </w:rPr>
        <w:t>Note: As a result of the above revisions to non-GAAP net income, non-GAAP net income per share (basic and diluted) has also been revised accordingly.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220"/>
          </w:cols>
          <w:pgMar w:left="1340" w:top="526" w:right="1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TABLE 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4"/>
        </w:trPr>
        <w:tc>
          <w:tcPr>
            <w:tcW w:w="7580" w:type="dxa"/>
            <w:vAlign w:val="bottom"/>
            <w:gridSpan w:val="8"/>
          </w:tcPr>
          <w:p>
            <w:pPr>
              <w:jc w:val="center"/>
              <w:ind w:left="3750"/>
              <w:spacing w:after="0"/>
              <w:rPr>
                <w:sz w:val="20"/>
                <w:szCs w:val="20"/>
                <w:color w:val="auto"/>
              </w:rPr>
            </w:pPr>
            <w:r>
              <w:rPr>
                <w:rFonts w:ascii="Arial" w:cs="Arial" w:eastAsia="Arial" w:hAnsi="Arial"/>
                <w:sz w:val="18"/>
                <w:szCs w:val="18"/>
                <w:b w:val="1"/>
                <w:bCs w:val="1"/>
                <w:color w:val="auto"/>
              </w:rPr>
              <w:t>REGENERON PHARMACEUTICALS,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7580" w:type="dxa"/>
            <w:vAlign w:val="bottom"/>
            <w:gridSpan w:val="8"/>
          </w:tcPr>
          <w:p>
            <w:pPr>
              <w:jc w:val="center"/>
              <w:ind w:left="3750"/>
              <w:spacing w:after="0"/>
              <w:rPr>
                <w:sz w:val="20"/>
                <w:szCs w:val="20"/>
                <w:color w:val="auto"/>
              </w:rPr>
            </w:pPr>
            <w:r>
              <w:rPr>
                <w:rFonts w:ascii="Arial" w:cs="Arial" w:eastAsia="Arial" w:hAnsi="Arial"/>
                <w:sz w:val="18"/>
                <w:szCs w:val="18"/>
                <w:b w:val="1"/>
                <w:bCs w:val="1"/>
                <w:color w:val="auto"/>
                <w:w w:val="98"/>
              </w:rPr>
              <w:t>COLLABORATION REVENUE (Unaudited)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8"/>
              </w:rPr>
              <w:t>(In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6"/>
        </w:trPr>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22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136,323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171,366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703,397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776,086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commercialization-related</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322,149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157,350</w:t>
            </w: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(125,528)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(459,058)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(240,042)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65,479</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658,665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758,873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Regeneron's net profit in connection with commercialization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EYLEA outside the United States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165,051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466,667</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Sales milestones</w:t>
            </w: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18,962</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79,859</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collaboration revenue</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580,488</w:t>
            </w:r>
          </w:p>
        </w:tc>
      </w:tr>
      <w:tr>
        <w:trPr>
          <w:trHeight w:val="318"/>
        </w:trPr>
        <w:tc>
          <w:tcPr>
            <w:tcW w:w="4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312,649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330,481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1,402,935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1,339,361</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right="179"/>
        <w:spacing w:after="0" w:line="276" w:lineRule="auto"/>
        <w:rPr>
          <w:sz w:val="20"/>
          <w:szCs w:val="20"/>
          <w:color w:val="auto"/>
        </w:rPr>
      </w:pPr>
      <w:r>
        <w:rPr>
          <w:rFonts w:ascii="Arial" w:cs="Arial" w:eastAsia="Arial" w:hAnsi="Arial"/>
          <w:sz w:val="17"/>
          <w:szCs w:val="17"/>
          <w:i w:val="1"/>
          <w:iCs w:val="1"/>
          <w:color w:val="auto"/>
        </w:rPr>
        <w:t>Note: In addition to amounts noted in the table above, the Company recorded $21.2 million and $24.2 million for the three months and year ended December 31, 2016, respectively, related to reimbursements of Regeneron research and development expenses in connection with its collaboration agreement with Teva. The Company also recorded $0.8 million and $2.3 million for the three months and year ended December 31, 2016, respectively, and $0.3 million and $2.4 million for the three months and year ended December 31, 2015, respectively, related to reimbursements of Regeneron research and development expenses by other entities.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2019-12-05T18:37:00Z</dcterms:created>
  <dcterms:modified xsi:type="dcterms:W3CDTF">2019-12-05T18:37:00Z</dcterms:modified>
</cp:coreProperties>
</file>