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154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544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Van Plew Daniel P</w:t>
              </w:r>
            </w:hyperlink>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9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9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00"/>
              <w:spacing w:after="0"/>
              <w:rPr>
                <w:sz w:val="20"/>
                <w:szCs w:val="20"/>
                <w:color w:val="auto"/>
              </w:rPr>
            </w:pPr>
            <w:r>
              <w:rPr>
                <w:rFonts w:ascii="Arial" w:cs="Arial" w:eastAsia="Arial" w:hAnsi="Arial"/>
                <w:sz w:val="17"/>
                <w:szCs w:val="17"/>
                <w:color w:val="0000FF"/>
              </w:rPr>
              <w:t>SVP &amp; General Mgr Industrial O</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8"/>
            <w:vMerge w:val="continue"/>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36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12/16/2011</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360" w:type="dxa"/>
            <w:vAlign w:val="bottom"/>
            <w:gridSpan w:val="6"/>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7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tcPr>
          <w:p>
            <w:pPr>
              <w:ind w:left="16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20" w:type="dxa"/>
            <w:vAlign w:val="bottom"/>
            <w:gridSpan w:val="6"/>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40" w:type="dxa"/>
            <w:vAlign w:val="bottom"/>
            <w:gridSpan w:val="16"/>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3"/>
              </w:rPr>
              <w:t>1,921</w:t>
            </w:r>
          </w:p>
        </w:tc>
        <w:tc>
          <w:tcPr>
            <w:tcW w:w="60" w:type="dxa"/>
            <w:vAlign w:val="bottom"/>
          </w:tcPr>
          <w:p>
            <w:pPr>
              <w:spacing w:after="0"/>
              <w:rPr>
                <w:sz w:val="12"/>
                <w:szCs w:val="1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gridSpan w:val="2"/>
            <w:vMerge w:val="restart"/>
          </w:tcPr>
          <w:p>
            <w:pPr>
              <w:jc w:val="center"/>
              <w:spacing w:after="0" w:line="147" w:lineRule="exact"/>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4"/>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1,921</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12/16/2021</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58"/>
              <w:spacing w:after="0" w:line="147" w:lineRule="exact"/>
              <w:rPr>
                <w:sz w:val="20"/>
                <w:szCs w:val="20"/>
                <w:color w:val="auto"/>
              </w:rPr>
            </w:pPr>
            <w:r>
              <w:rPr>
                <w:rFonts w:ascii="Arial" w:cs="Arial" w:eastAsia="Arial" w:hAnsi="Arial"/>
                <w:sz w:val="13"/>
                <w:szCs w:val="13"/>
                <w:color w:val="0000FF"/>
                <w:w w:val="92"/>
              </w:rPr>
              <w:t>1,921</w:t>
            </w:r>
          </w:p>
        </w:tc>
        <w:tc>
          <w:tcPr>
            <w:tcW w:w="28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1100" w:type="dxa"/>
            <w:vAlign w:val="bottom"/>
            <w:gridSpan w:val="2"/>
          </w:tcPr>
          <w:p>
            <w:pPr>
              <w:jc w:val="center"/>
              <w:spacing w:after="0"/>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52,500</w:t>
            </w:r>
          </w:p>
        </w:tc>
        <w:tc>
          <w:tcPr>
            <w:tcW w:w="360" w:type="dxa"/>
            <w:vAlign w:val="bottom"/>
          </w:tcPr>
          <w:p>
            <w:pPr>
              <w:spacing w:after="0"/>
              <w:rPr>
                <w:sz w:val="18"/>
                <w:szCs w:val="18"/>
                <w:color w:val="auto"/>
              </w:rPr>
            </w:pPr>
          </w:p>
        </w:tc>
        <w:tc>
          <w:tcPr>
            <w:tcW w:w="880" w:type="dxa"/>
            <w:vAlign w:val="bottom"/>
            <w:gridSpan w:val="2"/>
          </w:tcPr>
          <w:p>
            <w:pPr>
              <w:jc w:val="center"/>
              <w:ind w:right="80"/>
              <w:spacing w:after="0" w:line="211" w:lineRule="exact"/>
              <w:rPr>
                <w:sz w:val="20"/>
                <w:szCs w:val="20"/>
                <w:color w:val="auto"/>
              </w:rPr>
            </w:pPr>
            <w:r>
              <w:rPr>
                <w:rFonts w:ascii="Arial" w:cs="Arial" w:eastAsia="Arial" w:hAnsi="Arial"/>
                <w:sz w:val="13"/>
                <w:szCs w:val="13"/>
                <w:color w:val="0000FF"/>
                <w:w w:val="89"/>
              </w:rPr>
              <w:t>12/31/2011</w:t>
            </w:r>
            <w:r>
              <w:rPr>
                <w:rFonts w:ascii="Arial" w:cs="Arial" w:eastAsia="Arial" w:hAnsi="Arial"/>
                <w:sz w:val="22"/>
                <w:szCs w:val="22"/>
                <w:color w:val="008000"/>
                <w:w w:val="89"/>
                <w:vertAlign w:val="superscript"/>
              </w:rPr>
              <w:t>(3)</w:t>
            </w:r>
          </w:p>
        </w:tc>
        <w:tc>
          <w:tcPr>
            <w:tcW w:w="680" w:type="dxa"/>
            <w:vAlign w:val="bottom"/>
          </w:tcPr>
          <w:p>
            <w:pPr>
              <w:spacing w:after="0"/>
              <w:rPr>
                <w:sz w:val="20"/>
                <w:szCs w:val="20"/>
                <w:color w:val="auto"/>
              </w:rPr>
            </w:pPr>
            <w:r>
              <w:rPr>
                <w:rFonts w:ascii="Arial" w:cs="Arial" w:eastAsia="Arial" w:hAnsi="Arial"/>
                <w:sz w:val="13"/>
                <w:szCs w:val="13"/>
                <w:color w:val="0000FF"/>
              </w:rPr>
              <w:t>12/17/2018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0000FF"/>
                <w:w w:val="92"/>
              </w:rPr>
              <w:t>52,500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81,548</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gridSpan w:val="2"/>
          </w:tcPr>
          <w:p>
            <w:pPr>
              <w:jc w:val="center"/>
              <w:spacing w:after="0"/>
              <w:rPr>
                <w:sz w:val="20"/>
                <w:szCs w:val="20"/>
                <w:color w:val="auto"/>
              </w:rPr>
            </w:pPr>
            <w:r>
              <w:rPr>
                <w:rFonts w:ascii="Arial" w:cs="Arial" w:eastAsia="Arial" w:hAnsi="Arial"/>
                <w:sz w:val="13"/>
                <w:szCs w:val="13"/>
                <w:color w:val="0000FF"/>
                <w:w w:val="92"/>
              </w:rPr>
              <w:t>12/16/2011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spacing w:after="0"/>
              <w:rPr>
                <w:sz w:val="20"/>
                <w:szCs w:val="20"/>
                <w:color w:val="auto"/>
              </w:rPr>
            </w:pPr>
            <w:r>
              <w:rPr>
                <w:rFonts w:ascii="Arial" w:cs="Arial" w:eastAsia="Arial" w:hAnsi="Arial"/>
                <w:sz w:val="13"/>
                <w:szCs w:val="13"/>
                <w:color w:val="0000FF"/>
                <w:w w:val="90"/>
              </w:rPr>
              <w:t>33,079</w:t>
            </w:r>
          </w:p>
        </w:tc>
        <w:tc>
          <w:tcPr>
            <w:tcW w:w="3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20"/>
                <w:szCs w:val="20"/>
                <w:color w:val="auto"/>
              </w:rPr>
            </w:pPr>
            <w:r>
              <w:rPr>
                <w:rFonts w:ascii="Arial" w:cs="Arial" w:eastAsia="Arial" w:hAnsi="Arial"/>
                <w:sz w:val="13"/>
                <w:szCs w:val="13"/>
                <w:color w:val="0000FF"/>
              </w:rPr>
              <w:t>12/16/2021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center"/>
              <w:ind w:right="7"/>
              <w:spacing w:after="0"/>
              <w:rPr>
                <w:sz w:val="20"/>
                <w:szCs w:val="20"/>
                <w:color w:val="auto"/>
              </w:rPr>
            </w:pPr>
            <w:r>
              <w:rPr>
                <w:rFonts w:ascii="Arial" w:cs="Arial" w:eastAsia="Arial" w:hAnsi="Arial"/>
                <w:sz w:val="17"/>
                <w:szCs w:val="17"/>
                <w:color w:val="0000FF"/>
                <w:w w:val="92"/>
              </w:rPr>
              <w:t>33,079</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33,079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gridSpan w:val="2"/>
          </w:tcPr>
          <w:p>
            <w:pPr>
              <w:ind w:left="160"/>
              <w:spacing w:after="0" w:line="95"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0" w:lineRule="exact"/>
        <w:rPr>
          <w:rFonts w:ascii="Arial" w:cs="Arial" w:eastAsia="Arial" w:hAnsi="Arial"/>
          <w:sz w:val="13"/>
          <w:szCs w:val="13"/>
          <w:color w:val="008000"/>
        </w:rPr>
      </w:pPr>
    </w:p>
    <w:p>
      <w:pPr>
        <w:ind w:left="40" w:right="300" w:firstLine="7"/>
        <w:spacing w:after="0" w:line="312"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17, 2008, the reporting person was granted an option to purchase 52,500 shares of Common Stock. The option vests, partially or in full, on December 31, 2011, based on the extent to which the company satisfies certain performance criteria during the period ending December 31, 2011. The performance criteria have been met and the option will vest as to all 52,500 shares on December 31, 2011.</w:t>
      </w:r>
    </w:p>
    <w:p>
      <w:pPr>
        <w:spacing w:after="0" w:line="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7"/>
                <w:szCs w:val="17"/>
                <w:color w:val="0000FF"/>
                <w:w w:val="93"/>
              </w:rPr>
              <w:t>/s/**Daniel P. Van Plew</w:t>
            </w:r>
          </w:p>
        </w:tc>
        <w:tc>
          <w:tcPr>
            <w:tcW w:w="4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12/20/2011</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2019-12-18T10:22:54Z</dcterms:created>
  <dcterms:modified xsi:type="dcterms:W3CDTF">2019-12-18T10:22:54Z</dcterms:modified>
</cp:coreProperties>
</file>