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edgardoc.xml.htm"/>
      <w:bookmarkStart w:id="1" w:name="ksedgardoc"/>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Guarini Kathryn</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REGENERON PHARMACEUTICALS, INC.</w:t>
              </w:r>
            </w:hyperlink>
            <w:r>
              <w:t xml:space="preserve"> [ </w:t>
            </w:r>
            <w:r>
              <w:rPr>
                <w:rFonts w:ascii="Times;serif" w:hAnsi="Times;serif"/>
                <w:color w:val="0000FF"/>
                <w:sz w:val="24"/>
                <w:shd w:fill="FFFFFF" w:val="clear"/>
              </w:rPr>
              <w:t>REGN</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pPr>
            <w:r/>
          </w:p>
        </w:tc>
        <w:tc>
          <w:tcPr>
            <w:tcW w:w="904" w:type="dxa"/>
            <w:vMerge w:val="continue"/>
            <w:tcBorders>
              <w:left w:val="single" w:sz="2" w:space="0" w:color="808080"/>
              <w:bottom w:val="single" w:sz="2" w:space="0" w:color="808080"/>
              <w:right w:val="single" w:sz="6" w:space="0" w:color="808080"/>
            </w:tcBorders>
          </w:tcPr>
          <w:p>
            <w:pPr>
              <w:pStyle w:val="Normal"/>
              <w:bidi w:val="0"/>
              <w:jc w:val="left"/>
            </w:pPr>
            <w:r/>
          </w:p>
        </w:tc>
        <w:tc>
          <w:tcPr>
            <w:tcW w:w="773" w:type="dxa"/>
            <w:vMerge w:val="continue"/>
            <w:tcBorders>
              <w:left w:val="single" w:sz="2" w:space="0" w:color="808080"/>
              <w:bottom w:val="single" w:sz="2" w:space="0" w:color="808080"/>
              <w:right w:val="single" w:sz="6" w:space="0" w:color="808080"/>
            </w:tcBorders>
          </w:tcPr>
          <w:p>
            <w:pPr>
              <w:pStyle w:val="Normal"/>
              <w:bidi w:val="0"/>
              <w:jc w:val="left"/>
            </w:p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pPr>
            <w:r/>
          </w:p>
        </w:tc>
        <w:tc>
          <w:tcPr>
            <w:tcW w:w="999" w:type="dxa"/>
            <w:vMerge w:val="continue"/>
            <w:tcBorders>
              <w:left w:val="single" w:sz="2" w:space="0" w:color="808080"/>
              <w:bottom w:val="single" w:sz="2" w:space="0" w:color="808080"/>
              <w:right w:val="single" w:sz="6" w:space="0" w:color="808080"/>
            </w:tcBorders>
          </w:tcPr>
          <w:p>
            <w:pPr>
              <w:pStyle w:val="Normal"/>
              <w:bidi w:val="0"/>
              <w:jc w:val="left"/>
            </w:pPr>
            <w:r/>
          </w:p>
        </w:tc>
        <w:tc>
          <w:tcPr>
            <w:tcW w:w="925"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719.37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900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719.37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Disposition/acquisition made pursuant to a plan intended to comply with Rule 10b5-1(c) adopted on February 13, 2026.</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date of the Company's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Guarini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352" TargetMode="External"/><Relationship Id="rId5" Type="http://schemas.openxmlformats.org/officeDocument/2006/relationships/hyperlink" Target="http://www.sec.gov/cgi-bin/browse-edgar?action=getcompany&amp;CIK=00008725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3538</Characters>
  <CharactersWithSpaces>4110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