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2)*</w:t>
      </w:r>
    </w:p>
    <w:p>
      <w:pPr>
        <w:spacing w:after="0" w:line="200" w:lineRule="exact"/>
        <w:rPr>
          <w:sz w:val="24"/>
          <w:szCs w:val="24"/>
          <w:color w:val="auto"/>
        </w:rPr>
      </w:pPr>
    </w:p>
    <w:p>
      <w:pPr>
        <w:spacing w:after="0" w:line="218"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00075886F1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April 22,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8"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hanging="212"/>
        <w:spacing w:after="0" w:line="268"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40"/>
          </w:cols>
          <w:pgMar w:left="240" w:top="219" w:right="319" w:bottom="1440" w:gutter="0" w:footer="0" w:header="0"/>
        </w:sectPr>
      </w:pPr>
    </w:p>
    <w:bookmarkStart w:id="1" w:name="page2"/>
    <w:bookmarkEnd w:id="1"/>
    <w:p>
      <w:pPr>
        <w:spacing w:after="0"/>
        <w:tabs>
          <w:tab w:leader="none" w:pos="5660" w:val="left"/>
          <w:tab w:leader="none" w:pos="10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CUSIP No. </w:t>
      </w:r>
      <w:r>
        <w:rPr>
          <w:rFonts w:ascii="Arial" w:cs="Arial" w:eastAsia="Arial" w:hAnsi="Arial"/>
          <w:sz w:val="18"/>
          <w:szCs w:val="18"/>
          <w:color w:val="auto"/>
        </w:rPr>
        <w:t>00075886F1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6"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15"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38" w:lineRule="exact"/>
        <w:rPr>
          <w:sz w:val="20"/>
          <w:szCs w:val="20"/>
          <w:color w:val="auto"/>
        </w:rPr>
      </w:pPr>
    </w:p>
    <w:p>
      <w:pPr>
        <w:ind w:left="900"/>
        <w:spacing w:after="0"/>
        <w:rPr>
          <w:sz w:val="20"/>
          <w:szCs w:val="20"/>
          <w:color w:val="auto"/>
        </w:rPr>
      </w:pPr>
      <w:r>
        <w:rPr>
          <w:rFonts w:ascii="Arial" w:cs="Arial" w:eastAsia="Arial" w:hAnsi="Arial"/>
          <w:sz w:val="22"/>
          <w:szCs w:val="22"/>
          <w:color w:val="auto"/>
        </w:rPr>
        <w:t>Amgen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540" w:hanging="275"/>
        <w:spacing w:after="0" w:line="207" w:lineRule="exact"/>
        <w:tabs>
          <w:tab w:leader="none" w:pos="54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560" w:hanging="295"/>
        <w:spacing w:after="0" w:line="207" w:lineRule="exact"/>
        <w:tabs>
          <w:tab w:leader="none" w:pos="56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460" w:hanging="304"/>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45" w:lineRule="exact"/>
        <w:rPr>
          <w:sz w:val="20"/>
          <w:szCs w:val="20"/>
          <w:color w:val="auto"/>
        </w:rPr>
      </w:pPr>
    </w:p>
    <w:tbl>
      <w:tblPr>
        <w:tblLayout w:type="fixed"/>
        <w:tblInd w:w="100" w:type="dxa"/>
        <w:tblCellMar>
          <w:top w:w="0" w:type="dxa"/>
          <w:left w:w="0" w:type="dxa"/>
          <w:bottom w:w="0" w:type="dxa"/>
          <w:right w:w="0" w:type="dxa"/>
        </w:tblCellMar>
      </w:tblPr>
      <w:tr>
        <w:trPr>
          <w:trHeight w:val="275"/>
        </w:trPr>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40" w:type="dxa"/>
            <w:vAlign w:val="bottom"/>
          </w:tcPr>
          <w:p>
            <w:pPr>
              <w:ind w:left="640"/>
              <w:spacing w:after="0"/>
              <w:rPr>
                <w:sz w:val="20"/>
                <w:szCs w:val="20"/>
                <w:color w:val="auto"/>
              </w:rPr>
            </w:pPr>
            <w:r>
              <w:rPr>
                <w:rFonts w:ascii="Arial" w:cs="Arial" w:eastAsia="Arial" w:hAnsi="Arial"/>
                <w:sz w:val="22"/>
                <w:szCs w:val="22"/>
                <w:color w:val="auto"/>
              </w:rPr>
              <w:t>2,931,308</w:t>
            </w:r>
          </w:p>
        </w:tc>
        <w:tc>
          <w:tcPr>
            <w:tcW w:w="0" w:type="dxa"/>
            <w:vAlign w:val="bottom"/>
          </w:tcPr>
          <w:p>
            <w:pPr>
              <w:spacing w:after="0"/>
              <w:rPr>
                <w:sz w:val="1"/>
                <w:szCs w:val="1"/>
                <w:color w:val="auto"/>
              </w:rPr>
            </w:pPr>
          </w:p>
        </w:tc>
      </w:tr>
      <w:tr>
        <w:trPr>
          <w:trHeight w:val="98"/>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92"/>
              </w:rPr>
              <w:t>Number of</w:t>
            </w:r>
          </w:p>
        </w:tc>
        <w:tc>
          <w:tcPr>
            <w:tcW w:w="220" w:type="dxa"/>
            <w:vAlign w:val="bottom"/>
            <w:tcBorders>
              <w:bottom w:val="single" w:sz="8" w:color="auto"/>
            </w:tcBorders>
          </w:tcPr>
          <w:p>
            <w:pPr>
              <w:spacing w:after="0"/>
              <w:rPr>
                <w:sz w:val="8"/>
                <w:szCs w:val="8"/>
                <w:color w:val="auto"/>
              </w:rPr>
            </w:pPr>
          </w:p>
        </w:tc>
        <w:tc>
          <w:tcPr>
            <w:tcW w:w="10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1060" w:type="dxa"/>
            <w:vAlign w:val="bottom"/>
            <w:vMerge w:val="continue"/>
          </w:tcPr>
          <w:p>
            <w:pPr>
              <w:spacing w:after="0"/>
              <w:rPr>
                <w:sz w:val="23"/>
                <w:szCs w:val="23"/>
                <w:color w:val="auto"/>
              </w:rPr>
            </w:pPr>
          </w:p>
        </w:tc>
        <w:tc>
          <w:tcPr>
            <w:tcW w:w="220" w:type="dxa"/>
            <w:vAlign w:val="bottom"/>
          </w:tcPr>
          <w:p>
            <w:pPr>
              <w:jc w:val="right"/>
              <w:ind w:right="18"/>
              <w:spacing w:after="0"/>
              <w:rPr>
                <w:sz w:val="20"/>
                <w:szCs w:val="20"/>
                <w:color w:val="auto"/>
              </w:rPr>
            </w:pPr>
            <w:r>
              <w:rPr>
                <w:rFonts w:ascii="Arial" w:cs="Arial" w:eastAsia="Arial" w:hAnsi="Arial"/>
                <w:sz w:val="16"/>
                <w:szCs w:val="16"/>
                <w:color w:val="auto"/>
                <w:w w:val="74"/>
              </w:rPr>
              <w:t>6.</w:t>
            </w:r>
          </w:p>
        </w:tc>
        <w:tc>
          <w:tcPr>
            <w:tcW w:w="100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60" w:type="dxa"/>
            <w:vAlign w:val="bottom"/>
          </w:tcPr>
          <w:p>
            <w:pPr>
              <w:jc w:val="center"/>
              <w:ind w:right="112"/>
              <w:spacing w:after="0"/>
              <w:rPr>
                <w:sz w:val="20"/>
                <w:szCs w:val="20"/>
                <w:color w:val="auto"/>
              </w:rPr>
            </w:pPr>
            <w:r>
              <w:rPr>
                <w:rFonts w:ascii="Arial" w:cs="Arial" w:eastAsia="Arial" w:hAnsi="Arial"/>
                <w:sz w:val="18"/>
                <w:szCs w:val="18"/>
                <w:color w:val="auto"/>
                <w:w w:val="80"/>
              </w:rPr>
              <w:t>Shares</w:t>
            </w:r>
          </w:p>
        </w:tc>
        <w:tc>
          <w:tcPr>
            <w:tcW w:w="220" w:type="dxa"/>
            <w:vAlign w:val="bottom"/>
          </w:tcPr>
          <w:p>
            <w:pPr>
              <w:spacing w:after="0"/>
              <w:rPr>
                <w:sz w:val="18"/>
                <w:szCs w:val="18"/>
                <w:color w:val="auto"/>
              </w:rPr>
            </w:pPr>
          </w:p>
        </w:tc>
        <w:tc>
          <w:tcPr>
            <w:tcW w:w="10040" w:type="dxa"/>
            <w:vAlign w:val="bottom"/>
            <w:vMerge w:val="restart"/>
          </w:tcPr>
          <w:p>
            <w:pPr>
              <w:ind w:left="640"/>
              <w:spacing w:after="0"/>
              <w:rPr>
                <w:sz w:val="20"/>
                <w:szCs w:val="20"/>
                <w:color w:val="auto"/>
              </w:rPr>
            </w:pPr>
            <w:r>
              <w:rPr>
                <w:rFonts w:ascii="Arial" w:cs="Arial" w:eastAsia="Arial" w:hAnsi="Arial"/>
                <w:sz w:val="22"/>
                <w:szCs w:val="22"/>
                <w:color w:val="auto"/>
              </w:rPr>
              <w:t>N/A</w:t>
            </w:r>
          </w:p>
        </w:tc>
        <w:tc>
          <w:tcPr>
            <w:tcW w:w="0" w:type="dxa"/>
            <w:vAlign w:val="bottom"/>
          </w:tcPr>
          <w:p>
            <w:pPr>
              <w:spacing w:after="0"/>
              <w:rPr>
                <w:sz w:val="1"/>
                <w:szCs w:val="1"/>
                <w:color w:val="auto"/>
              </w:rPr>
            </w:pPr>
          </w:p>
        </w:tc>
      </w:tr>
      <w:tr>
        <w:trPr>
          <w:trHeight w:val="216"/>
        </w:trPr>
        <w:tc>
          <w:tcPr>
            <w:tcW w:w="1060" w:type="dxa"/>
            <w:vAlign w:val="bottom"/>
          </w:tcPr>
          <w:p>
            <w:pPr>
              <w:jc w:val="center"/>
              <w:ind w:right="112"/>
              <w:spacing w:after="0"/>
              <w:rPr>
                <w:sz w:val="20"/>
                <w:szCs w:val="20"/>
                <w:color w:val="auto"/>
              </w:rPr>
            </w:pPr>
            <w:r>
              <w:rPr>
                <w:rFonts w:ascii="Arial" w:cs="Arial" w:eastAsia="Arial" w:hAnsi="Arial"/>
                <w:sz w:val="18"/>
                <w:szCs w:val="18"/>
                <w:color w:val="auto"/>
                <w:w w:val="94"/>
              </w:rPr>
              <w:t>Beneficially</w:t>
            </w:r>
          </w:p>
        </w:tc>
        <w:tc>
          <w:tcPr>
            <w:tcW w:w="220" w:type="dxa"/>
            <w:vAlign w:val="bottom"/>
          </w:tcPr>
          <w:p>
            <w:pPr>
              <w:spacing w:after="0"/>
              <w:rPr>
                <w:sz w:val="18"/>
                <w:szCs w:val="18"/>
                <w:color w:val="auto"/>
              </w:rPr>
            </w:pPr>
          </w:p>
        </w:tc>
        <w:tc>
          <w:tcPr>
            <w:tcW w:w="10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91"/>
              </w:rPr>
              <w:t>Owned by</w:t>
            </w:r>
          </w:p>
        </w:tc>
        <w:tc>
          <w:tcPr>
            <w:tcW w:w="220" w:type="dxa"/>
            <w:vAlign w:val="bottom"/>
            <w:tcBorders>
              <w:bottom w:val="single" w:sz="8" w:color="auto"/>
            </w:tcBorders>
          </w:tcPr>
          <w:p>
            <w:pPr>
              <w:spacing w:after="0"/>
              <w:rPr>
                <w:sz w:val="10"/>
                <w:szCs w:val="10"/>
                <w:color w:val="auto"/>
              </w:rPr>
            </w:pPr>
          </w:p>
        </w:tc>
        <w:tc>
          <w:tcPr>
            <w:tcW w:w="10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0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12"/>
              <w:spacing w:after="0"/>
              <w:rPr>
                <w:sz w:val="20"/>
                <w:szCs w:val="20"/>
                <w:color w:val="auto"/>
              </w:rPr>
            </w:pPr>
            <w:r>
              <w:rPr>
                <w:rFonts w:ascii="Arial" w:cs="Arial" w:eastAsia="Arial" w:hAnsi="Arial"/>
                <w:sz w:val="18"/>
                <w:szCs w:val="18"/>
                <w:color w:val="auto"/>
                <w:w w:val="82"/>
              </w:rPr>
              <w:t>Each</w:t>
            </w:r>
          </w:p>
        </w:tc>
        <w:tc>
          <w:tcPr>
            <w:tcW w:w="220" w:type="dxa"/>
            <w:vAlign w:val="bottom"/>
          </w:tcPr>
          <w:p>
            <w:pPr>
              <w:jc w:val="right"/>
              <w:ind w:right="18"/>
              <w:spacing w:after="0"/>
              <w:rPr>
                <w:sz w:val="20"/>
                <w:szCs w:val="20"/>
                <w:color w:val="auto"/>
              </w:rPr>
            </w:pPr>
            <w:r>
              <w:rPr>
                <w:rFonts w:ascii="Arial" w:cs="Arial" w:eastAsia="Arial" w:hAnsi="Arial"/>
                <w:sz w:val="16"/>
                <w:szCs w:val="16"/>
                <w:color w:val="auto"/>
                <w:w w:val="74"/>
              </w:rPr>
              <w:t>7.</w:t>
            </w:r>
          </w:p>
        </w:tc>
        <w:tc>
          <w:tcPr>
            <w:tcW w:w="10040" w:type="dxa"/>
            <w:vAlign w:val="bottom"/>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60" w:type="dxa"/>
            <w:vAlign w:val="bottom"/>
          </w:tcPr>
          <w:p>
            <w:pPr>
              <w:jc w:val="center"/>
              <w:ind w:right="112"/>
              <w:spacing w:after="0"/>
              <w:rPr>
                <w:sz w:val="20"/>
                <w:szCs w:val="20"/>
                <w:color w:val="auto"/>
              </w:rPr>
            </w:pPr>
            <w:r>
              <w:rPr>
                <w:rFonts w:ascii="Arial" w:cs="Arial" w:eastAsia="Arial" w:hAnsi="Arial"/>
                <w:sz w:val="18"/>
                <w:szCs w:val="18"/>
                <w:color w:val="auto"/>
                <w:w w:val="89"/>
              </w:rPr>
              <w:t>Reporting</w:t>
            </w:r>
          </w:p>
        </w:tc>
        <w:tc>
          <w:tcPr>
            <w:tcW w:w="220" w:type="dxa"/>
            <w:vAlign w:val="bottom"/>
          </w:tcPr>
          <w:p>
            <w:pPr>
              <w:spacing w:after="0"/>
              <w:rPr>
                <w:sz w:val="18"/>
                <w:szCs w:val="18"/>
                <w:color w:val="auto"/>
              </w:rPr>
            </w:pPr>
          </w:p>
        </w:tc>
        <w:tc>
          <w:tcPr>
            <w:tcW w:w="10040" w:type="dxa"/>
            <w:vAlign w:val="bottom"/>
            <w:vMerge w:val="restart"/>
          </w:tcPr>
          <w:p>
            <w:pPr>
              <w:ind w:left="640"/>
              <w:spacing w:after="0"/>
              <w:rPr>
                <w:sz w:val="20"/>
                <w:szCs w:val="20"/>
                <w:color w:val="auto"/>
              </w:rPr>
            </w:pPr>
            <w:r>
              <w:rPr>
                <w:rFonts w:ascii="Arial" w:cs="Arial" w:eastAsia="Arial" w:hAnsi="Arial"/>
                <w:sz w:val="22"/>
                <w:szCs w:val="22"/>
                <w:color w:val="auto"/>
              </w:rPr>
              <w:t>2,931,308</w:t>
            </w:r>
          </w:p>
        </w:tc>
        <w:tc>
          <w:tcPr>
            <w:tcW w:w="0" w:type="dxa"/>
            <w:vAlign w:val="bottom"/>
          </w:tcPr>
          <w:p>
            <w:pPr>
              <w:spacing w:after="0"/>
              <w:rPr>
                <w:sz w:val="1"/>
                <w:szCs w:val="1"/>
                <w:color w:val="auto"/>
              </w:rPr>
            </w:pPr>
          </w:p>
        </w:tc>
      </w:tr>
      <w:tr>
        <w:trPr>
          <w:trHeight w:val="222"/>
        </w:trPr>
        <w:tc>
          <w:tcPr>
            <w:tcW w:w="1060" w:type="dxa"/>
            <w:vAlign w:val="bottom"/>
          </w:tcPr>
          <w:p>
            <w:pPr>
              <w:jc w:val="center"/>
              <w:ind w:right="112"/>
              <w:spacing w:after="0"/>
              <w:rPr>
                <w:sz w:val="20"/>
                <w:szCs w:val="20"/>
                <w:color w:val="auto"/>
              </w:rPr>
            </w:pPr>
            <w:r>
              <w:rPr>
                <w:rFonts w:ascii="Arial" w:cs="Arial" w:eastAsia="Arial" w:hAnsi="Arial"/>
                <w:sz w:val="18"/>
                <w:szCs w:val="18"/>
                <w:color w:val="auto"/>
                <w:w w:val="87"/>
              </w:rPr>
              <w:t>Person With</w:t>
            </w:r>
          </w:p>
        </w:tc>
        <w:tc>
          <w:tcPr>
            <w:tcW w:w="220" w:type="dxa"/>
            <w:vAlign w:val="bottom"/>
          </w:tcPr>
          <w:p>
            <w:pPr>
              <w:spacing w:after="0"/>
              <w:rPr>
                <w:sz w:val="19"/>
                <w:szCs w:val="19"/>
                <w:color w:val="auto"/>
              </w:rPr>
            </w:pPr>
          </w:p>
        </w:tc>
        <w:tc>
          <w:tcPr>
            <w:tcW w:w="10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106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6"/>
        </w:trPr>
        <w:tc>
          <w:tcPr>
            <w:tcW w:w="1060" w:type="dxa"/>
            <w:vAlign w:val="bottom"/>
          </w:tcPr>
          <w:p>
            <w:pPr>
              <w:spacing w:after="0"/>
              <w:rPr>
                <w:sz w:val="24"/>
                <w:szCs w:val="24"/>
                <w:color w:val="auto"/>
              </w:rPr>
            </w:pPr>
          </w:p>
        </w:tc>
        <w:tc>
          <w:tcPr>
            <w:tcW w:w="220" w:type="dxa"/>
            <w:vAlign w:val="bottom"/>
          </w:tcPr>
          <w:p>
            <w:pPr>
              <w:jc w:val="right"/>
              <w:ind w:right="18"/>
              <w:spacing w:after="0"/>
              <w:rPr>
                <w:sz w:val="20"/>
                <w:szCs w:val="20"/>
                <w:color w:val="auto"/>
              </w:rPr>
            </w:pPr>
            <w:r>
              <w:rPr>
                <w:rFonts w:ascii="Arial" w:cs="Arial" w:eastAsia="Arial" w:hAnsi="Arial"/>
                <w:sz w:val="16"/>
                <w:szCs w:val="16"/>
                <w:color w:val="auto"/>
                <w:w w:val="74"/>
              </w:rPr>
              <w:t>8.</w:t>
            </w:r>
          </w:p>
        </w:tc>
        <w:tc>
          <w:tcPr>
            <w:tcW w:w="100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2,931,308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 w:name="page3"/>
    <w:bookmarkEnd w:id="2"/>
    <w:p>
      <w:pPr>
        <w:spacing w:after="0"/>
        <w:tabs>
          <w:tab w:leader="none" w:pos="5660" w:val="left"/>
          <w:tab w:leader="none" w:pos="10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CUSIP No. </w:t>
      </w:r>
      <w:r>
        <w:rPr>
          <w:rFonts w:ascii="Arial" w:cs="Arial" w:eastAsia="Arial" w:hAnsi="Arial"/>
          <w:sz w:val="18"/>
          <w:szCs w:val="18"/>
          <w:color w:val="auto"/>
        </w:rPr>
        <w:t>00075886F1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3 of 5 Pages</w:t>
      </w:r>
    </w:p>
    <w:p>
      <w:pPr>
        <w:spacing w:after="0" w:line="164"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This Amendment No. 2 to Schedule 13G is being filed by Amgen Inc., a Delaware corporation (the “Reporting Person”), to amend and supplement the Schedule 13G filed on February 4, 2002 and amended by Amendment No. 1 filed on May 5, 2004 and Schedule 13D filed on July 26, 1995, as amended by Amendment No. 1 filed on September 25, 1995, Amendment No. 2 filed on December 6, 1995, Amendment No. 3 filed on March 5, 1996, Amendment No. 4 filed on April 15, 1996, Amendment No. 5 filed on March 7, 2000, Amendment No. 6 filed on April 5, 2000, Amendment No. 7 filed on March 13, 2001 and Amendment No. 8 filed on March 22, 2001 (the “Schedule 13D”), relating to the common stock, $.001 par value per share (the “Common Stock”) of Regeneron Pharmaceuticals, Inc. (the “Issuer”). Unless otherwise indicated, all capitalized terms used herein but not defined herein shall have the meaning assigned to them in the Schedule 13D.</w:t>
      </w:r>
    </w:p>
    <w:p>
      <w:pPr>
        <w:spacing w:after="0" w:line="134" w:lineRule="exact"/>
        <w:rPr>
          <w:sz w:val="20"/>
          <w:szCs w:val="20"/>
          <w:color w:val="auto"/>
        </w:rPr>
      </w:pPr>
    </w:p>
    <w:p>
      <w:pPr>
        <w:jc w:val="both"/>
        <w:ind w:right="40" w:firstLine="456"/>
        <w:spacing w:after="0" w:line="370" w:lineRule="auto"/>
        <w:rPr>
          <w:sz w:val="20"/>
          <w:szCs w:val="20"/>
          <w:color w:val="auto"/>
        </w:rPr>
      </w:pPr>
      <w:r>
        <w:rPr>
          <w:rFonts w:ascii="Arial" w:cs="Arial" w:eastAsia="Arial" w:hAnsi="Arial"/>
          <w:sz w:val="15"/>
          <w:szCs w:val="15"/>
          <w:color w:val="auto"/>
        </w:rPr>
        <w:t>Sales of 250,000 shares of Common Stock of the Issuer and a one share reconciliation were made prior to February 14, 2005. All sales were made pursuant to the divestiture requirements of the July 12, 2002 Decision and Order of the Federal Trade Commission In the Matter of Amgen Inc. and Immunex Corporation.</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Item 1</w:t>
            </w:r>
          </w:p>
        </w:tc>
        <w:tc>
          <w:tcPr>
            <w:tcW w:w="600" w:type="dxa"/>
            <w:vAlign w:val="bottom"/>
          </w:tcPr>
          <w:p>
            <w:pPr>
              <w:ind w:left="140"/>
              <w:spacing w:after="0"/>
              <w:rPr>
                <w:sz w:val="20"/>
                <w:szCs w:val="20"/>
                <w:color w:val="auto"/>
              </w:rPr>
            </w:pPr>
            <w:r>
              <w:rPr>
                <w:rFonts w:ascii="Arial" w:cs="Arial" w:eastAsia="Arial" w:hAnsi="Arial"/>
                <w:sz w:val="18"/>
                <w:szCs w:val="18"/>
                <w:color w:val="auto"/>
              </w:rPr>
              <w:t>(a).</w:t>
            </w:r>
          </w:p>
        </w:tc>
        <w:tc>
          <w:tcPr>
            <w:tcW w:w="4940" w:type="dxa"/>
            <w:vAlign w:val="bottom"/>
          </w:tcPr>
          <w:p>
            <w:pPr>
              <w:ind w:left="240"/>
              <w:spacing w:after="0"/>
              <w:rPr>
                <w:sz w:val="20"/>
                <w:szCs w:val="20"/>
                <w:color w:val="auto"/>
              </w:rPr>
            </w:pPr>
            <w:r>
              <w:rPr>
                <w:rFonts w:ascii="Arial" w:cs="Arial" w:eastAsia="Arial" w:hAnsi="Arial"/>
                <w:sz w:val="18"/>
                <w:szCs w:val="18"/>
                <w:color w:val="auto"/>
              </w:rPr>
              <w:t>Name of Issuer:</w:t>
            </w:r>
          </w:p>
        </w:tc>
      </w:tr>
      <w:tr>
        <w:trPr>
          <w:trHeight w:val="324"/>
        </w:trPr>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Regeneron Pharmaceuticals, Inc.</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Item 1</w:t>
            </w:r>
          </w:p>
        </w:tc>
        <w:tc>
          <w:tcPr>
            <w:tcW w:w="600" w:type="dxa"/>
            <w:vAlign w:val="bottom"/>
          </w:tcPr>
          <w:p>
            <w:pPr>
              <w:ind w:left="140"/>
              <w:spacing w:after="0"/>
              <w:rPr>
                <w:sz w:val="20"/>
                <w:szCs w:val="20"/>
                <w:color w:val="auto"/>
              </w:rPr>
            </w:pPr>
            <w:r>
              <w:rPr>
                <w:rFonts w:ascii="Arial" w:cs="Arial" w:eastAsia="Arial" w:hAnsi="Arial"/>
                <w:sz w:val="18"/>
                <w:szCs w:val="18"/>
                <w:color w:val="auto"/>
              </w:rPr>
              <w:t>(b).</w:t>
            </w:r>
          </w:p>
        </w:tc>
        <w:tc>
          <w:tcPr>
            <w:tcW w:w="4940" w:type="dxa"/>
            <w:vAlign w:val="bottom"/>
          </w:tcPr>
          <w:p>
            <w:pPr>
              <w:ind w:left="240"/>
              <w:spacing w:after="0"/>
              <w:rPr>
                <w:sz w:val="20"/>
                <w:szCs w:val="20"/>
                <w:color w:val="auto"/>
              </w:rPr>
            </w:pPr>
            <w:r>
              <w:rPr>
                <w:rFonts w:ascii="Arial" w:cs="Arial" w:eastAsia="Arial" w:hAnsi="Arial"/>
                <w:sz w:val="18"/>
                <w:szCs w:val="18"/>
                <w:color w:val="auto"/>
              </w:rPr>
              <w:t>Address of Issuer’s Principal Executive Offices:</w:t>
            </w:r>
          </w:p>
        </w:tc>
      </w:tr>
      <w:tr>
        <w:trPr>
          <w:trHeight w:val="318"/>
        </w:trPr>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777 Old Saw Mill River Road</w:t>
            </w:r>
          </w:p>
        </w:tc>
      </w:tr>
      <w:tr>
        <w:trPr>
          <w:trHeight w:val="222"/>
        </w:trPr>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Tarrytown, New York 10591-6707</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Item 2</w:t>
            </w:r>
          </w:p>
        </w:tc>
        <w:tc>
          <w:tcPr>
            <w:tcW w:w="600" w:type="dxa"/>
            <w:vAlign w:val="bottom"/>
          </w:tcPr>
          <w:p>
            <w:pPr>
              <w:ind w:left="140"/>
              <w:spacing w:after="0"/>
              <w:rPr>
                <w:sz w:val="20"/>
                <w:szCs w:val="20"/>
                <w:color w:val="auto"/>
              </w:rPr>
            </w:pPr>
            <w:r>
              <w:rPr>
                <w:rFonts w:ascii="Arial" w:cs="Arial" w:eastAsia="Arial" w:hAnsi="Arial"/>
                <w:sz w:val="18"/>
                <w:szCs w:val="18"/>
                <w:color w:val="auto"/>
              </w:rPr>
              <w:t>(a).</w:t>
            </w:r>
          </w:p>
        </w:tc>
        <w:tc>
          <w:tcPr>
            <w:tcW w:w="4940" w:type="dxa"/>
            <w:vAlign w:val="bottom"/>
          </w:tcPr>
          <w:p>
            <w:pPr>
              <w:ind w:left="240"/>
              <w:spacing w:after="0"/>
              <w:rPr>
                <w:sz w:val="20"/>
                <w:szCs w:val="20"/>
                <w:color w:val="auto"/>
              </w:rPr>
            </w:pPr>
            <w:r>
              <w:rPr>
                <w:rFonts w:ascii="Arial" w:cs="Arial" w:eastAsia="Arial" w:hAnsi="Arial"/>
                <w:sz w:val="18"/>
                <w:szCs w:val="18"/>
                <w:color w:val="auto"/>
              </w:rPr>
              <w:t>Name of Person Filing:</w:t>
            </w:r>
          </w:p>
        </w:tc>
      </w:tr>
      <w:tr>
        <w:trPr>
          <w:trHeight w:val="324"/>
        </w:trPr>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Amgen Inc.</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Item 2</w:t>
            </w:r>
          </w:p>
        </w:tc>
        <w:tc>
          <w:tcPr>
            <w:tcW w:w="600" w:type="dxa"/>
            <w:vAlign w:val="bottom"/>
          </w:tcPr>
          <w:p>
            <w:pPr>
              <w:ind w:left="140"/>
              <w:spacing w:after="0"/>
              <w:rPr>
                <w:sz w:val="20"/>
                <w:szCs w:val="20"/>
                <w:color w:val="auto"/>
              </w:rPr>
            </w:pPr>
            <w:r>
              <w:rPr>
                <w:rFonts w:ascii="Arial" w:cs="Arial" w:eastAsia="Arial" w:hAnsi="Arial"/>
                <w:sz w:val="18"/>
                <w:szCs w:val="18"/>
                <w:color w:val="auto"/>
              </w:rPr>
              <w:t>(b).</w:t>
            </w:r>
          </w:p>
        </w:tc>
        <w:tc>
          <w:tcPr>
            <w:tcW w:w="4940" w:type="dxa"/>
            <w:vAlign w:val="bottom"/>
          </w:tcPr>
          <w:p>
            <w:pPr>
              <w:ind w:left="240"/>
              <w:spacing w:after="0"/>
              <w:rPr>
                <w:sz w:val="20"/>
                <w:szCs w:val="20"/>
                <w:color w:val="auto"/>
              </w:rPr>
            </w:pPr>
            <w:r>
              <w:rPr>
                <w:rFonts w:ascii="Arial" w:cs="Arial" w:eastAsia="Arial" w:hAnsi="Arial"/>
                <w:sz w:val="18"/>
                <w:szCs w:val="18"/>
                <w:color w:val="auto"/>
                <w:w w:val="97"/>
              </w:rPr>
              <w:t>Address of Principal Business Office or, if None, Residence:</w:t>
            </w:r>
          </w:p>
        </w:tc>
      </w:tr>
      <w:tr>
        <w:trPr>
          <w:trHeight w:val="318"/>
        </w:trPr>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One Amgen Center Drive</w:t>
            </w:r>
          </w:p>
        </w:tc>
      </w:tr>
      <w:tr>
        <w:trPr>
          <w:trHeight w:val="222"/>
        </w:trPr>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Thousand Oaks, CA 91320-1799</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Item 2</w:t>
            </w:r>
          </w:p>
        </w:tc>
        <w:tc>
          <w:tcPr>
            <w:tcW w:w="600" w:type="dxa"/>
            <w:vAlign w:val="bottom"/>
          </w:tcPr>
          <w:p>
            <w:pPr>
              <w:ind w:left="140"/>
              <w:spacing w:after="0"/>
              <w:rPr>
                <w:sz w:val="20"/>
                <w:szCs w:val="20"/>
                <w:color w:val="auto"/>
              </w:rPr>
            </w:pPr>
            <w:r>
              <w:rPr>
                <w:rFonts w:ascii="Arial" w:cs="Arial" w:eastAsia="Arial" w:hAnsi="Arial"/>
                <w:sz w:val="18"/>
                <w:szCs w:val="18"/>
                <w:color w:val="auto"/>
              </w:rPr>
              <w:t>(c).</w:t>
            </w:r>
          </w:p>
        </w:tc>
        <w:tc>
          <w:tcPr>
            <w:tcW w:w="4940" w:type="dxa"/>
            <w:vAlign w:val="bottom"/>
          </w:tcPr>
          <w:p>
            <w:pPr>
              <w:ind w:left="240"/>
              <w:spacing w:after="0"/>
              <w:rPr>
                <w:sz w:val="20"/>
                <w:szCs w:val="20"/>
                <w:color w:val="auto"/>
              </w:rPr>
            </w:pPr>
            <w:r>
              <w:rPr>
                <w:rFonts w:ascii="Arial" w:cs="Arial" w:eastAsia="Arial" w:hAnsi="Arial"/>
                <w:sz w:val="18"/>
                <w:szCs w:val="18"/>
                <w:color w:val="auto"/>
              </w:rPr>
              <w:t>Citizenship:</w:t>
            </w:r>
          </w:p>
        </w:tc>
      </w:tr>
      <w:tr>
        <w:trPr>
          <w:trHeight w:val="324"/>
        </w:trPr>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Delaware</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Item 2</w:t>
            </w:r>
          </w:p>
        </w:tc>
        <w:tc>
          <w:tcPr>
            <w:tcW w:w="600" w:type="dxa"/>
            <w:vAlign w:val="bottom"/>
          </w:tcPr>
          <w:p>
            <w:pPr>
              <w:ind w:left="140"/>
              <w:spacing w:after="0"/>
              <w:rPr>
                <w:sz w:val="20"/>
                <w:szCs w:val="20"/>
                <w:color w:val="auto"/>
              </w:rPr>
            </w:pPr>
            <w:r>
              <w:rPr>
                <w:rFonts w:ascii="Arial" w:cs="Arial" w:eastAsia="Arial" w:hAnsi="Arial"/>
                <w:sz w:val="18"/>
                <w:szCs w:val="18"/>
                <w:color w:val="auto"/>
              </w:rPr>
              <w:t>(d).</w:t>
            </w:r>
          </w:p>
        </w:tc>
        <w:tc>
          <w:tcPr>
            <w:tcW w:w="4940" w:type="dxa"/>
            <w:vAlign w:val="bottom"/>
          </w:tcPr>
          <w:p>
            <w:pPr>
              <w:ind w:left="240"/>
              <w:spacing w:after="0"/>
              <w:rPr>
                <w:sz w:val="20"/>
                <w:szCs w:val="20"/>
                <w:color w:val="auto"/>
              </w:rPr>
            </w:pPr>
            <w:r>
              <w:rPr>
                <w:rFonts w:ascii="Arial" w:cs="Arial" w:eastAsia="Arial" w:hAnsi="Arial"/>
                <w:sz w:val="18"/>
                <w:szCs w:val="18"/>
                <w:color w:val="auto"/>
              </w:rPr>
              <w:t>Title of Class of Securities:</w:t>
            </w:r>
          </w:p>
        </w:tc>
      </w:tr>
      <w:tr>
        <w:trPr>
          <w:trHeight w:val="324"/>
        </w:trPr>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w w:val="88"/>
              </w:rPr>
              <w:t>Common Stock, par value $0.001 per share (the “Common Stock”)</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56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00075886F1</w:t>
            </w:r>
          </w:p>
        </w:tc>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13G</w:t>
            </w:r>
          </w:p>
        </w:tc>
        <w:tc>
          <w:tcPr>
            <w:tcW w:w="1280" w:type="dxa"/>
            <w:vAlign w:val="bottom"/>
          </w:tcPr>
          <w:p>
            <w:pPr>
              <w:spacing w:after="0"/>
              <w:rPr>
                <w:sz w:val="20"/>
                <w:szCs w:val="20"/>
                <w:color w:val="auto"/>
              </w:rPr>
            </w:pPr>
            <w:r>
              <w:rPr>
                <w:rFonts w:ascii="Arial" w:cs="Arial" w:eastAsia="Arial" w:hAnsi="Arial"/>
                <w:sz w:val="18"/>
                <w:szCs w:val="18"/>
                <w:b w:val="1"/>
                <w:bCs w:val="1"/>
                <w:color w:val="auto"/>
                <w:w w:val="82"/>
              </w:rPr>
              <w:t>Page 4 of 5 Pages</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Item 2   (e).</w:t>
            </w:r>
          </w:p>
        </w:tc>
        <w:tc>
          <w:tcPr>
            <w:tcW w:w="4540" w:type="dxa"/>
            <w:vAlign w:val="bottom"/>
            <w:gridSpan w:val="2"/>
          </w:tcPr>
          <w:p>
            <w:pPr>
              <w:ind w:left="180"/>
              <w:spacing w:after="0"/>
              <w:rPr>
                <w:sz w:val="20"/>
                <w:szCs w:val="20"/>
                <w:color w:val="auto"/>
              </w:rPr>
            </w:pPr>
            <w:r>
              <w:rPr>
                <w:rFonts w:ascii="Arial" w:cs="Arial" w:eastAsia="Arial" w:hAnsi="Arial"/>
                <w:sz w:val="18"/>
                <w:szCs w:val="18"/>
                <w:color w:val="auto"/>
              </w:rPr>
              <w:t>CUSIP Number:</w:t>
            </w:r>
          </w:p>
        </w:tc>
        <w:tc>
          <w:tcPr>
            <w:tcW w:w="4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24"/>
        </w:trPr>
        <w:tc>
          <w:tcPr>
            <w:tcW w:w="1120" w:type="dxa"/>
            <w:vAlign w:val="bottom"/>
          </w:tcPr>
          <w:p>
            <w:pPr>
              <w:spacing w:after="0"/>
              <w:rPr>
                <w:sz w:val="24"/>
                <w:szCs w:val="24"/>
                <w:color w:val="auto"/>
              </w:rPr>
            </w:pPr>
          </w:p>
        </w:tc>
        <w:tc>
          <w:tcPr>
            <w:tcW w:w="4540" w:type="dxa"/>
            <w:vAlign w:val="bottom"/>
            <w:gridSpan w:val="2"/>
          </w:tcPr>
          <w:p>
            <w:pPr>
              <w:ind w:left="180"/>
              <w:spacing w:after="0"/>
              <w:rPr>
                <w:sz w:val="20"/>
                <w:szCs w:val="20"/>
                <w:color w:val="auto"/>
              </w:rPr>
            </w:pPr>
            <w:r>
              <w:rPr>
                <w:rFonts w:ascii="Arial" w:cs="Arial" w:eastAsia="Arial" w:hAnsi="Arial"/>
                <w:sz w:val="18"/>
                <w:szCs w:val="18"/>
                <w:color w:val="auto"/>
              </w:rPr>
              <w:t>00075886F1</w:t>
            </w:r>
          </w:p>
        </w:tc>
        <w:tc>
          <w:tcPr>
            <w:tcW w:w="4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4540" w:type="dxa"/>
            <w:vAlign w:val="bottom"/>
            <w:gridSpan w:val="2"/>
          </w:tcPr>
          <w:p>
            <w:pPr>
              <w:ind w:left="180"/>
              <w:spacing w:after="0"/>
              <w:rPr>
                <w:sz w:val="20"/>
                <w:szCs w:val="20"/>
                <w:color w:val="auto"/>
              </w:rPr>
            </w:pPr>
            <w:r>
              <w:rPr>
                <w:rFonts w:ascii="Arial" w:cs="Arial" w:eastAsia="Arial" w:hAnsi="Arial"/>
                <w:sz w:val="18"/>
                <w:szCs w:val="18"/>
                <w:color w:val="auto"/>
              </w:rPr>
              <w:t>Not applicable.</w:t>
            </w:r>
          </w:p>
        </w:tc>
        <w:tc>
          <w:tcPr>
            <w:tcW w:w="4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4540" w:type="dxa"/>
            <w:vAlign w:val="bottom"/>
            <w:gridSpan w:val="2"/>
          </w:tcPr>
          <w:p>
            <w:pPr>
              <w:ind w:left="180"/>
              <w:spacing w:after="0"/>
              <w:rPr>
                <w:sz w:val="20"/>
                <w:szCs w:val="20"/>
                <w:color w:val="auto"/>
              </w:rPr>
            </w:pPr>
            <w:r>
              <w:rPr>
                <w:rFonts w:ascii="Arial" w:cs="Arial" w:eastAsia="Arial" w:hAnsi="Arial"/>
                <w:sz w:val="18"/>
                <w:szCs w:val="18"/>
                <w:color w:val="auto"/>
              </w:rPr>
              <w:t>Ownership.</w:t>
            </w:r>
          </w:p>
        </w:tc>
        <w:tc>
          <w:tcPr>
            <w:tcW w:w="4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24"/>
        </w:trPr>
        <w:tc>
          <w:tcPr>
            <w:tcW w:w="112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4100" w:type="dxa"/>
            <w:vAlign w:val="bottom"/>
          </w:tcPr>
          <w:p>
            <w:pPr>
              <w:ind w:left="60"/>
              <w:spacing w:after="0"/>
              <w:rPr>
                <w:sz w:val="20"/>
                <w:szCs w:val="20"/>
                <w:color w:val="auto"/>
              </w:rPr>
            </w:pPr>
            <w:r>
              <w:rPr>
                <w:rFonts w:ascii="Arial" w:cs="Arial" w:eastAsia="Arial" w:hAnsi="Arial"/>
                <w:sz w:val="18"/>
                <w:szCs w:val="18"/>
                <w:color w:val="auto"/>
              </w:rPr>
              <w:t>Amount beneficially owned:</w:t>
            </w:r>
          </w:p>
        </w:tc>
        <w:tc>
          <w:tcPr>
            <w:tcW w:w="4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84"/>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100" w:type="dxa"/>
            <w:vAlign w:val="bottom"/>
          </w:tcPr>
          <w:p>
            <w:pPr>
              <w:ind w:left="60"/>
              <w:spacing w:after="0"/>
              <w:rPr>
                <w:sz w:val="20"/>
                <w:szCs w:val="20"/>
                <w:color w:val="auto"/>
              </w:rPr>
            </w:pPr>
            <w:r>
              <w:rPr>
                <w:rFonts w:ascii="Arial" w:cs="Arial" w:eastAsia="Arial" w:hAnsi="Arial"/>
                <w:sz w:val="18"/>
                <w:szCs w:val="18"/>
                <w:color w:val="auto"/>
              </w:rPr>
              <w:t>2,931,308</w:t>
            </w:r>
          </w:p>
        </w:tc>
        <w:tc>
          <w:tcPr>
            <w:tcW w:w="4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8"/>
        </w:trPr>
        <w:tc>
          <w:tcPr>
            <w:tcW w:w="112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(b)</w:t>
            </w:r>
          </w:p>
        </w:tc>
        <w:tc>
          <w:tcPr>
            <w:tcW w:w="4100" w:type="dxa"/>
            <w:vAlign w:val="bottom"/>
          </w:tcPr>
          <w:p>
            <w:pPr>
              <w:ind w:left="60"/>
              <w:spacing w:after="0"/>
              <w:rPr>
                <w:sz w:val="20"/>
                <w:szCs w:val="20"/>
                <w:color w:val="auto"/>
              </w:rPr>
            </w:pPr>
            <w:r>
              <w:rPr>
                <w:rFonts w:ascii="Arial" w:cs="Arial" w:eastAsia="Arial" w:hAnsi="Arial"/>
                <w:sz w:val="18"/>
                <w:szCs w:val="18"/>
                <w:color w:val="auto"/>
              </w:rPr>
              <w:t>Percent of class:</w:t>
            </w:r>
          </w:p>
        </w:tc>
        <w:tc>
          <w:tcPr>
            <w:tcW w:w="4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8"/>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580" w:type="dxa"/>
            <w:vAlign w:val="bottom"/>
            <w:gridSpan w:val="2"/>
          </w:tcPr>
          <w:p>
            <w:pPr>
              <w:ind w:left="480"/>
              <w:spacing w:after="0"/>
              <w:rPr>
                <w:sz w:val="20"/>
                <w:szCs w:val="20"/>
                <w:color w:val="auto"/>
              </w:rPr>
            </w:pPr>
            <w:r>
              <w:rPr>
                <w:rFonts w:ascii="Arial" w:cs="Arial" w:eastAsia="Arial" w:hAnsi="Arial"/>
                <w:sz w:val="18"/>
                <w:szCs w:val="18"/>
                <w:color w:val="auto"/>
                <w:w w:val="88"/>
              </w:rPr>
              <w:t>Amgen Inc. may be deemed the beneficial owner of approximately 5.5% of the outstanding shares of the Common</w:t>
            </w:r>
          </w:p>
        </w:tc>
        <w:tc>
          <w:tcPr>
            <w:tcW w:w="128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580" w:type="dxa"/>
            <w:vAlign w:val="bottom"/>
            <w:gridSpan w:val="2"/>
          </w:tcPr>
          <w:p>
            <w:pPr>
              <w:ind w:left="60"/>
              <w:spacing w:after="0"/>
              <w:rPr>
                <w:sz w:val="20"/>
                <w:szCs w:val="20"/>
                <w:color w:val="auto"/>
              </w:rPr>
            </w:pPr>
            <w:r>
              <w:rPr>
                <w:rFonts w:ascii="Arial" w:cs="Arial" w:eastAsia="Arial" w:hAnsi="Arial"/>
                <w:sz w:val="18"/>
                <w:szCs w:val="18"/>
                <w:color w:val="auto"/>
                <w:w w:val="94"/>
              </w:rPr>
              <w:t>Stock. The calculation of the percentage is based on the number of shares of the Common Stock shown as being</w:t>
            </w:r>
          </w:p>
        </w:tc>
        <w:tc>
          <w:tcPr>
            <w:tcW w:w="12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580" w:type="dxa"/>
            <w:vAlign w:val="bottom"/>
            <w:gridSpan w:val="2"/>
          </w:tcPr>
          <w:p>
            <w:pPr>
              <w:ind w:left="60"/>
              <w:spacing w:after="0"/>
              <w:rPr>
                <w:sz w:val="20"/>
                <w:szCs w:val="20"/>
                <w:color w:val="auto"/>
              </w:rPr>
            </w:pPr>
            <w:r>
              <w:rPr>
                <w:rFonts w:ascii="Arial" w:cs="Arial" w:eastAsia="Arial" w:hAnsi="Arial"/>
                <w:sz w:val="18"/>
                <w:szCs w:val="18"/>
                <w:color w:val="auto"/>
                <w:w w:val="91"/>
              </w:rPr>
              <w:t>outstanding on the Form 10-K/A Amendment No. 2 filed by Regeneron Pharmaceuticals, Inc. with the Securities and</w:t>
            </w:r>
          </w:p>
        </w:tc>
        <w:tc>
          <w:tcPr>
            <w:tcW w:w="128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00" w:type="dxa"/>
            <w:vAlign w:val="bottom"/>
          </w:tcPr>
          <w:p>
            <w:pPr>
              <w:ind w:left="60"/>
              <w:spacing w:after="0"/>
              <w:rPr>
                <w:sz w:val="20"/>
                <w:szCs w:val="20"/>
                <w:color w:val="auto"/>
              </w:rPr>
            </w:pPr>
            <w:r>
              <w:rPr>
                <w:rFonts w:ascii="Arial" w:cs="Arial" w:eastAsia="Arial" w:hAnsi="Arial"/>
                <w:sz w:val="18"/>
                <w:szCs w:val="18"/>
                <w:color w:val="auto"/>
              </w:rPr>
              <w:t>Exchange Commission on December 14, 2004.</w:t>
            </w:r>
          </w:p>
        </w:tc>
        <w:tc>
          <w:tcPr>
            <w:tcW w:w="44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24"/>
        </w:trPr>
        <w:tc>
          <w:tcPr>
            <w:tcW w:w="112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(c)</w:t>
            </w:r>
          </w:p>
        </w:tc>
        <w:tc>
          <w:tcPr>
            <w:tcW w:w="4100" w:type="dxa"/>
            <w:vAlign w:val="bottom"/>
          </w:tcPr>
          <w:p>
            <w:pPr>
              <w:ind w:left="60"/>
              <w:spacing w:after="0"/>
              <w:rPr>
                <w:sz w:val="20"/>
                <w:szCs w:val="20"/>
                <w:color w:val="auto"/>
              </w:rPr>
            </w:pPr>
            <w:r>
              <w:rPr>
                <w:rFonts w:ascii="Arial" w:cs="Arial" w:eastAsia="Arial" w:hAnsi="Arial"/>
                <w:sz w:val="18"/>
                <w:szCs w:val="18"/>
                <w:color w:val="auto"/>
              </w:rPr>
              <w:t>Number of shares as to which such person has:</w:t>
            </w:r>
          </w:p>
        </w:tc>
        <w:tc>
          <w:tcPr>
            <w:tcW w:w="4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24"/>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100" w:type="dxa"/>
            <w:vAlign w:val="bottom"/>
          </w:tcPr>
          <w:p>
            <w:pPr>
              <w:ind w:left="60"/>
              <w:spacing w:after="0"/>
              <w:rPr>
                <w:sz w:val="20"/>
                <w:szCs w:val="20"/>
                <w:color w:val="auto"/>
              </w:rPr>
            </w:pPr>
            <w:r>
              <w:rPr>
                <w:rFonts w:ascii="Arial" w:cs="Arial" w:eastAsia="Arial" w:hAnsi="Arial"/>
                <w:sz w:val="18"/>
                <w:szCs w:val="18"/>
                <w:color w:val="auto"/>
              </w:rPr>
              <w:t>(i)  Sole power to vote or to direct the vote:</w:t>
            </w:r>
          </w:p>
        </w:tc>
        <w:tc>
          <w:tcPr>
            <w:tcW w:w="4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84"/>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2,931,308</w:t>
            </w:r>
          </w:p>
        </w:tc>
        <w:tc>
          <w:tcPr>
            <w:tcW w:w="4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8"/>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100" w:type="dxa"/>
            <w:vAlign w:val="bottom"/>
          </w:tcPr>
          <w:p>
            <w:pPr>
              <w:ind w:left="60"/>
              <w:spacing w:after="0"/>
              <w:rPr>
                <w:sz w:val="20"/>
                <w:szCs w:val="20"/>
                <w:color w:val="auto"/>
              </w:rPr>
            </w:pPr>
            <w:r>
              <w:rPr>
                <w:rFonts w:ascii="Arial" w:cs="Arial" w:eastAsia="Arial" w:hAnsi="Arial"/>
                <w:sz w:val="18"/>
                <w:szCs w:val="18"/>
                <w:color w:val="auto"/>
              </w:rPr>
              <w:t>(ii)  Shared power to vote or to direct the vote:</w:t>
            </w:r>
          </w:p>
        </w:tc>
        <w:tc>
          <w:tcPr>
            <w:tcW w:w="4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84"/>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None</w:t>
            </w:r>
          </w:p>
        </w:tc>
        <w:tc>
          <w:tcPr>
            <w:tcW w:w="4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8"/>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100" w:type="dxa"/>
            <w:vAlign w:val="bottom"/>
          </w:tcPr>
          <w:p>
            <w:pPr>
              <w:ind w:left="60"/>
              <w:spacing w:after="0"/>
              <w:rPr>
                <w:sz w:val="20"/>
                <w:szCs w:val="20"/>
                <w:color w:val="auto"/>
              </w:rPr>
            </w:pPr>
            <w:r>
              <w:rPr>
                <w:rFonts w:ascii="Arial" w:cs="Arial" w:eastAsia="Arial" w:hAnsi="Arial"/>
                <w:sz w:val="18"/>
                <w:szCs w:val="18"/>
                <w:color w:val="auto"/>
                <w:w w:val="91"/>
              </w:rPr>
              <w:t>(iii) Sole power to dispose or to direct the disposition of:</w:t>
            </w:r>
          </w:p>
        </w:tc>
        <w:tc>
          <w:tcPr>
            <w:tcW w:w="4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84"/>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2,931,308</w:t>
            </w:r>
          </w:p>
        </w:tc>
        <w:tc>
          <w:tcPr>
            <w:tcW w:w="4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8"/>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580" w:type="dxa"/>
            <w:vAlign w:val="bottom"/>
            <w:gridSpan w:val="2"/>
          </w:tcPr>
          <w:p>
            <w:pPr>
              <w:ind w:left="60"/>
              <w:spacing w:after="0"/>
              <w:rPr>
                <w:sz w:val="20"/>
                <w:szCs w:val="20"/>
                <w:color w:val="auto"/>
              </w:rPr>
            </w:pPr>
            <w:r>
              <w:rPr>
                <w:rFonts w:ascii="Arial" w:cs="Arial" w:eastAsia="Arial" w:hAnsi="Arial"/>
                <w:sz w:val="18"/>
                <w:szCs w:val="18"/>
                <w:color w:val="auto"/>
              </w:rPr>
              <w:t>(iv) Shared power to dispose or to direct the disposition of:</w:t>
            </w:r>
          </w:p>
        </w:tc>
        <w:tc>
          <w:tcPr>
            <w:tcW w:w="1280" w:type="dxa"/>
            <w:vAlign w:val="bottom"/>
          </w:tcPr>
          <w:p>
            <w:pPr>
              <w:spacing w:after="0"/>
              <w:rPr>
                <w:sz w:val="24"/>
                <w:szCs w:val="24"/>
                <w:color w:val="auto"/>
              </w:rPr>
            </w:pPr>
          </w:p>
        </w:tc>
      </w:tr>
      <w:tr>
        <w:trPr>
          <w:trHeight w:val="284"/>
        </w:trPr>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None</w:t>
            </w:r>
          </w:p>
        </w:tc>
        <w:tc>
          <w:tcPr>
            <w:tcW w:w="4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8"/>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4540" w:type="dxa"/>
            <w:vAlign w:val="bottom"/>
            <w:gridSpan w:val="2"/>
          </w:tcPr>
          <w:p>
            <w:pPr>
              <w:ind w:left="180"/>
              <w:spacing w:after="0"/>
              <w:rPr>
                <w:sz w:val="20"/>
                <w:szCs w:val="20"/>
                <w:color w:val="auto"/>
              </w:rPr>
            </w:pPr>
            <w:r>
              <w:rPr>
                <w:rFonts w:ascii="Arial" w:cs="Arial" w:eastAsia="Arial" w:hAnsi="Arial"/>
                <w:sz w:val="18"/>
                <w:szCs w:val="18"/>
                <w:color w:val="auto"/>
              </w:rPr>
              <w:t>Not applicable.</w:t>
            </w:r>
          </w:p>
        </w:tc>
        <w:tc>
          <w:tcPr>
            <w:tcW w:w="4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4540" w:type="dxa"/>
            <w:vAlign w:val="bottom"/>
            <w:gridSpan w:val="2"/>
          </w:tcPr>
          <w:p>
            <w:pPr>
              <w:ind w:left="180"/>
              <w:spacing w:after="0"/>
              <w:rPr>
                <w:sz w:val="20"/>
                <w:szCs w:val="20"/>
                <w:color w:val="auto"/>
              </w:rPr>
            </w:pPr>
            <w:r>
              <w:rPr>
                <w:rFonts w:ascii="Arial" w:cs="Arial" w:eastAsia="Arial" w:hAnsi="Arial"/>
                <w:sz w:val="18"/>
                <w:szCs w:val="18"/>
                <w:color w:val="auto"/>
              </w:rPr>
              <w:t>Not applicable.</w:t>
            </w:r>
          </w:p>
        </w:tc>
        <w:tc>
          <w:tcPr>
            <w:tcW w:w="4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Item 7.</w:t>
            </w:r>
          </w:p>
        </w:tc>
        <w:tc>
          <w:tcPr>
            <w:tcW w:w="4540" w:type="dxa"/>
            <w:vAlign w:val="bottom"/>
            <w:gridSpan w:val="2"/>
          </w:tcPr>
          <w:p>
            <w:pPr>
              <w:ind w:left="180"/>
              <w:spacing w:after="0"/>
              <w:rPr>
                <w:sz w:val="20"/>
                <w:szCs w:val="20"/>
                <w:color w:val="auto"/>
              </w:rPr>
            </w:pPr>
            <w:r>
              <w:rPr>
                <w:rFonts w:ascii="Arial" w:cs="Arial" w:eastAsia="Arial" w:hAnsi="Arial"/>
                <w:sz w:val="18"/>
                <w:szCs w:val="18"/>
                <w:color w:val="auto"/>
              </w:rPr>
              <w:t>Not applicable.</w:t>
            </w:r>
          </w:p>
        </w:tc>
        <w:tc>
          <w:tcPr>
            <w:tcW w:w="4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Item 8.</w:t>
            </w:r>
          </w:p>
        </w:tc>
        <w:tc>
          <w:tcPr>
            <w:tcW w:w="4540" w:type="dxa"/>
            <w:vAlign w:val="bottom"/>
            <w:gridSpan w:val="2"/>
          </w:tcPr>
          <w:p>
            <w:pPr>
              <w:ind w:left="180"/>
              <w:spacing w:after="0"/>
              <w:rPr>
                <w:sz w:val="20"/>
                <w:szCs w:val="20"/>
                <w:color w:val="auto"/>
              </w:rPr>
            </w:pPr>
            <w:r>
              <w:rPr>
                <w:rFonts w:ascii="Arial" w:cs="Arial" w:eastAsia="Arial" w:hAnsi="Arial"/>
                <w:sz w:val="18"/>
                <w:szCs w:val="18"/>
                <w:color w:val="auto"/>
              </w:rPr>
              <w:t>Not applicable.</w:t>
            </w:r>
          </w:p>
        </w:tc>
        <w:tc>
          <w:tcPr>
            <w:tcW w:w="4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Item 9.</w:t>
            </w:r>
          </w:p>
        </w:tc>
        <w:tc>
          <w:tcPr>
            <w:tcW w:w="4540" w:type="dxa"/>
            <w:vAlign w:val="bottom"/>
            <w:gridSpan w:val="2"/>
          </w:tcPr>
          <w:p>
            <w:pPr>
              <w:ind w:left="180"/>
              <w:spacing w:after="0"/>
              <w:rPr>
                <w:sz w:val="20"/>
                <w:szCs w:val="20"/>
                <w:color w:val="auto"/>
              </w:rPr>
            </w:pPr>
            <w:r>
              <w:rPr>
                <w:rFonts w:ascii="Arial" w:cs="Arial" w:eastAsia="Arial" w:hAnsi="Arial"/>
                <w:sz w:val="18"/>
                <w:szCs w:val="18"/>
                <w:color w:val="auto"/>
              </w:rPr>
              <w:t>Not applicable.</w:t>
            </w:r>
          </w:p>
        </w:tc>
        <w:tc>
          <w:tcPr>
            <w:tcW w:w="4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Item 10.</w:t>
            </w:r>
          </w:p>
        </w:tc>
        <w:tc>
          <w:tcPr>
            <w:tcW w:w="4540" w:type="dxa"/>
            <w:vAlign w:val="bottom"/>
            <w:gridSpan w:val="2"/>
          </w:tcPr>
          <w:p>
            <w:pPr>
              <w:ind w:left="180"/>
              <w:spacing w:after="0"/>
              <w:rPr>
                <w:sz w:val="20"/>
                <w:szCs w:val="20"/>
                <w:color w:val="auto"/>
              </w:rPr>
            </w:pPr>
            <w:r>
              <w:rPr>
                <w:rFonts w:ascii="Arial" w:cs="Arial" w:eastAsia="Arial" w:hAnsi="Arial"/>
                <w:sz w:val="18"/>
                <w:szCs w:val="18"/>
                <w:color w:val="auto"/>
              </w:rPr>
              <w:t>Certification.</w:t>
            </w:r>
          </w:p>
        </w:tc>
        <w:tc>
          <w:tcPr>
            <w:tcW w:w="4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8"/>
        </w:trPr>
        <w:tc>
          <w:tcPr>
            <w:tcW w:w="1120" w:type="dxa"/>
            <w:vAlign w:val="bottom"/>
          </w:tcPr>
          <w:p>
            <w:pPr>
              <w:spacing w:after="0"/>
              <w:rPr>
                <w:sz w:val="24"/>
                <w:szCs w:val="24"/>
                <w:color w:val="auto"/>
              </w:rPr>
            </w:pPr>
          </w:p>
        </w:tc>
        <w:tc>
          <w:tcPr>
            <w:tcW w:w="9020" w:type="dxa"/>
            <w:vAlign w:val="bottom"/>
            <w:gridSpan w:val="3"/>
          </w:tcPr>
          <w:p>
            <w:pPr>
              <w:ind w:left="180"/>
              <w:spacing w:after="0"/>
              <w:rPr>
                <w:sz w:val="20"/>
                <w:szCs w:val="20"/>
                <w:color w:val="auto"/>
              </w:rPr>
            </w:pPr>
            <w:r>
              <w:rPr>
                <w:rFonts w:ascii="Arial" w:cs="Arial" w:eastAsia="Arial" w:hAnsi="Arial"/>
                <w:sz w:val="18"/>
                <w:szCs w:val="18"/>
                <w:color w:val="auto"/>
                <w:w w:val="88"/>
              </w:rPr>
              <w:t>By signing below I certify that, to the best of my knowledge and belief, the securities referred to above were not acquired and</w:t>
            </w:r>
          </w:p>
        </w:tc>
        <w:tc>
          <w:tcPr>
            <w:tcW w:w="128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9020" w:type="dxa"/>
            <w:vAlign w:val="bottom"/>
            <w:gridSpan w:val="3"/>
          </w:tcPr>
          <w:p>
            <w:pPr>
              <w:ind w:left="180"/>
              <w:spacing w:after="0"/>
              <w:rPr>
                <w:sz w:val="20"/>
                <w:szCs w:val="20"/>
                <w:color w:val="auto"/>
              </w:rPr>
            </w:pPr>
            <w:r>
              <w:rPr>
                <w:rFonts w:ascii="Arial" w:cs="Arial" w:eastAsia="Arial" w:hAnsi="Arial"/>
                <w:sz w:val="18"/>
                <w:szCs w:val="18"/>
                <w:color w:val="auto"/>
                <w:w w:val="89"/>
              </w:rPr>
              <w:t>are not held for the purpose of or with the effect of changing or influencing the control of the issuer of the securities and were</w:t>
            </w:r>
          </w:p>
        </w:tc>
        <w:tc>
          <w:tcPr>
            <w:tcW w:w="1280" w:type="dxa"/>
            <w:vAlign w:val="bottom"/>
          </w:tcPr>
          <w:p>
            <w:pPr>
              <w:spacing w:after="0"/>
              <w:rPr>
                <w:sz w:val="18"/>
                <w:szCs w:val="18"/>
                <w:color w:val="auto"/>
              </w:rPr>
            </w:pPr>
          </w:p>
        </w:tc>
      </w:tr>
      <w:tr>
        <w:trPr>
          <w:trHeight w:val="222"/>
        </w:trPr>
        <w:tc>
          <w:tcPr>
            <w:tcW w:w="1120" w:type="dxa"/>
            <w:vAlign w:val="bottom"/>
          </w:tcPr>
          <w:p>
            <w:pPr>
              <w:spacing w:after="0"/>
              <w:rPr>
                <w:sz w:val="19"/>
                <w:szCs w:val="19"/>
                <w:color w:val="auto"/>
              </w:rPr>
            </w:pPr>
          </w:p>
        </w:tc>
        <w:tc>
          <w:tcPr>
            <w:tcW w:w="9020" w:type="dxa"/>
            <w:vAlign w:val="bottom"/>
            <w:gridSpan w:val="3"/>
          </w:tcPr>
          <w:p>
            <w:pPr>
              <w:ind w:left="180"/>
              <w:spacing w:after="0"/>
              <w:rPr>
                <w:sz w:val="20"/>
                <w:szCs w:val="20"/>
                <w:color w:val="auto"/>
              </w:rPr>
            </w:pPr>
            <w:r>
              <w:rPr>
                <w:rFonts w:ascii="Arial" w:cs="Arial" w:eastAsia="Arial" w:hAnsi="Arial"/>
                <w:sz w:val="18"/>
                <w:szCs w:val="18"/>
                <w:color w:val="auto"/>
                <w:w w:val="96"/>
              </w:rPr>
              <w:t>not acquired and are not held in connection with or as a participant in any transaction having that purpose or effect.</w:t>
            </w:r>
          </w:p>
        </w:tc>
        <w:tc>
          <w:tcPr>
            <w:tcW w:w="1280" w:type="dxa"/>
            <w:vAlign w:val="bottom"/>
          </w:tcPr>
          <w:p>
            <w:pPr>
              <w:spacing w:after="0"/>
              <w:rPr>
                <w:sz w:val="19"/>
                <w:szCs w:val="19"/>
                <w:color w:val="auto"/>
              </w:rPr>
            </w:pPr>
          </w:p>
        </w:tc>
      </w:tr>
    </w:tbl>
    <w:p>
      <w:pPr>
        <w:sectPr>
          <w:pgSz w:w="11900" w:h="16838" w:orient="portrait"/>
          <w:cols w:equalWidth="0" w:num="1">
            <w:col w:w="11420"/>
          </w:cols>
          <w:pgMar w:left="240" w:top="274" w:right="239" w:bottom="1440" w:gutter="0" w:footer="0" w:header="0"/>
        </w:sectPr>
      </w:pPr>
    </w:p>
    <w:bookmarkStart w:id="4" w:name="page5"/>
    <w:bookmarkEnd w:id="4"/>
    <w:p>
      <w:pPr>
        <w:spacing w:after="0"/>
        <w:tabs>
          <w:tab w:leader="none" w:pos="5660" w:val="left"/>
          <w:tab w:leader="none" w:pos="10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CUSIP No. </w:t>
      </w:r>
      <w:r>
        <w:rPr>
          <w:rFonts w:ascii="Arial" w:cs="Arial" w:eastAsia="Arial" w:hAnsi="Arial"/>
          <w:sz w:val="18"/>
          <w:szCs w:val="18"/>
          <w:color w:val="auto"/>
        </w:rPr>
        <w:t>00075886F1</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5 of 5 Pages</w:t>
      </w:r>
    </w:p>
    <w:p>
      <w:pPr>
        <w:spacing w:after="0" w:line="15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February 8, 2005</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AMGEN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80010</wp:posOffset>
            </wp:positionV>
            <wp:extent cx="25730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David J. Scott</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General Counsel and Secretary</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2"/>
    </w:lvl>
    <w:lvl w:ilvl="1">
      <w:lvlJc w:val="left"/>
      <w:lvlText w:val="(%2)"/>
      <w:numFmt w:val="lowerLetter"/>
      <w:start w:val="1"/>
    </w:lvl>
  </w:abstractNum>
  <w:abstractNum w:abstractNumId="6">
    <w:nsid w:val="79E2A9E3"/>
    <w:multiLevelType w:val="hybridMultilevel"/>
    <w:lvl w:ilvl="0">
      <w:lvlJc w:val="left"/>
      <w:lvlText w:val="%1."/>
      <w:numFmt w:val="decimal"/>
      <w:start w:val="5"/>
    </w:lvl>
  </w:abstractNum>
  <w:abstractNum w:abstractNumId="7">
    <w:nsid w:val="7545E146"/>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2019-12-20T17:19:51Z</dcterms:created>
  <dcterms:modified xsi:type="dcterms:W3CDTF">2019-12-20T17:19:51Z</dcterms:modified>
</cp:coreProperties>
</file>