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20" w:type="dxa"/>
            <w:vAlign w:val="bottom"/>
          </w:tcPr>
          <w:p>
            <w:pPr>
              <w:jc w:val="center"/>
              <w:ind w:right="19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jc w:val="center"/>
              <w:ind w:right="19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jc w:val="center"/>
              <w:ind w:right="19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620" w:type="dxa"/>
            <w:vAlign w:val="bottom"/>
            <w:vMerge w:val="restart"/>
          </w:tcPr>
          <w:p>
            <w:pPr>
              <w:jc w:val="center"/>
              <w:ind w:right="19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5547360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-1721485</wp:posOffset>
            </wp:positionH>
            <wp:positionV relativeFrom="paragraph">
              <wp:posOffset>21590</wp:posOffset>
            </wp:positionV>
            <wp:extent cx="7388860" cy="698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88860" cy="6986270"/>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320"/>
            <w:col w:w="8900"/>
          </w:cols>
          <w:pgMar w:left="160" w:top="146" w:right="139" w:bottom="2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2"/>
            <w:vMerge w:val="restart"/>
          </w:tcPr>
          <w:p>
            <w:pPr>
              <w:ind w:left="520"/>
              <w:spacing w:after="0"/>
              <w:rPr>
                <w:sz w:val="20"/>
                <w:szCs w:val="20"/>
                <w:color w:val="auto"/>
              </w:rPr>
            </w:pPr>
            <w:r>
              <w:rPr>
                <w:rFonts w:ascii="Arial" w:cs="Arial" w:eastAsia="Arial" w:hAnsi="Arial"/>
                <w:sz w:val="13"/>
                <w:szCs w:val="13"/>
                <w:color w:val="auto"/>
              </w:rPr>
              <w:t>10% Owner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2"/>
            <w:vMerge w:val="restart"/>
          </w:tcPr>
          <w:p>
            <w:pPr>
              <w:ind w:left="52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8"/>
                <w:szCs w:val="8"/>
                <w:color w:val="auto"/>
              </w:rPr>
            </w:pPr>
          </w:p>
        </w:tc>
        <w:tc>
          <w:tcPr>
            <w:tcW w:w="96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4"/>
            <w:vMerge w:val="restart"/>
          </w:tcPr>
          <w:p>
            <w:pPr>
              <w:ind w:left="80"/>
              <w:spacing w:after="0"/>
              <w:rPr>
                <w:sz w:val="20"/>
                <w:szCs w:val="20"/>
                <w:color w:val="auto"/>
              </w:rPr>
            </w:pPr>
            <w:r>
              <w:rPr>
                <w:rFonts w:ascii="Arial" w:cs="Arial" w:eastAsia="Arial" w:hAnsi="Arial"/>
                <w:sz w:val="18"/>
                <w:szCs w:val="18"/>
                <w:color w:val="0000FF"/>
              </w:rPr>
              <w:t>EVP Research and Development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gridSpan w:val="6"/>
            <w:vMerge w:val="restart"/>
          </w:tcPr>
          <w:p>
            <w:pPr>
              <w:spacing w:after="0"/>
              <w:rPr>
                <w:sz w:val="20"/>
                <w:szCs w:val="20"/>
                <w:color w:val="auto"/>
              </w:rPr>
            </w:pPr>
            <w:r>
              <w:rPr>
                <w:rFonts w:ascii="Arial" w:cs="Arial" w:eastAsia="Arial" w:hAnsi="Arial"/>
                <w:sz w:val="18"/>
                <w:szCs w:val="18"/>
                <w:color w:val="0000FF"/>
              </w:rPr>
              <w:t>777 OLD SAW MILL RIVER ROAD</w:t>
            </w:r>
          </w:p>
        </w:tc>
        <w:tc>
          <w:tcPr>
            <w:tcW w:w="1740" w:type="dxa"/>
            <w:vAlign w:val="bottom"/>
            <w:gridSpan w:val="7"/>
            <w:vMerge w:val="restart"/>
          </w:tcPr>
          <w:p>
            <w:pPr>
              <w:ind w:left="300"/>
              <w:spacing w:after="0"/>
              <w:rPr>
                <w:sz w:val="20"/>
                <w:szCs w:val="20"/>
                <w:color w:val="auto"/>
              </w:rPr>
            </w:pPr>
            <w:r>
              <w:rPr>
                <w:rFonts w:ascii="Arial" w:cs="Arial" w:eastAsia="Arial" w:hAnsi="Arial"/>
                <w:sz w:val="18"/>
                <w:szCs w:val="18"/>
                <w:color w:val="0000FF"/>
              </w:rPr>
              <w:t>11/25/2019</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174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3200" w:type="dxa"/>
            <w:vAlign w:val="bottom"/>
            <w:tcBorders>
              <w:bottom w:val="single" w:sz="8" w:color="2C2C2C"/>
            </w:tcBorders>
            <w:gridSpan w:val="5"/>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0000FF"/>
              </w:rPr>
              <w:t>TARRYTOWN  NY</w:t>
            </w:r>
          </w:p>
        </w:tc>
        <w:tc>
          <w:tcPr>
            <w:tcW w:w="1140" w:type="dxa"/>
            <w:vAlign w:val="bottom"/>
          </w:tcPr>
          <w:p>
            <w:pPr>
              <w:ind w:left="20"/>
              <w:spacing w:after="0"/>
              <w:rPr>
                <w:sz w:val="20"/>
                <w:szCs w:val="20"/>
                <w:color w:val="auto"/>
              </w:rPr>
            </w:pPr>
            <w:r>
              <w:rPr>
                <w:rFonts w:ascii="Arial" w:cs="Arial" w:eastAsia="Arial" w:hAnsi="Arial"/>
                <w:sz w:val="18"/>
                <w:szCs w:val="18"/>
                <w:color w:val="0000FF"/>
              </w:rPr>
              <w:t>10591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4"/>
          </w:tcPr>
          <w:p>
            <w:pPr>
              <w:ind w:left="120"/>
              <w:spacing w:after="0" w:line="144" w:lineRule="exact"/>
              <w:rPr>
                <w:sz w:val="20"/>
                <w:szCs w:val="20"/>
                <w:color w:val="auto"/>
              </w:rPr>
            </w:pPr>
            <w:r>
              <w:rPr>
                <w:rFonts w:ascii="Arial" w:cs="Arial" w:eastAsia="Arial" w:hAnsi="Arial"/>
                <w:sz w:val="13"/>
                <w:szCs w:val="13"/>
                <w:color w:val="auto"/>
              </w:rPr>
              <w:t>Form filed by More than One Reporting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jc w:val="center"/>
              <w:ind w:left="80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gridSpan w:val="5"/>
          </w:tcPr>
          <w:p>
            <w:pPr>
              <w:jc w:val="center"/>
              <w:ind w:left="48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Pr>
          <w:p>
            <w:pPr>
              <w:spacing w:after="0"/>
              <w:rPr>
                <w:sz w:val="23"/>
                <w:szCs w:val="23"/>
                <w:color w:val="auto"/>
              </w:rPr>
            </w:pPr>
          </w:p>
        </w:tc>
        <w:tc>
          <w:tcPr>
            <w:tcW w:w="1780" w:type="dxa"/>
            <w:vAlign w:val="bottom"/>
            <w:gridSpan w:val="5"/>
          </w:tcPr>
          <w:p>
            <w:pPr>
              <w:jc w:val="center"/>
              <w:ind w:left="507"/>
              <w:spacing w:after="0"/>
              <w:rPr>
                <w:sz w:val="20"/>
                <w:szCs w:val="20"/>
                <w:color w:val="auto"/>
              </w:rPr>
            </w:pPr>
            <w:r>
              <w:rPr>
                <w:rFonts w:ascii="Arial" w:cs="Arial" w:eastAsia="Arial" w:hAnsi="Arial"/>
                <w:sz w:val="18"/>
                <w:szCs w:val="18"/>
                <w:color w:val="0000FF"/>
                <w:w w:val="88"/>
              </w:rPr>
              <w:t>11/25/2019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6"/>
              <w:spacing w:after="0"/>
              <w:rPr>
                <w:sz w:val="20"/>
                <w:szCs w:val="20"/>
                <w:color w:val="auto"/>
              </w:rPr>
            </w:pPr>
            <w:r>
              <w:rPr>
                <w:rFonts w:ascii="Arial" w:cs="Arial" w:eastAsia="Arial" w:hAnsi="Arial"/>
                <w:sz w:val="18"/>
                <w:szCs w:val="18"/>
                <w:color w:val="0000FF"/>
                <w:w w:val="87"/>
              </w:rPr>
              <w:t>10,000</w:t>
            </w:r>
          </w:p>
        </w:tc>
        <w:tc>
          <w:tcPr>
            <w:tcW w:w="700" w:type="dxa"/>
            <w:vAlign w:val="bottom"/>
            <w:gridSpan w:val="2"/>
          </w:tcPr>
          <w:p>
            <w:pPr>
              <w:ind w:left="320"/>
              <w:spacing w:after="0"/>
              <w:rPr>
                <w:sz w:val="20"/>
                <w:szCs w:val="20"/>
                <w:color w:val="auto"/>
              </w:rPr>
            </w:pPr>
            <w:r>
              <w:rPr>
                <w:rFonts w:ascii="Arial" w:cs="Arial" w:eastAsia="Arial" w:hAnsi="Arial"/>
                <w:sz w:val="18"/>
                <w:szCs w:val="18"/>
                <w:color w:val="0000FF"/>
              </w:rPr>
              <w:t>A</w:t>
            </w:r>
          </w:p>
        </w:tc>
        <w:tc>
          <w:tcPr>
            <w:tcW w:w="780" w:type="dxa"/>
            <w:vAlign w:val="bottom"/>
            <w:gridSpan w:val="4"/>
          </w:tcPr>
          <w:p>
            <w:pPr>
              <w:jc w:val="center"/>
              <w:ind w:right="1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52.03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32,455</w:t>
            </w:r>
          </w:p>
        </w:tc>
        <w:tc>
          <w:tcPr>
            <w:tcW w:w="960" w:type="dxa"/>
            <w:vAlign w:val="bottom"/>
          </w:tcPr>
          <w:p>
            <w:pPr>
              <w:jc w:val="center"/>
              <w:ind w:right="8"/>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Pr>
          <w:p>
            <w:pPr>
              <w:spacing w:after="0"/>
              <w:rPr>
                <w:sz w:val="23"/>
                <w:szCs w:val="23"/>
                <w:color w:val="auto"/>
              </w:rPr>
            </w:pPr>
          </w:p>
        </w:tc>
        <w:tc>
          <w:tcPr>
            <w:tcW w:w="1780" w:type="dxa"/>
            <w:vAlign w:val="bottom"/>
            <w:gridSpan w:val="5"/>
          </w:tcPr>
          <w:p>
            <w:pPr>
              <w:jc w:val="center"/>
              <w:ind w:left="507"/>
              <w:spacing w:after="0"/>
              <w:rPr>
                <w:sz w:val="20"/>
                <w:szCs w:val="20"/>
                <w:color w:val="auto"/>
              </w:rPr>
            </w:pPr>
            <w:r>
              <w:rPr>
                <w:rFonts w:ascii="Arial" w:cs="Arial" w:eastAsia="Arial" w:hAnsi="Arial"/>
                <w:sz w:val="18"/>
                <w:szCs w:val="18"/>
                <w:color w:val="0000FF"/>
                <w:w w:val="88"/>
              </w:rPr>
              <w:t>11/25/2019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left="66"/>
              <w:spacing w:after="0"/>
              <w:rPr>
                <w:sz w:val="20"/>
                <w:szCs w:val="20"/>
                <w:color w:val="auto"/>
              </w:rPr>
            </w:pPr>
            <w:r>
              <w:rPr>
                <w:rFonts w:ascii="Arial" w:cs="Arial" w:eastAsia="Arial" w:hAnsi="Arial"/>
                <w:sz w:val="18"/>
                <w:szCs w:val="18"/>
                <w:color w:val="0000FF"/>
                <w:w w:val="84"/>
              </w:rPr>
              <w:t>5,994</w:t>
            </w:r>
          </w:p>
        </w:tc>
        <w:tc>
          <w:tcPr>
            <w:tcW w:w="700" w:type="dxa"/>
            <w:vAlign w:val="bottom"/>
            <w:gridSpan w:val="2"/>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4"/>
          </w:tcPr>
          <w:p>
            <w:pPr>
              <w:jc w:val="center"/>
              <w:ind w:right="1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362.75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26,461</w:t>
            </w:r>
          </w:p>
        </w:tc>
        <w:tc>
          <w:tcPr>
            <w:tcW w:w="960" w:type="dxa"/>
            <w:vAlign w:val="bottom"/>
          </w:tcPr>
          <w:p>
            <w:pPr>
              <w:jc w:val="center"/>
              <w:ind w:right="8"/>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07"/>
              <w:spacing w:after="0"/>
              <w:rPr>
                <w:sz w:val="20"/>
                <w:szCs w:val="20"/>
                <w:color w:val="auto"/>
              </w:rPr>
            </w:pPr>
            <w:r>
              <w:rPr>
                <w:rFonts w:ascii="Arial" w:cs="Arial" w:eastAsia="Arial" w:hAnsi="Arial"/>
                <w:sz w:val="18"/>
                <w:szCs w:val="18"/>
                <w:color w:val="0000FF"/>
                <w:w w:val="88"/>
              </w:rPr>
              <w:t>11/26/2019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4"/>
              </w:rPr>
              <w:t>1,422</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363.58</w:t>
            </w:r>
            <w:r>
              <w:rPr>
                <w:rFonts w:ascii="Arial" w:cs="Arial" w:eastAsia="Arial" w:hAnsi="Arial"/>
                <w:sz w:val="22"/>
                <w:szCs w:val="22"/>
                <w:color w:val="008000"/>
                <w:w w:val="86"/>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25,039</w:t>
            </w:r>
          </w:p>
        </w:tc>
        <w:tc>
          <w:tcPr>
            <w:tcW w:w="96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07"/>
              <w:spacing w:after="0"/>
              <w:rPr>
                <w:sz w:val="20"/>
                <w:szCs w:val="20"/>
                <w:color w:val="auto"/>
              </w:rPr>
            </w:pPr>
            <w:r>
              <w:rPr>
                <w:rFonts w:ascii="Arial" w:cs="Arial" w:eastAsia="Arial" w:hAnsi="Arial"/>
                <w:sz w:val="18"/>
                <w:szCs w:val="18"/>
                <w:color w:val="0000FF"/>
                <w:w w:val="88"/>
              </w:rPr>
              <w:t>11/26/2019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4"/>
              </w:rPr>
              <w:t>2,284</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364.2</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22,755</w:t>
            </w:r>
          </w:p>
        </w:tc>
        <w:tc>
          <w:tcPr>
            <w:tcW w:w="96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07"/>
              <w:spacing w:after="0"/>
              <w:rPr>
                <w:sz w:val="20"/>
                <w:szCs w:val="20"/>
                <w:color w:val="auto"/>
              </w:rPr>
            </w:pPr>
            <w:r>
              <w:rPr>
                <w:rFonts w:ascii="Arial" w:cs="Arial" w:eastAsia="Arial" w:hAnsi="Arial"/>
                <w:sz w:val="18"/>
                <w:szCs w:val="18"/>
                <w:color w:val="0000FF"/>
                <w:w w:val="88"/>
              </w:rPr>
              <w:t>11/26/2019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6"/>
              </w:rPr>
              <w:t>300</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365.41</w:t>
            </w:r>
            <w:r>
              <w:rPr>
                <w:rFonts w:ascii="Arial" w:cs="Arial" w:eastAsia="Arial" w:hAnsi="Arial"/>
                <w:sz w:val="22"/>
                <w:szCs w:val="22"/>
                <w:color w:val="008000"/>
                <w:w w:val="86"/>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22,455</w:t>
            </w:r>
          </w:p>
        </w:tc>
        <w:tc>
          <w:tcPr>
            <w:tcW w:w="96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0000FF"/>
              </w:rPr>
              <w:t>By</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5,736</w:t>
            </w:r>
          </w:p>
        </w:tc>
        <w:tc>
          <w:tcPr>
            <w:tcW w:w="960" w:type="dxa"/>
            <w:vAlign w:val="bottom"/>
          </w:tcPr>
          <w:p>
            <w:pPr>
              <w:jc w:val="center"/>
              <w:ind w:right="28"/>
              <w:spacing w:after="0"/>
              <w:rPr>
                <w:sz w:val="20"/>
                <w:szCs w:val="20"/>
                <w:color w:val="auto"/>
              </w:rPr>
            </w:pPr>
            <w:r>
              <w:rPr>
                <w:rFonts w:ascii="Arial" w:cs="Arial" w:eastAsia="Arial" w:hAnsi="Arial"/>
                <w:sz w:val="18"/>
                <w:szCs w:val="18"/>
                <w:color w:val="0000FF"/>
              </w:rPr>
              <w:t>I</w:t>
            </w:r>
          </w:p>
        </w:tc>
        <w:tc>
          <w:tcPr>
            <w:tcW w:w="780" w:type="dxa"/>
            <w:vAlign w:val="bottom"/>
          </w:tcPr>
          <w:p>
            <w:pPr>
              <w:ind w:left="20"/>
              <w:spacing w:after="0"/>
              <w:rPr>
                <w:sz w:val="20"/>
                <w:szCs w:val="20"/>
                <w:color w:val="auto"/>
              </w:rPr>
            </w:pPr>
            <w:r>
              <w:rPr>
                <w:rFonts w:ascii="Arial" w:cs="Arial" w:eastAsia="Arial" w:hAnsi="Arial"/>
                <w:sz w:val="18"/>
                <w:szCs w:val="18"/>
                <w:color w:val="0000FF"/>
              </w:rPr>
              <w:t>401(k)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0000FF"/>
              </w:rPr>
              <w:t>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7,831</w:t>
            </w:r>
          </w:p>
        </w:tc>
        <w:tc>
          <w:tcPr>
            <w:tcW w:w="960" w:type="dxa"/>
            <w:vAlign w:val="bottom"/>
            <w:vMerge w:val="restart"/>
          </w:tcPr>
          <w:p>
            <w:pPr>
              <w:jc w:val="center"/>
              <w:ind w:right="28"/>
              <w:spacing w:after="0"/>
              <w:rPr>
                <w:sz w:val="20"/>
                <w:szCs w:val="20"/>
                <w:color w:val="auto"/>
              </w:rPr>
            </w:pPr>
            <w:r>
              <w:rPr>
                <w:rFonts w:ascii="Arial" w:cs="Arial" w:eastAsia="Arial" w:hAnsi="Arial"/>
                <w:sz w:val="18"/>
                <w:szCs w:val="18"/>
                <w:color w:val="0000FF"/>
              </w:rPr>
              <w:t>I</w:t>
            </w:r>
          </w:p>
        </w:tc>
        <w:tc>
          <w:tcPr>
            <w:tcW w:w="780" w:type="dxa"/>
            <w:vAlign w:val="bottom"/>
          </w:tcPr>
          <w:p>
            <w:pPr>
              <w:ind w:left="20"/>
              <w:spacing w:after="0"/>
              <w:rPr>
                <w:sz w:val="20"/>
                <w:szCs w:val="20"/>
                <w:color w:val="auto"/>
              </w:rPr>
            </w:pPr>
            <w:r>
              <w:rPr>
                <w:rFonts w:ascii="Arial" w:cs="Arial" w:eastAsia="Arial" w:hAnsi="Arial"/>
                <w:sz w:val="18"/>
                <w:szCs w:val="18"/>
                <w:color w:val="0000FF"/>
              </w:rPr>
              <w:t>by 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Arial" w:cs="Arial" w:eastAsia="Arial" w:hAnsi="Arial"/>
                <w:sz w:val="18"/>
                <w:szCs w:val="18"/>
                <w:color w:val="0000FF"/>
              </w:rPr>
              <w:t>GRAT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8"/>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40" w:type="dxa"/>
            <w:vAlign w:val="bottom"/>
            <w:gridSpan w:val="14"/>
          </w:tcPr>
          <w:p>
            <w:pPr>
              <w:jc w:val="center"/>
              <w:ind w:left="52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Qualified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52.03</w:t>
            </w:r>
          </w:p>
        </w:tc>
        <w:tc>
          <w:tcPr>
            <w:tcW w:w="200" w:type="dxa"/>
            <w:vAlign w:val="bottom"/>
          </w:tcPr>
          <w:p>
            <w:pPr>
              <w:spacing w:after="0"/>
              <w:rPr>
                <w:sz w:val="18"/>
                <w:szCs w:val="18"/>
                <w:color w:val="auto"/>
              </w:rPr>
            </w:pPr>
          </w:p>
        </w:tc>
        <w:tc>
          <w:tcPr>
            <w:tcW w:w="1120" w:type="dxa"/>
            <w:vAlign w:val="bottom"/>
          </w:tcPr>
          <w:p>
            <w:pPr>
              <w:jc w:val="right"/>
              <w:ind w:right="169"/>
              <w:spacing w:after="0"/>
              <w:rPr>
                <w:sz w:val="20"/>
                <w:szCs w:val="20"/>
                <w:color w:val="auto"/>
              </w:rPr>
            </w:pPr>
            <w:r>
              <w:rPr>
                <w:rFonts w:ascii="Arial" w:cs="Arial" w:eastAsia="Arial" w:hAnsi="Arial"/>
                <w:sz w:val="13"/>
                <w:szCs w:val="13"/>
                <w:color w:val="0000FF"/>
              </w:rPr>
              <w:t>11/25/2019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3"/>
                <w:szCs w:val="13"/>
                <w:color w:val="0000FF"/>
              </w:rPr>
              <w:t>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400"/>
              <w:spacing w:after="0"/>
              <w:rPr>
                <w:sz w:val="20"/>
                <w:szCs w:val="20"/>
                <w:color w:val="auto"/>
              </w:rPr>
            </w:pPr>
            <w:r>
              <w:rPr>
                <w:rFonts w:ascii="Arial" w:cs="Arial" w:eastAsia="Arial" w:hAnsi="Arial"/>
                <w:sz w:val="13"/>
                <w:szCs w:val="13"/>
                <w:color w:val="0000FF"/>
              </w:rPr>
              <w:t>10,000</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10,000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80" w:type="dxa"/>
            <w:vAlign w:val="bottom"/>
          </w:tcPr>
          <w:p>
            <w:pPr>
              <w:ind w:left="240"/>
              <w:spacing w:after="0"/>
              <w:rPr>
                <w:sz w:val="20"/>
                <w:szCs w:val="20"/>
                <w:color w:val="auto"/>
              </w:rPr>
            </w:pPr>
            <w:r>
              <w:rPr>
                <w:rFonts w:ascii="Arial" w:cs="Arial" w:eastAsia="Arial" w:hAnsi="Arial"/>
                <w:sz w:val="13"/>
                <w:szCs w:val="13"/>
                <w:color w:val="0000FF"/>
              </w:rPr>
              <w:t>88,079</w:t>
            </w:r>
          </w:p>
        </w:tc>
        <w:tc>
          <w:tcPr>
            <w:tcW w:w="960" w:type="dxa"/>
            <w:vAlign w:val="bottom"/>
          </w:tcPr>
          <w:p>
            <w:pPr>
              <w:ind w:left="56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3"/>
          </w:tcPr>
          <w:p>
            <w:pPr>
              <w:ind w:left="60"/>
              <w:spacing w:after="0" w:line="96" w:lineRule="exact"/>
              <w:rPr>
                <w:sz w:val="20"/>
                <w:szCs w:val="20"/>
                <w:color w:val="auto"/>
              </w:rPr>
            </w:pPr>
            <w:r>
              <w:rPr>
                <w:rFonts w:ascii="Arial" w:cs="Arial" w:eastAsia="Arial" w:hAnsi="Arial"/>
                <w:sz w:val="11"/>
                <w:szCs w:val="11"/>
                <w:color w:val="0000FF"/>
              </w:rPr>
              <w:t>Option</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gridSpan w:val="2"/>
          </w:tcPr>
          <w:p>
            <w:pPr>
              <w:ind w:left="160"/>
              <w:spacing w:after="0" w:line="96"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ind w:left="40" w:right="220" w:firstLine="8"/>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1,422 shares of Company stock on November 26, 2019 at prices ranging from $363.07 to $363.99. Upon request by the Commission staff, the Company, or a security holder of the Company, the reporting person will provide full information regarding the number of shares sold by the reporting person on November 26, 2019 at each separate price.</w:t>
      </w:r>
    </w:p>
    <w:p>
      <w:pPr>
        <w:ind w:left="40" w:right="220" w:firstLine="8"/>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2,284 shares of Company stock on November 26, 2019 at prices ranging from $364.00 to $364.40. Upon request by the Commission staff, the Company, or a security holder of the Company, the reporting person will provide full information regarding the number of shares sold by the reporting person on November 26, 2019 at each separate price.</w:t>
      </w:r>
    </w:p>
    <w:p>
      <w:pPr>
        <w:ind w:left="40" w:right="160" w:firstLine="8"/>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November 26, 2019 at prices ranging from $365.26 to $365.55. Upon request by the Commission staff, the Company, or a security holder of the Company, the reporting person will provide full information regarding the number of shares sold by the reporting person on November 26, 2019 at each separate price.</w:t>
      </w:r>
    </w:p>
    <w:p>
      <w:pPr>
        <w:ind w:left="40" w:right="240" w:firstLine="8"/>
        <w:spacing w:after="0" w:line="317"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75,000 underlying shares, the option became exercisable on December 31, 2014, based upon the satisfaction by the company of certain performance criteria during the period ended December 31, 2014. With respect to 48,079 underlying shares (of which 13,079 remain outstanding), the stock option award vested in four equal annual installments, commencing one year after the date of grant.</w:t>
      </w:r>
    </w:p>
    <w:tbl>
      <w:tblPr>
        <w:tblLayout w:type="fixed"/>
        <w:tblInd w:w="6940" w:type="dxa"/>
        <w:tblCellMar>
          <w:top w:w="0" w:type="dxa"/>
          <w:left w:w="0" w:type="dxa"/>
          <w:bottom w:w="0" w:type="dxa"/>
          <w:right w:w="0" w:type="dxa"/>
        </w:tblCellMar>
      </w:tblPr>
      <w:tr>
        <w:trPr>
          <w:trHeight w:val="200"/>
        </w:trPr>
        <w:tc>
          <w:tcPr>
            <w:tcW w:w="10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94"/>
              </w:rPr>
              <w:t>/s/**Neil Stahl</w:t>
            </w:r>
          </w:p>
        </w:tc>
        <w:tc>
          <w:tcPr>
            <w:tcW w:w="1260" w:type="dxa"/>
            <w:vAlign w:val="bottom"/>
          </w:tcPr>
          <w:p>
            <w:pPr>
              <w:spacing w:after="0"/>
              <w:rPr>
                <w:sz w:val="17"/>
                <w:szCs w:val="17"/>
                <w:color w:val="auto"/>
              </w:rPr>
            </w:pPr>
          </w:p>
        </w:tc>
        <w:tc>
          <w:tcPr>
            <w:tcW w:w="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6"/>
              </w:rPr>
              <w:t>11/26/2019</w:t>
            </w:r>
          </w:p>
        </w:tc>
      </w:tr>
      <w:tr>
        <w:trPr>
          <w:trHeight w:val="236"/>
        </w:trPr>
        <w:tc>
          <w:tcPr>
            <w:tcW w:w="23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0"/>
          <w:szCs w:val="20"/>
          <w:color w:val="auto"/>
        </w:rPr>
      </w:pPr>
    </w:p>
    <w:p>
      <w:pPr>
        <w:jc w:val="both"/>
        <w:ind w:left="40" w:right="3760" w:firstLine="8"/>
        <w:spacing w:after="0" w:line="323" w:lineRule="auto"/>
        <w:tabs>
          <w:tab w:leader="none" w:pos="183"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00"/>
      </w:cols>
      <w:pgMar w:left="160" w:top="146" w:right="139" w:bottom="2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226689" TargetMode="External"/><Relationship Id="rId13" Type="http://schemas.openxmlformats.org/officeDocument/2006/relationships/hyperlink" Target="file:///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2019-11-26T17:21:46Z</dcterms:created>
  <dcterms:modified xsi:type="dcterms:W3CDTF">2019-11-26T17:21:46Z</dcterms:modified>
</cp:coreProperties>
</file>