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0"/>
              </w:rPr>
              <w:t>to</w:t>
            </w:r>
          </w:p>
        </w:tc>
      </w:tr>
      <w:tr>
        <w:trPr>
          <w:trHeight w:val="345"/>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Commission File Number 0-19034</w:t>
            </w: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-231140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4"/>
              </w:rPr>
              <w:t>New York</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13-3444607</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8"/>
        </w:trPr>
        <w:tc>
          <w:tcPr>
            <w:tcW w:w="5420" w:type="dxa"/>
            <w:vAlign w:val="bottom"/>
          </w:tcPr>
          <w:p>
            <w:pPr>
              <w:jc w:val="center"/>
              <w:spacing w:after="0"/>
              <w:rPr>
                <w:sz w:val="20"/>
                <w:szCs w:val="20"/>
                <w:color w:val="auto"/>
              </w:rPr>
            </w:pPr>
            <w:r>
              <w:rPr>
                <w:rFonts w:ascii="Arial" w:cs="Arial" w:eastAsia="Arial" w:hAnsi="Arial"/>
                <w:sz w:val="18"/>
                <w:szCs w:val="18"/>
                <w:color w:val="auto"/>
                <w:w w:val="93"/>
              </w:rPr>
              <w:t>777 Old Saw Mill River Road</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4"/>
              </w:rPr>
              <w:t>Tarrytown, New York</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10591-6707</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(914) 347-7000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23495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tabs>
          <w:tab w:leader="none" w:pos="2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 w:lineRule="exact"/>
        <w:rPr>
          <w:sz w:val="20"/>
          <w:szCs w:val="20"/>
          <w:color w:val="auto"/>
        </w:rPr>
      </w:pPr>
    </w:p>
    <w:p>
      <w:pPr>
        <w:ind w:left="2980"/>
        <w:spacing w:after="0" w:line="207" w:lineRule="exact"/>
        <w:tabs>
          <w:tab w:leader="none" w:pos="5040" w:val="left"/>
          <w:tab w:leader="none" w:pos="67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ind w:left="5140"/>
        <w:spacing w:after="0" w:line="207" w:lineRule="exact"/>
        <w:tabs>
          <w:tab w:leader="none" w:pos="58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October 31, 2007: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Class of Common Stock</w:t>
            </w:r>
          </w:p>
        </w:tc>
        <w:tc>
          <w:tcPr>
            <w:tcW w:w="580" w:type="dxa"/>
            <w:vAlign w:val="bottom"/>
          </w:tcPr>
          <w:p>
            <w:pPr>
              <w:spacing w:after="0"/>
              <w:rPr>
                <w:sz w:val="20"/>
                <w:szCs w:val="20"/>
                <w:color w:val="auto"/>
              </w:rPr>
            </w:pPr>
          </w:p>
        </w:tc>
        <w:tc>
          <w:tcPr>
            <w:tcW w:w="542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Number of Shares</w:t>
            </w:r>
          </w:p>
        </w:tc>
      </w:tr>
      <w:tr>
        <w:trPr>
          <w:trHeight w:val="209"/>
        </w:trPr>
        <w:tc>
          <w:tcPr>
            <w:tcW w:w="5420" w:type="dxa"/>
            <w:vAlign w:val="bottom"/>
          </w:tcPr>
          <w:p>
            <w:pPr>
              <w:jc w:val="center"/>
              <w:spacing w:after="0"/>
              <w:rPr>
                <w:sz w:val="20"/>
                <w:szCs w:val="20"/>
                <w:color w:val="auto"/>
              </w:rPr>
            </w:pPr>
            <w:r>
              <w:rPr>
                <w:rFonts w:ascii="Arial" w:cs="Arial" w:eastAsia="Arial" w:hAnsi="Arial"/>
                <w:sz w:val="18"/>
                <w:szCs w:val="18"/>
                <w:color w:val="auto"/>
                <w:w w:val="89"/>
              </w:rPr>
              <w:t>Class A Stock, $0.001 par value</w:t>
            </w:r>
          </w:p>
        </w:tc>
        <w:tc>
          <w:tcPr>
            <w:tcW w:w="580" w:type="dxa"/>
            <w:vAlign w:val="bottom"/>
          </w:tcPr>
          <w:p>
            <w:pPr>
              <w:spacing w:after="0"/>
              <w:rPr>
                <w:sz w:val="18"/>
                <w:szCs w:val="18"/>
                <w:color w:val="auto"/>
              </w:rPr>
            </w:pPr>
          </w:p>
        </w:tc>
        <w:tc>
          <w:tcPr>
            <w:tcW w:w="5420" w:type="dxa"/>
            <w:vAlign w:val="bottom"/>
          </w:tcPr>
          <w:p>
            <w:pPr>
              <w:jc w:val="right"/>
              <w:ind w:right="2270"/>
              <w:spacing w:after="0"/>
              <w:rPr>
                <w:sz w:val="20"/>
                <w:szCs w:val="20"/>
                <w:color w:val="auto"/>
              </w:rPr>
            </w:pPr>
            <w:r>
              <w:rPr>
                <w:rFonts w:ascii="Arial" w:cs="Arial" w:eastAsia="Arial" w:hAnsi="Arial"/>
                <w:sz w:val="18"/>
                <w:szCs w:val="18"/>
                <w:color w:val="auto"/>
              </w:rPr>
              <w:t>2,260,266</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6000" w:type="dxa"/>
            <w:vAlign w:val="bottom"/>
            <w:gridSpan w:val="2"/>
          </w:tcPr>
          <w:p>
            <w:pPr>
              <w:jc w:val="right"/>
              <w:ind w:right="2210"/>
              <w:spacing w:after="0"/>
              <w:rPr>
                <w:sz w:val="20"/>
                <w:szCs w:val="20"/>
                <w:color w:val="auto"/>
              </w:rPr>
            </w:pPr>
            <w:r>
              <w:rPr>
                <w:rFonts w:ascii="Arial" w:cs="Arial" w:eastAsia="Arial" w:hAnsi="Arial"/>
                <w:sz w:val="18"/>
                <w:szCs w:val="18"/>
                <w:color w:val="auto"/>
              </w:rPr>
              <w:t>63,889,481</w:t>
            </w:r>
          </w:p>
        </w:tc>
      </w:tr>
      <w:tr>
        <w:trPr>
          <w:trHeight w:val="203"/>
        </w:trPr>
        <w:tc>
          <w:tcPr>
            <w:tcW w:w="5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tcPr>
          <w:p>
            <w:pPr>
              <w:spacing w:after="0"/>
              <w:rPr>
                <w:sz w:val="17"/>
                <w:szCs w:val="17"/>
                <w:color w:val="auto"/>
              </w:rPr>
            </w:pPr>
          </w:p>
        </w:tc>
      </w:tr>
      <w:tr>
        <w:trPr>
          <w:trHeight w:val="28"/>
        </w:trPr>
        <w:tc>
          <w:tcPr>
            <w:tcW w:w="5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618"/>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gridSpan w:val="3"/>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340" w:type="dxa"/>
            <w:vAlign w:val="bottom"/>
            <w:gridSpan w:val="2"/>
            <w:vMerge w:val="restart"/>
          </w:tcPr>
          <w:p>
            <w:pPr>
              <w:spacing w:after="0"/>
              <w:rPr>
                <w:sz w:val="14"/>
                <w:szCs w:val="14"/>
                <w:color w:val="auto"/>
              </w:rPr>
            </w:pPr>
          </w:p>
        </w:tc>
        <w:tc>
          <w:tcPr>
            <w:tcW w:w="2400" w:type="dxa"/>
            <w:vAlign w:val="bottom"/>
            <w:gridSpan w:val="10"/>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6540" w:type="dxa"/>
            <w:vAlign w:val="bottom"/>
            <w:gridSpan w:val="9"/>
            <w:vMerge w:val="restart"/>
          </w:tcPr>
          <w:p>
            <w:pPr>
              <w:spacing w:after="0"/>
              <w:rPr>
                <w:sz w:val="14"/>
                <w:szCs w:val="14"/>
                <w:color w:val="auto"/>
              </w:rPr>
            </w:pPr>
          </w:p>
        </w:tc>
        <w:tc>
          <w:tcPr>
            <w:tcW w:w="1540" w:type="dxa"/>
            <w:vAlign w:val="bottom"/>
            <w:gridSpan w:val="2"/>
          </w:tcPr>
          <w:p>
            <w:pPr>
              <w:ind w:left="640"/>
              <w:spacing w:after="0"/>
              <w:rPr>
                <w:sz w:val="20"/>
                <w:szCs w:val="20"/>
                <w:color w:val="auto"/>
              </w:rPr>
            </w:pPr>
            <w:r>
              <w:rPr>
                <w:rFonts w:ascii="Arial" w:cs="Arial" w:eastAsia="Arial" w:hAnsi="Arial"/>
                <w:sz w:val="14"/>
                <w:szCs w:val="14"/>
                <w:b w:val="1"/>
                <w:bCs w:val="1"/>
                <w:color w:val="auto"/>
                <w:w w:val="89"/>
              </w:rPr>
              <w:t>Page Numbers</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gridSpan w:val="3"/>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2400" w:type="dxa"/>
            <w:vAlign w:val="bottom"/>
            <w:tcBorders>
              <w:bottom w:val="single" w:sz="8" w:color="0000EE"/>
            </w:tcBorders>
            <w:gridSpan w:val="10"/>
            <w:vMerge w:val="continue"/>
          </w:tcPr>
          <w:p>
            <w:pPr>
              <w:spacing w:after="0"/>
              <w:rPr>
                <w:sz w:val="14"/>
                <w:szCs w:val="14"/>
                <w:color w:val="auto"/>
              </w:rPr>
            </w:pPr>
          </w:p>
        </w:tc>
        <w:tc>
          <w:tcPr>
            <w:tcW w:w="6540" w:type="dxa"/>
            <w:vAlign w:val="bottom"/>
            <w:gridSpan w:val="9"/>
            <w:vMerge w:val="continue"/>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80" w:type="dxa"/>
            <w:vAlign w:val="bottom"/>
            <w:gridSpan w:val="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Item 1</w:t>
              </w:r>
            </w:hyperlink>
          </w:p>
        </w:tc>
        <w:tc>
          <w:tcPr>
            <w:tcW w:w="460" w:type="dxa"/>
            <w:vAlign w:val="bottom"/>
            <w:gridSpan w:val="3"/>
          </w:tcPr>
          <w:p>
            <w:pPr>
              <w:spacing w:after="0"/>
              <w:rPr>
                <w:sz w:val="24"/>
                <w:szCs w:val="24"/>
                <w:color w:val="auto"/>
              </w:rPr>
            </w:pPr>
          </w:p>
        </w:tc>
        <w:tc>
          <w:tcPr>
            <w:tcW w:w="89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balance sheets (unaudited) at September 30, 2007 and December 31, 2006</w:t>
              </w:r>
            </w:hyperlink>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40" w:type="dxa"/>
            <w:vAlign w:val="bottom"/>
            <w:gridSpan w:val="19"/>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statements of operations (unaudited) for the three and nine months ended September 30, 2007 and 2006</w:t>
              </w:r>
            </w:hyperlink>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00" w:type="dxa"/>
            <w:vAlign w:val="bottom"/>
            <w:tcBorders>
              <w:top w:val="single" w:sz="8" w:color="0000EE"/>
            </w:tcBorders>
            <w:gridSpan w:val="18"/>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statement of stockholders’ equity (unaudited) for the nine months ended September 30, 2007</w:t>
              </w:r>
            </w:hyperlink>
          </w:p>
        </w:tc>
        <w:tc>
          <w:tcPr>
            <w:tcW w:w="640" w:type="dxa"/>
            <w:vAlign w:val="bottom"/>
          </w:tcPr>
          <w:p>
            <w:pPr>
              <w:spacing w:after="0"/>
              <w:rPr>
                <w:sz w:val="24"/>
                <w:szCs w:val="24"/>
                <w:color w:val="auto"/>
              </w:rPr>
            </w:pPr>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4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statements of cash flows (unaudited) for the nine months ended September 30, 2007 and 2006</w:t>
              </w:r>
            </w:hyperlink>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Borders>
              <w:top w:val="single" w:sz="8" w:color="0000EE"/>
            </w:tcBorders>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financial statements (unaudited)</w:t>
              </w:r>
            </w:hyperlink>
          </w:p>
        </w:tc>
        <w:tc>
          <w:tcPr>
            <w:tcW w:w="1340" w:type="dxa"/>
            <w:vAlign w:val="bottom"/>
            <w:gridSpan w:val="2"/>
          </w:tcPr>
          <w:p>
            <w:pPr>
              <w:spacing w:after="0"/>
              <w:rPr>
                <w:sz w:val="24"/>
                <w:szCs w:val="24"/>
                <w:color w:val="auto"/>
              </w:rPr>
            </w:pPr>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Item 2</w:t>
              </w:r>
            </w:hyperlink>
          </w:p>
        </w:tc>
        <w:tc>
          <w:tcPr>
            <w:tcW w:w="460" w:type="dxa"/>
            <w:vAlign w:val="bottom"/>
            <w:gridSpan w:val="3"/>
          </w:tcPr>
          <w:p>
            <w:pPr>
              <w:spacing w:after="0"/>
              <w:rPr>
                <w:sz w:val="24"/>
                <w:szCs w:val="24"/>
                <w:color w:val="auto"/>
              </w:rPr>
            </w:pP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2480" w:type="dxa"/>
            <w:vAlign w:val="bottom"/>
            <w:gridSpan w:val="5"/>
          </w:tcPr>
          <w:p>
            <w:pPr>
              <w:spacing w:after="0"/>
              <w:rPr>
                <w:sz w:val="24"/>
                <w:szCs w:val="24"/>
                <w:color w:val="auto"/>
              </w:rPr>
            </w:pPr>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412"/>
        </w:trPr>
        <w:tc>
          <w:tcPr>
            <w:tcW w:w="480" w:type="dxa"/>
            <w:vAlign w:val="bottom"/>
            <w:gridSpan w:val="2"/>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Item 3</w:t>
              </w:r>
            </w:hyperlink>
          </w:p>
        </w:tc>
        <w:tc>
          <w:tcPr>
            <w:tcW w:w="460" w:type="dxa"/>
            <w:vAlign w:val="bottom"/>
            <w:gridSpan w:val="3"/>
          </w:tcPr>
          <w:p>
            <w:pPr>
              <w:spacing w:after="0"/>
              <w:rPr>
                <w:sz w:val="24"/>
                <w:szCs w:val="24"/>
                <w:color w:val="auto"/>
              </w:rPr>
            </w:pPr>
          </w:p>
        </w:tc>
        <w:tc>
          <w:tcPr>
            <w:tcW w:w="894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&amp; Qualitative Disclosure About Market Risk</w:t>
              </w:r>
            </w:hyperlink>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480" w:type="dxa"/>
            <w:vAlign w:val="bottom"/>
            <w:tcBorders>
              <w:top w:val="single" w:sz="8" w:color="0000EE"/>
            </w:tcBorders>
            <w:gridSpan w:val="2"/>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Item 4</w:t>
              </w:r>
            </w:hyperlink>
          </w:p>
        </w:tc>
        <w:tc>
          <w:tcPr>
            <w:tcW w:w="460" w:type="dxa"/>
            <w:vAlign w:val="bottom"/>
            <w:gridSpan w:val="3"/>
          </w:tcPr>
          <w:p>
            <w:pPr>
              <w:spacing w:after="0"/>
              <w:rPr>
                <w:sz w:val="24"/>
                <w:szCs w:val="24"/>
                <w:color w:val="auto"/>
              </w:rPr>
            </w:pPr>
          </w:p>
        </w:tc>
        <w:tc>
          <w:tcPr>
            <w:tcW w:w="4160" w:type="dxa"/>
            <w:vAlign w:val="bottom"/>
            <w:tcBorders>
              <w:top w:val="single" w:sz="8" w:color="0000EE"/>
            </w:tcBorders>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4780" w:type="dxa"/>
            <w:vAlign w:val="bottom"/>
            <w:gridSpan w:val="7"/>
          </w:tcPr>
          <w:p>
            <w:pPr>
              <w:spacing w:after="0"/>
              <w:rPr>
                <w:sz w:val="24"/>
                <w:szCs w:val="24"/>
                <w:color w:val="auto"/>
              </w:rPr>
            </w:pPr>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5"/>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w:t>
              </w:r>
            </w:hyperlink>
          </w:p>
        </w:tc>
        <w:tc>
          <w:tcPr>
            <w:tcW w:w="8940" w:type="dxa"/>
            <w:vAlign w:val="bottom"/>
            <w:gridSpan w:val="19"/>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OTHER INFORMATION</w:t>
              </w:r>
            </w:hyperlink>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Item 1</w:t>
              </w:r>
            </w:hyperlink>
          </w:p>
        </w:tc>
        <w:tc>
          <w:tcPr>
            <w:tcW w:w="180" w:type="dxa"/>
            <w:vAlign w:val="bottom"/>
            <w:tcBorders>
              <w:top w:val="single" w:sz="8" w:color="0000EE"/>
            </w:tcBorders>
            <w:gridSpan w:val="2"/>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6920" w:type="dxa"/>
            <w:vAlign w:val="bottom"/>
            <w:gridSpan w:val="11"/>
          </w:tcPr>
          <w:p>
            <w:pPr>
              <w:spacing w:after="0"/>
              <w:rPr>
                <w:sz w:val="24"/>
                <w:szCs w:val="24"/>
                <w:color w:val="auto"/>
              </w:rPr>
            </w:pPr>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94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1A</w:t>
              </w:r>
            </w:hyperlink>
          </w:p>
        </w:tc>
        <w:tc>
          <w:tcPr>
            <w:tcW w:w="894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412"/>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Item 6</w:t>
              </w:r>
            </w:hyperlink>
          </w:p>
        </w:tc>
        <w:tc>
          <w:tcPr>
            <w:tcW w:w="120" w:type="dxa"/>
            <w:vAlign w:val="bottom"/>
            <w:tcBorders>
              <w:top w:val="single" w:sz="8" w:color="0000EE"/>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Exhibits</w:t>
              </w:r>
            </w:hyperlink>
          </w:p>
        </w:tc>
        <w:tc>
          <w:tcPr>
            <w:tcW w:w="300" w:type="dxa"/>
            <w:vAlign w:val="bottom"/>
            <w:tcBorders>
              <w:top w:val="single" w:sz="8" w:color="0000EE"/>
            </w:tcBorders>
            <w:gridSpan w:val="2"/>
          </w:tcPr>
          <w:p>
            <w:pPr>
              <w:spacing w:after="0"/>
              <w:rPr>
                <w:sz w:val="24"/>
                <w:szCs w:val="24"/>
                <w:color w:val="auto"/>
              </w:rPr>
            </w:pPr>
          </w:p>
        </w:tc>
        <w:tc>
          <w:tcPr>
            <w:tcW w:w="8040" w:type="dxa"/>
            <w:vAlign w:val="bottom"/>
            <w:gridSpan w:val="16"/>
          </w:tcPr>
          <w:p>
            <w:pPr>
              <w:spacing w:after="0"/>
              <w:rPr>
                <w:sz w:val="24"/>
                <w:szCs w:val="24"/>
                <w:color w:val="auto"/>
              </w:rPr>
            </w:pPr>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59">
              <w:r>
                <w:rPr>
                  <w:rFonts w:ascii="Arial" w:cs="Arial" w:eastAsia="Arial" w:hAnsi="Arial"/>
                  <w:sz w:val="18"/>
                  <w:szCs w:val="18"/>
                  <w:b w:val="1"/>
                  <w:bCs w:val="1"/>
                  <w:color w:val="0000EE"/>
                  <w:w w:val="97"/>
                </w:rPr>
                <w:t>SIGNATURE PAGE</w:t>
              </w:r>
            </w:hyperlink>
          </w:p>
        </w:tc>
        <w:tc>
          <w:tcPr>
            <w:tcW w:w="8280" w:type="dxa"/>
            <w:vAlign w:val="bottom"/>
            <w:gridSpan w:val="17"/>
          </w:tcPr>
          <w:p>
            <w:pPr>
              <w:spacing w:after="0"/>
              <w:rPr>
                <w:sz w:val="24"/>
                <w:szCs w:val="24"/>
                <w:color w:val="auto"/>
              </w:rPr>
            </w:pPr>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3"/>
              </w:rPr>
              <w:t>EX-10.1: FIRST AMENDMENT TO LEASE</w:t>
            </w:r>
          </w:p>
        </w:tc>
        <w:tc>
          <w:tcPr>
            <w:tcW w:w="660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820" w:type="dxa"/>
            <w:vAlign w:val="bottom"/>
            <w:gridSpan w:val="23"/>
          </w:tcPr>
          <w:p>
            <w:pPr>
              <w:spacing w:after="0" w:line="196" w:lineRule="exact"/>
              <w:rPr>
                <w:sz w:val="20"/>
                <w:szCs w:val="20"/>
                <w:color w:val="auto"/>
              </w:rPr>
            </w:pPr>
            <w:r>
              <w:rPr>
                <w:rFonts w:ascii="Arial" w:cs="Arial" w:eastAsia="Arial" w:hAnsi="Arial"/>
                <w:sz w:val="18"/>
                <w:szCs w:val="18"/>
                <w:color w:val="0000EE"/>
              </w:rPr>
              <w:t>EX-12.1: STATEMENT RE: COMPUTATION OF RATIO OF EARNINGS TO COMBINED FIXED CHARGES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0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EX-31.1: CERTIFICATION</w:t>
            </w:r>
          </w:p>
        </w:tc>
        <w:tc>
          <w:tcPr>
            <w:tcW w:w="182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CERTIFICATION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SEPTEMBER 30, 2007 AND DECEMBER 31, 2006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54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ind w:left="386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97,416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299,566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10,968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422,020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469,984</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1,600</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98,710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49,358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573,096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28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27,872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Deferred revenue, current portion</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68,814</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96,686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45,014</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125,013</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421,699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$.01 par value; 30,000,000 shares authorized; issued and outstanding-none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200"/>
              <w:spacing w:after="0" w:line="201" w:lineRule="exact"/>
              <w:rPr>
                <w:sz w:val="20"/>
                <w:szCs w:val="20"/>
                <w:color w:val="auto"/>
              </w:rPr>
            </w:pPr>
            <w:r>
              <w:rPr>
                <w:rFonts w:ascii="Arial" w:cs="Arial" w:eastAsia="Arial" w:hAnsi="Arial"/>
                <w:sz w:val="18"/>
                <w:szCs w:val="18"/>
                <w:color w:val="auto"/>
              </w:rPr>
              <w:t>Class A Stock, convertible, $.001 par value; 40,000,000 shares authorized;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shares issued and outstanding - 2,260,266 in 2007 and 2,270,353 in 2006</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$.001 par value; 160,000,000 shares authorized;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- 63,825,329 in 2007 and 63,130,962 in 2006</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931,482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8"/>
              </w:rPr>
              <w:t>(780,146)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(687,617)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151,397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573,096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8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6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Contract research and development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12,311</w:t>
            </w:r>
          </w:p>
        </w:tc>
        <w:tc>
          <w:tcPr>
            <w:tcW w:w="7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11,448</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41,873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manufacturing</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Technology licensing</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18,421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15,624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53,101</w:t>
            </w:r>
          </w:p>
        </w:tc>
        <w:tc>
          <w:tcPr>
            <w:tcW w:w="0" w:type="dxa"/>
            <w:vAlign w:val="bottom"/>
          </w:tcPr>
          <w:p>
            <w:pPr>
              <w:spacing w:after="0"/>
              <w:rPr>
                <w:sz w:val="1"/>
                <w:szCs w:val="1"/>
                <w:color w:val="auto"/>
              </w:rPr>
            </w:pPr>
          </w:p>
        </w:tc>
      </w:tr>
      <w:tr>
        <w:trPr>
          <w:trHeight w:val="439"/>
        </w:trPr>
        <w:tc>
          <w:tcPr>
            <w:tcW w:w="63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51,689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34,808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136,788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Contract manufacturing</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9,289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60,978</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43,881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163,214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127,270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(38,667)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(28,257)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(102,920)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(74,169)</w:t>
            </w:r>
          </w:p>
        </w:tc>
        <w:tc>
          <w:tcPr>
            <w:tcW w:w="0" w:type="dxa"/>
            <w:vAlign w:val="bottom"/>
          </w:tcPr>
          <w:p>
            <w:pPr>
              <w:spacing w:after="0"/>
              <w:rPr>
                <w:sz w:val="1"/>
                <w:szCs w:val="1"/>
                <w:color w:val="auto"/>
              </w:rPr>
            </w:pPr>
          </w:p>
        </w:tc>
      </w:tr>
      <w:tr>
        <w:trPr>
          <w:trHeight w:val="439"/>
        </w:trPr>
        <w:tc>
          <w:tcPr>
            <w:tcW w:w="63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5,840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(3,011)</w:t>
            </w: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(9,033)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2,829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10,391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0"/>
        </w:trPr>
        <w:tc>
          <w:tcPr>
            <w:tcW w:w="63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320" w:type="dxa"/>
            <w:vAlign w:val="bottom"/>
            <w:gridSpan w:val="2"/>
          </w:tcPr>
          <w:p>
            <w:pPr>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12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(35,838)</w:t>
            </w:r>
          </w:p>
        </w:tc>
        <w:tc>
          <w:tcPr>
            <w:tcW w:w="120" w:type="dxa"/>
            <w:vAlign w:val="bottom"/>
          </w:tcPr>
          <w:p>
            <w:pPr>
              <w:spacing w:after="0"/>
              <w:rPr>
                <w:sz w:val="24"/>
                <w:szCs w:val="2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(27,410)</w:t>
            </w:r>
          </w:p>
        </w:tc>
        <w:tc>
          <w:tcPr>
            <w:tcW w:w="10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(92,529)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(72,179)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 adopting Statement of Financial Accounting Standards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 123R (“SFAS 123R”)</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(35,838</w:t>
            </w:r>
          </w:p>
        </w:tc>
        <w:tc>
          <w:tcPr>
            <w:tcW w:w="740" w:type="dxa"/>
            <w:vAlign w:val="bottom"/>
          </w:tcPr>
          <w:p>
            <w:pPr>
              <w:jc w:val="right"/>
              <w:ind w:right="6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(27,410</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(92,529</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(71,366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amounts, basic and diluted: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(0.54)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(0.48)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adopting SFAS 123R</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740" w:type="dxa"/>
            <w:vAlign w:val="bottom"/>
          </w:tcPr>
          <w:p>
            <w:pPr>
              <w:jc w:val="right"/>
              <w:ind w:right="6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66,069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65,861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56,884</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60" w:type="dxa"/>
            <w:vAlign w:val="bottom"/>
            <w:gridSpan w:val="3"/>
            <w:vMerge w:val="restart"/>
          </w:tcPr>
          <w:p>
            <w:pPr>
              <w:ind w:left="360"/>
              <w:spacing w:after="0"/>
              <w:rPr>
                <w:sz w:val="20"/>
                <w:szCs w:val="20"/>
                <w:color w:val="auto"/>
              </w:rPr>
            </w:pPr>
            <w:r>
              <w:rPr>
                <w:rFonts w:ascii="Arial" w:cs="Arial" w:eastAsia="Arial" w:hAnsi="Arial"/>
                <w:sz w:val="13"/>
                <w:szCs w:val="13"/>
                <w:b w:val="1"/>
                <w:bCs w:val="1"/>
                <w:color w:val="auto"/>
              </w:rPr>
              <w:t>Class A Stock</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vMerge w:val="restart"/>
          </w:tcPr>
          <w:p>
            <w:pPr>
              <w:jc w:val="right"/>
              <w:ind w:right="3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ind w:left="220"/>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spacing w:after="0"/>
              <w:rPr>
                <w:sz w:val="12"/>
                <w:szCs w:val="12"/>
                <w:color w:val="auto"/>
              </w:rPr>
            </w:pPr>
          </w:p>
        </w:tc>
        <w:tc>
          <w:tcPr>
            <w:tcW w:w="126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Borders>
              <w:bottom w:val="single" w:sz="8" w:color="auto"/>
            </w:tcBorders>
            <w:gridSpan w:val="4"/>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4"/>
          </w:tcPr>
          <w:p>
            <w:pPr>
              <w:ind w:left="200"/>
              <w:spacing w:after="0" w:line="140" w:lineRule="exact"/>
              <w:rPr>
                <w:sz w:val="20"/>
                <w:szCs w:val="20"/>
                <w:color w:val="auto"/>
              </w:rPr>
            </w:pPr>
            <w:r>
              <w:rPr>
                <w:rFonts w:ascii="Arial" w:cs="Arial" w:eastAsia="Arial" w:hAnsi="Arial"/>
                <w:sz w:val="13"/>
                <w:szCs w:val="13"/>
                <w:b w:val="1"/>
                <w:bCs w:val="1"/>
                <w:color w:val="auto"/>
              </w:rPr>
              <w:t>Accumulated</w:t>
            </w:r>
          </w:p>
        </w:tc>
        <w:tc>
          <w:tcPr>
            <w:tcW w:w="1440" w:type="dxa"/>
            <w:vAlign w:val="bottom"/>
            <w:gridSpan w:val="3"/>
          </w:tcPr>
          <w:p>
            <w:pPr>
              <w:jc w:val="center"/>
              <w:ind w:right="220"/>
              <w:spacing w:after="0" w:line="140" w:lineRule="exact"/>
              <w:rPr>
                <w:sz w:val="20"/>
                <w:szCs w:val="20"/>
                <w:color w:val="auto"/>
              </w:rPr>
            </w:pPr>
            <w:r>
              <w:rPr>
                <w:rFonts w:ascii="Arial" w:cs="Arial" w:eastAsia="Arial" w:hAnsi="Arial"/>
                <w:sz w:val="13"/>
                <w:szCs w:val="13"/>
                <w:b w:val="1"/>
                <w:bCs w:val="1"/>
                <w:color w:val="auto"/>
                <w:w w:val="84"/>
              </w:rPr>
              <w:t>Comprehensive</w:t>
            </w:r>
          </w:p>
        </w:tc>
        <w:tc>
          <w:tcPr>
            <w:tcW w:w="116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Stockholders’</w:t>
            </w:r>
          </w:p>
        </w:tc>
        <w:tc>
          <w:tcPr>
            <w:tcW w:w="94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w w:val="94"/>
              </w:rPr>
              <w:t>Comprehensive</w:t>
            </w: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52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w w:val="96"/>
              </w:rPr>
              <w:t>Shares</w:t>
            </w:r>
          </w:p>
        </w:tc>
        <w:tc>
          <w:tcPr>
            <w:tcW w:w="420" w:type="dxa"/>
            <w:vAlign w:val="bottom"/>
          </w:tcPr>
          <w:p>
            <w:pPr>
              <w:spacing w:after="0"/>
              <w:rPr>
                <w:sz w:val="11"/>
                <w:szCs w:val="11"/>
                <w:color w:val="auto"/>
              </w:rPr>
            </w:pPr>
          </w:p>
        </w:tc>
        <w:tc>
          <w:tcPr>
            <w:tcW w:w="54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400" w:type="dxa"/>
            <w:vAlign w:val="bottom"/>
          </w:tcPr>
          <w:p>
            <w:pPr>
              <w:spacing w:after="0"/>
              <w:rPr>
                <w:sz w:val="11"/>
                <w:szCs w:val="11"/>
                <w:color w:val="auto"/>
              </w:rPr>
            </w:pPr>
          </w:p>
        </w:tc>
        <w:tc>
          <w:tcPr>
            <w:tcW w:w="54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bottom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ind w:left="60"/>
              <w:spacing w:after="0" w:line="129"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5"/>
              </w:rPr>
              <w:t>Loss</w:t>
            </w: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Equity</w:t>
            </w:r>
          </w:p>
        </w:tc>
        <w:tc>
          <w:tcPr>
            <w:tcW w:w="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2006</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2,270</w:t>
            </w:r>
          </w:p>
        </w:tc>
        <w:tc>
          <w:tcPr>
            <w:tcW w:w="42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7"/>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400"/>
              <w:spacing w:after="0" w:line="129" w:lineRule="exact"/>
              <w:rPr>
                <w:sz w:val="20"/>
                <w:szCs w:val="20"/>
                <w:color w:val="auto"/>
              </w:rPr>
            </w:pPr>
            <w:r>
              <w:rPr>
                <w:rFonts w:ascii="Arial" w:cs="Arial" w:eastAsia="Arial" w:hAnsi="Arial"/>
                <w:sz w:val="13"/>
                <w:szCs w:val="13"/>
                <w:color w:val="auto"/>
              </w:rPr>
              <w:t>2</w:t>
            </w:r>
          </w:p>
        </w:tc>
        <w:tc>
          <w:tcPr>
            <w:tcW w:w="74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3"/>
                <w:szCs w:val="13"/>
                <w:color w:val="auto"/>
              </w:rPr>
              <w:t>63,131</w:t>
            </w:r>
          </w:p>
        </w:tc>
        <w:tc>
          <w:tcPr>
            <w:tcW w:w="520" w:type="dxa"/>
            <w:vAlign w:val="bottom"/>
            <w:gridSpan w:val="2"/>
            <w:shd w:val="clear" w:color="auto" w:fill="CCEEFF"/>
          </w:tcPr>
          <w:p>
            <w:pPr>
              <w:jc w:val="right"/>
              <w:ind w:right="197"/>
              <w:spacing w:after="0" w:line="129"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3"/>
                <w:szCs w:val="13"/>
                <w:color w:val="auto"/>
              </w:rPr>
              <w:t>63</w:t>
            </w:r>
          </w:p>
        </w:tc>
        <w:tc>
          <w:tcPr>
            <w:tcW w:w="2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3"/>
                <w:szCs w:val="13"/>
                <w:color w:val="auto"/>
              </w:rPr>
              <w:t>904,407</w:t>
            </w:r>
          </w:p>
        </w:tc>
        <w:tc>
          <w:tcPr>
            <w:tcW w:w="320" w:type="dxa"/>
            <w:vAlign w:val="bottom"/>
            <w:gridSpan w:val="2"/>
            <w:shd w:val="clear" w:color="auto" w:fill="CCEEFF"/>
          </w:tcPr>
          <w:p>
            <w:pPr>
              <w:ind w:left="200"/>
              <w:spacing w:after="0" w:line="129"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(687,617)</w:t>
            </w:r>
          </w:p>
        </w:tc>
        <w:tc>
          <w:tcPr>
            <w:tcW w:w="26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3"/>
                <w:szCs w:val="13"/>
                <w:color w:val="auto"/>
              </w:rPr>
              <w:t>(231)</w:t>
            </w:r>
          </w:p>
        </w:tc>
        <w:tc>
          <w:tcPr>
            <w:tcW w:w="1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20"/>
              <w:spacing w:after="0" w:line="129" w:lineRule="exact"/>
              <w:rPr>
                <w:sz w:val="20"/>
                <w:szCs w:val="20"/>
                <w:color w:val="auto"/>
              </w:rPr>
            </w:pPr>
            <w:r>
              <w:rPr>
                <w:rFonts w:ascii="Arial" w:cs="Arial" w:eastAsia="Arial" w:hAnsi="Arial"/>
                <w:sz w:val="13"/>
                <w:szCs w:val="13"/>
                <w:color w:val="auto"/>
              </w:rPr>
              <w:t>216,624</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20" w:type="dxa"/>
            <w:vAlign w:val="bottom"/>
          </w:tcPr>
          <w:p>
            <w:pPr>
              <w:spacing w:after="0" w:line="121" w:lineRule="exact"/>
              <w:rPr>
                <w:sz w:val="20"/>
                <w:szCs w:val="20"/>
                <w:color w:val="auto"/>
              </w:rPr>
            </w:pPr>
            <w:r>
              <w:rPr>
                <w:rFonts w:ascii="Arial" w:cs="Arial" w:eastAsia="Arial" w:hAnsi="Arial"/>
                <w:sz w:val="13"/>
                <w:szCs w:val="13"/>
                <w:color w:val="auto"/>
              </w:rPr>
              <w:t>Issuance of Common Stock in</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220"/>
              <w:spacing w:after="0" w:line="135" w:lineRule="exact"/>
              <w:rPr>
                <w:sz w:val="20"/>
                <w:szCs w:val="20"/>
                <w:color w:val="auto"/>
              </w:rPr>
            </w:pPr>
            <w:r>
              <w:rPr>
                <w:rFonts w:ascii="Arial" w:cs="Arial" w:eastAsia="Arial" w:hAnsi="Arial"/>
                <w:sz w:val="13"/>
                <w:szCs w:val="13"/>
                <w:color w:val="auto"/>
              </w:rPr>
              <w:t>connection with exercise of stock</w:t>
            </w: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20" w:type="dxa"/>
            <w:vAlign w:val="bottom"/>
          </w:tcPr>
          <w:p>
            <w:pPr>
              <w:ind w:left="220"/>
              <w:spacing w:after="0"/>
              <w:rPr>
                <w:sz w:val="20"/>
                <w:szCs w:val="20"/>
                <w:color w:val="auto"/>
              </w:rPr>
            </w:pPr>
            <w:r>
              <w:rPr>
                <w:rFonts w:ascii="Arial" w:cs="Arial" w:eastAsia="Arial" w:hAnsi="Arial"/>
                <w:sz w:val="13"/>
                <w:szCs w:val="13"/>
                <w:color w:val="auto"/>
              </w:rPr>
              <w:t>options, net of shares tendered</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619</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5,170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5,171</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 Common Stock in</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connection with Company 401(k)</w:t>
            </w: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Savings Plan contribution</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65</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1,367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1,367</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20" w:type="dxa"/>
            <w:vAlign w:val="bottom"/>
          </w:tcPr>
          <w:p>
            <w:pPr>
              <w:spacing w:after="0" w:line="121" w:lineRule="exact"/>
              <w:rPr>
                <w:sz w:val="20"/>
                <w:szCs w:val="20"/>
                <w:color w:val="auto"/>
              </w:rPr>
            </w:pPr>
            <w:r>
              <w:rPr>
                <w:rFonts w:ascii="Arial" w:cs="Arial" w:eastAsia="Arial" w:hAnsi="Arial"/>
                <w:sz w:val="13"/>
                <w:szCs w:val="13"/>
                <w:color w:val="auto"/>
              </w:rPr>
              <w:t>Conversion of Class A Stock to</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tcPr>
          <w:p>
            <w:pPr>
              <w:ind w:left="220"/>
              <w:spacing w:after="0"/>
              <w:rPr>
                <w:sz w:val="20"/>
                <w:szCs w:val="20"/>
                <w:color w:val="auto"/>
              </w:rPr>
            </w:pPr>
            <w:r>
              <w:rPr>
                <w:rFonts w:ascii="Arial" w:cs="Arial" w:eastAsia="Arial" w:hAnsi="Arial"/>
                <w:sz w:val="13"/>
                <w:szCs w:val="13"/>
                <w:color w:val="auto"/>
              </w:rPr>
              <w:t>Common Stock</w:t>
            </w:r>
          </w:p>
        </w:tc>
        <w:tc>
          <w:tcPr>
            <w:tcW w:w="940" w:type="dxa"/>
            <w:vAlign w:val="bottom"/>
            <w:gridSpan w:val="2"/>
          </w:tcPr>
          <w:p>
            <w:pPr>
              <w:ind w:left="360"/>
              <w:spacing w:after="0"/>
              <w:rPr>
                <w:sz w:val="20"/>
                <w:szCs w:val="20"/>
                <w:color w:val="auto"/>
              </w:rPr>
            </w:pPr>
            <w:r>
              <w:rPr>
                <w:rFonts w:ascii="Arial" w:cs="Arial" w:eastAsia="Arial" w:hAnsi="Arial"/>
                <w:sz w:val="13"/>
                <w:szCs w:val="13"/>
                <w:color w:val="auto"/>
              </w:rPr>
              <w:t>(10)</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10</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20,538</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20,538</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(92,529)</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(92,529)</w:t>
            </w: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(92,529)</w:t>
            </w:r>
          </w:p>
        </w:tc>
        <w:tc>
          <w:tcPr>
            <w:tcW w:w="0" w:type="dxa"/>
            <w:vAlign w:val="bottom"/>
          </w:tcPr>
          <w:p>
            <w:pPr>
              <w:spacing w:after="0"/>
              <w:rPr>
                <w:sz w:val="1"/>
                <w:szCs w:val="1"/>
                <w:color w:val="auto"/>
              </w:rPr>
            </w:pPr>
          </w:p>
        </w:tc>
      </w:tr>
      <w:tr>
        <w:trPr>
          <w:trHeight w:val="121"/>
        </w:trPr>
        <w:tc>
          <w:tcPr>
            <w:tcW w:w="22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Change in net unrealized loss on</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marketable securities</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226</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226</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3"/>
                <w:szCs w:val="13"/>
                <w:b w:val="1"/>
                <w:bCs w:val="1"/>
                <w:color w:val="auto"/>
              </w:rPr>
              <w:t>Balance, September 30, 2007</w:t>
            </w: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20" w:type="dxa"/>
            <w:vAlign w:val="bottom"/>
            <w:vMerge w:val="continue"/>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2,260</w:t>
            </w:r>
          </w:p>
        </w:tc>
        <w:tc>
          <w:tcPr>
            <w:tcW w:w="420" w:type="dxa"/>
            <w:vAlign w:val="bottom"/>
          </w:tcPr>
          <w:p>
            <w:pPr>
              <w:spacing w:after="0"/>
              <w:rPr>
                <w:sz w:val="24"/>
                <w:szCs w:val="24"/>
                <w:color w:val="auto"/>
              </w:rPr>
            </w:pPr>
          </w:p>
        </w:tc>
        <w:tc>
          <w:tcPr>
            <w:tcW w:w="320" w:type="dxa"/>
            <w:vAlign w:val="bottom"/>
          </w:tcPr>
          <w:p>
            <w:pPr>
              <w:jc w:val="right"/>
              <w:ind w:right="207"/>
              <w:spacing w:after="0"/>
              <w:rPr>
                <w:sz w:val="20"/>
                <w:szCs w:val="20"/>
                <w:color w:val="auto"/>
              </w:rPr>
            </w:pPr>
            <w:r>
              <w:rPr>
                <w:rFonts w:ascii="Arial" w:cs="Arial" w:eastAsia="Arial" w:hAnsi="Arial"/>
                <w:sz w:val="9"/>
                <w:szCs w:val="9"/>
                <w:color w:val="auto"/>
                <w:w w:val="78"/>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2</w:t>
            </w:r>
          </w:p>
        </w:tc>
        <w:tc>
          <w:tcPr>
            <w:tcW w:w="4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63,825</w:t>
            </w:r>
          </w:p>
        </w:tc>
        <w:tc>
          <w:tcPr>
            <w:tcW w:w="52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64</w:t>
            </w: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931,482</w:t>
            </w:r>
          </w:p>
        </w:tc>
        <w:tc>
          <w:tcPr>
            <w:tcW w:w="32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(780,146)</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151,397</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(92,303)</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3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(92,529)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8,588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compensation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Impairment charge on marketable securities</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Cumulative effect of a change in accounting principle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accounts receivable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(Increase) decrease in prepaid expenses and other assets</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(11,876)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 inventory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Increase (decrease) in deferred revenue</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46,832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accounts payable, accrued expenses, and other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800"/>
              <w:spacing w:after="0"/>
              <w:rPr>
                <w:sz w:val="20"/>
                <w:szCs w:val="20"/>
                <w:color w:val="auto"/>
              </w:rPr>
            </w:pPr>
            <w:r>
              <w:rPr>
                <w:rFonts w:ascii="Arial" w:cs="Arial" w:eastAsia="Arial" w:hAnsi="Arial"/>
                <w:sz w:val="18"/>
                <w:szCs w:val="18"/>
                <w:color w:val="auto"/>
              </w:rPr>
              <w:t>Total adjustments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69,084</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(30,228)</w:t>
            </w: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(478,209)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(252,037)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Sales or maturities of marketable securities</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363,739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0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(122,186)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proceeds from the issuance of Common Stock</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5,171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(140,460)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(16,846)</w:t>
            </w:r>
          </w:p>
        </w:tc>
        <w:tc>
          <w:tcPr>
            <w:tcW w:w="0" w:type="dxa"/>
            <w:vAlign w:val="bottom"/>
          </w:tcPr>
          <w:p>
            <w:pPr>
              <w:spacing w:after="0"/>
              <w:rPr>
                <w:sz w:val="1"/>
                <w:szCs w:val="1"/>
                <w:color w:val="auto"/>
              </w:rPr>
            </w:pPr>
          </w:p>
        </w:tc>
      </w:tr>
      <w:tr>
        <w:trPr>
          <w:trHeight w:val="20"/>
        </w:trPr>
        <w:tc>
          <w:tcPr>
            <w:tcW w:w="9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237,876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184,508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97,416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167,662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21"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2006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 Share Data</w:t>
      </w:r>
    </w:p>
    <w:p>
      <w:pPr>
        <w:spacing w:after="0" w:line="121"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Company’s basic and diluted net loss per share amounts have been computed by dividing net loss by the weighted average number of shares of Common Stock and Class A Stock outstanding. Net loss per share is presented on a combined basis, inclusive of Common Stock and Class A Stock outstanding, as each class of stock has equivalent economic rights. For the three and nine months ended September 30, 2007 and 2006, the Company reported net losses;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color w:val="auto"/>
                <w:w w:val="97"/>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color w:val="auto"/>
              </w:rPr>
              <w:t>2007</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3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9"/>
              </w:rPr>
              <w:t>(35,838)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(27,410)</w:t>
            </w:r>
          </w:p>
        </w:tc>
        <w:tc>
          <w:tcPr>
            <w:tcW w:w="0" w:type="dxa"/>
            <w:vAlign w:val="bottom"/>
          </w:tcPr>
          <w:p>
            <w:pPr>
              <w:spacing w:after="0"/>
              <w:rPr>
                <w:sz w:val="1"/>
                <w:szCs w:val="1"/>
                <w:color w:val="auto"/>
              </w:rPr>
            </w:pP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Weighted-average shares, in thousands (Denominator)</w:t>
            </w:r>
          </w:p>
        </w:tc>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257"/>
              <w:spacing w:after="0"/>
              <w:rPr>
                <w:sz w:val="20"/>
                <w:szCs w:val="20"/>
                <w:color w:val="auto"/>
              </w:rPr>
            </w:pPr>
            <w:r>
              <w:rPr>
                <w:rFonts w:ascii="Arial" w:cs="Arial" w:eastAsia="Arial" w:hAnsi="Arial"/>
                <w:sz w:val="18"/>
                <w:szCs w:val="18"/>
                <w:color w:val="auto"/>
                <w:w w:val="98"/>
              </w:rPr>
              <w:t>66,069</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57,011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color w:val="auto"/>
                <w:w w:val="9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color w:val="auto"/>
              </w:rPr>
              <w:t>2007</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3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9"/>
              </w:rPr>
              <w:t>(92,529)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(71,366)</w:t>
            </w:r>
          </w:p>
        </w:tc>
        <w:tc>
          <w:tcPr>
            <w:tcW w:w="0" w:type="dxa"/>
            <w:vAlign w:val="bottom"/>
          </w:tcPr>
          <w:p>
            <w:pPr>
              <w:spacing w:after="0"/>
              <w:rPr>
                <w:sz w:val="1"/>
                <w:szCs w:val="1"/>
                <w:color w:val="auto"/>
              </w:rPr>
            </w:pP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Weighted-average shares, in thousands (Denominator)</w:t>
            </w:r>
          </w:p>
        </w:tc>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257"/>
              <w:spacing w:after="0"/>
              <w:rPr>
                <w:sz w:val="20"/>
                <w:szCs w:val="20"/>
                <w:color w:val="auto"/>
              </w:rPr>
            </w:pPr>
            <w:r>
              <w:rPr>
                <w:rFonts w:ascii="Arial" w:cs="Arial" w:eastAsia="Arial" w:hAnsi="Arial"/>
                <w:sz w:val="18"/>
                <w:szCs w:val="18"/>
                <w:color w:val="auto"/>
                <w:w w:val="98"/>
              </w:rPr>
              <w:t>65,861</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56,884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9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560" w:type="dxa"/>
            <w:vAlign w:val="bottom"/>
          </w:tcPr>
          <w:p>
            <w:pPr>
              <w:jc w:val="right"/>
              <w:ind w:right="251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Shares issuable upon the exercise of stock options, vesting of restricted stock awards, and conversion of convertible debt, which have been excluded from the September 30, 2007 and 2006 diluted per share amounts because their effect would have been antidilutive, include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color w:val="auto"/>
                <w:w w:val="94"/>
              </w:rPr>
              <w:t>Three months ended September 30,</w:t>
            </w:r>
          </w:p>
        </w:tc>
      </w:tr>
      <w:tr>
        <w:trPr>
          <w:trHeight w:val="142"/>
        </w:trPr>
        <w:tc>
          <w:tcPr>
            <w:tcW w:w="85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color w:val="auto"/>
              </w:rPr>
              <w:t>2007</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2006</w:t>
            </w: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tcPr>
          <w:p>
            <w:pPr>
              <w:spacing w:after="0"/>
              <w:rPr>
                <w:sz w:val="18"/>
                <w:szCs w:val="18"/>
                <w:color w:val="auto"/>
              </w:rPr>
            </w:pPr>
          </w:p>
        </w:tc>
        <w:tc>
          <w:tcPr>
            <w:tcW w:w="840" w:type="dxa"/>
            <w:vAlign w:val="bottom"/>
          </w:tcPr>
          <w:p>
            <w:pPr>
              <w:jc w:val="right"/>
              <w:ind w:right="256"/>
              <w:spacing w:after="0"/>
              <w:rPr>
                <w:sz w:val="20"/>
                <w:szCs w:val="20"/>
                <w:color w:val="auto"/>
              </w:rPr>
            </w:pPr>
            <w:r>
              <w:rPr>
                <w:rFonts w:ascii="Arial" w:cs="Arial" w:eastAsia="Arial" w:hAnsi="Arial"/>
                <w:sz w:val="18"/>
                <w:szCs w:val="18"/>
                <w:color w:val="auto"/>
                <w:w w:val="87"/>
              </w:rPr>
              <w:t>15,153</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3"/>
              <w:spacing w:after="0"/>
              <w:rPr>
                <w:sz w:val="20"/>
                <w:szCs w:val="20"/>
                <w:color w:val="auto"/>
              </w:rPr>
            </w:pPr>
            <w:r>
              <w:rPr>
                <w:rFonts w:ascii="Arial" w:cs="Arial" w:eastAsia="Arial" w:hAnsi="Arial"/>
                <w:sz w:val="18"/>
                <w:szCs w:val="18"/>
                <w:color w:val="auto"/>
                <w:w w:val="87"/>
              </w:rPr>
              <w:t>14,082</w:t>
            </w: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exercise price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16.01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14.35</w:t>
            </w:r>
          </w:p>
        </w:tc>
      </w:tr>
      <w:tr>
        <w:trPr>
          <w:trHeight w:val="432"/>
        </w:trPr>
        <w:tc>
          <w:tcPr>
            <w:tcW w:w="8500" w:type="dxa"/>
            <w:vAlign w:val="bottom"/>
          </w:tcPr>
          <w:p>
            <w:pPr>
              <w:spacing w:after="0"/>
              <w:rPr>
                <w:sz w:val="20"/>
                <w:szCs w:val="20"/>
                <w:color w:val="auto"/>
              </w:rPr>
            </w:pPr>
            <w:r>
              <w:rPr>
                <w:rFonts w:ascii="Arial" w:cs="Arial" w:eastAsia="Arial" w:hAnsi="Arial"/>
                <w:sz w:val="18"/>
                <w:szCs w:val="18"/>
                <w:color w:val="auto"/>
              </w:rPr>
              <w:t>Convertible Debt:</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6,611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6,611</w:t>
            </w:r>
          </w:p>
        </w:tc>
      </w:tr>
      <w:tr>
        <w:trPr>
          <w:trHeight w:val="230"/>
        </w:trPr>
        <w:tc>
          <w:tcPr>
            <w:tcW w:w="8500" w:type="dxa"/>
            <w:vAlign w:val="bottom"/>
          </w:tcPr>
          <w:p>
            <w:pPr>
              <w:ind w:left="220"/>
              <w:spacing w:after="0"/>
              <w:rPr>
                <w:sz w:val="20"/>
                <w:szCs w:val="20"/>
                <w:color w:val="auto"/>
              </w:rPr>
            </w:pPr>
            <w:r>
              <w:rPr>
                <w:rFonts w:ascii="Arial" w:cs="Arial" w:eastAsia="Arial" w:hAnsi="Arial"/>
                <w:sz w:val="18"/>
                <w:szCs w:val="18"/>
                <w:color w:val="auto"/>
              </w:rPr>
              <w:t>Conversion price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6"/>
              <w:spacing w:after="0"/>
              <w:rPr>
                <w:sz w:val="20"/>
                <w:szCs w:val="20"/>
                <w:color w:val="auto"/>
              </w:rPr>
            </w:pPr>
            <w:r>
              <w:rPr>
                <w:rFonts w:ascii="Arial" w:cs="Arial" w:eastAsia="Arial" w:hAnsi="Arial"/>
                <w:sz w:val="18"/>
                <w:szCs w:val="18"/>
                <w:color w:val="auto"/>
              </w:rPr>
              <w:t>30.25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30.25</w:t>
            </w:r>
          </w:p>
        </w:tc>
      </w:tr>
      <w:tr>
        <w:trPr>
          <w:trHeight w:val="350"/>
        </w:trPr>
        <w:tc>
          <w:tcPr>
            <w:tcW w:w="8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color w:val="auto"/>
                <w:w w:val="96"/>
              </w:rPr>
              <w:t>Nine months ended September 30,</w:t>
            </w:r>
          </w:p>
        </w:tc>
      </w:tr>
      <w:tr>
        <w:trPr>
          <w:trHeight w:val="142"/>
        </w:trPr>
        <w:tc>
          <w:tcPr>
            <w:tcW w:w="85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color w:val="auto"/>
              </w:rPr>
              <w:t>2007</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2006</w:t>
            </w: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tcPr>
          <w:p>
            <w:pPr>
              <w:spacing w:after="0"/>
              <w:rPr>
                <w:sz w:val="18"/>
                <w:szCs w:val="18"/>
                <w:color w:val="auto"/>
              </w:rPr>
            </w:pPr>
          </w:p>
        </w:tc>
        <w:tc>
          <w:tcPr>
            <w:tcW w:w="840" w:type="dxa"/>
            <w:vAlign w:val="bottom"/>
          </w:tcPr>
          <w:p>
            <w:pPr>
              <w:jc w:val="right"/>
              <w:ind w:right="256"/>
              <w:spacing w:after="0"/>
              <w:rPr>
                <w:sz w:val="20"/>
                <w:szCs w:val="20"/>
                <w:color w:val="auto"/>
              </w:rPr>
            </w:pPr>
            <w:r>
              <w:rPr>
                <w:rFonts w:ascii="Arial" w:cs="Arial" w:eastAsia="Arial" w:hAnsi="Arial"/>
                <w:sz w:val="18"/>
                <w:szCs w:val="18"/>
                <w:color w:val="auto"/>
                <w:w w:val="87"/>
              </w:rPr>
              <w:t>15,308</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3"/>
              <w:spacing w:after="0"/>
              <w:rPr>
                <w:sz w:val="20"/>
                <w:szCs w:val="20"/>
                <w:color w:val="auto"/>
              </w:rPr>
            </w:pPr>
            <w:r>
              <w:rPr>
                <w:rFonts w:ascii="Arial" w:cs="Arial" w:eastAsia="Arial" w:hAnsi="Arial"/>
                <w:sz w:val="18"/>
                <w:szCs w:val="18"/>
                <w:color w:val="auto"/>
                <w:w w:val="87"/>
              </w:rPr>
              <w:t>14,220</w:t>
            </w: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exercise price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15.86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14.31</w:t>
            </w:r>
          </w:p>
        </w:tc>
      </w:tr>
      <w:tr>
        <w:trPr>
          <w:trHeight w:val="432"/>
        </w:trPr>
        <w:tc>
          <w:tcPr>
            <w:tcW w:w="8500" w:type="dxa"/>
            <w:vAlign w:val="bottom"/>
          </w:tcPr>
          <w:p>
            <w:pPr>
              <w:spacing w:after="0"/>
              <w:rPr>
                <w:sz w:val="20"/>
                <w:szCs w:val="20"/>
                <w:color w:val="auto"/>
              </w:rPr>
            </w:pPr>
            <w:r>
              <w:rPr>
                <w:rFonts w:ascii="Arial" w:cs="Arial" w:eastAsia="Arial" w:hAnsi="Arial"/>
                <w:sz w:val="18"/>
                <w:szCs w:val="18"/>
                <w:color w:val="auto"/>
              </w:rPr>
              <w:t>Restricted Stock:</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31</w:t>
            </w:r>
          </w:p>
        </w:tc>
      </w:tr>
      <w:tr>
        <w:trPr>
          <w:trHeight w:val="432"/>
        </w:trPr>
        <w:tc>
          <w:tcPr>
            <w:tcW w:w="8500" w:type="dxa"/>
            <w:vAlign w:val="bottom"/>
          </w:tcPr>
          <w:p>
            <w:pPr>
              <w:spacing w:after="0"/>
              <w:rPr>
                <w:sz w:val="20"/>
                <w:szCs w:val="20"/>
                <w:color w:val="auto"/>
              </w:rPr>
            </w:pPr>
            <w:r>
              <w:rPr>
                <w:rFonts w:ascii="Arial" w:cs="Arial" w:eastAsia="Arial" w:hAnsi="Arial"/>
                <w:sz w:val="18"/>
                <w:szCs w:val="18"/>
                <w:color w:val="auto"/>
              </w:rPr>
              <w:t>Convertible Debt:</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6,611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6,611</w:t>
            </w:r>
          </w:p>
        </w:tc>
      </w:tr>
      <w:tr>
        <w:trPr>
          <w:trHeight w:val="230"/>
        </w:trPr>
        <w:tc>
          <w:tcPr>
            <w:tcW w:w="8500" w:type="dxa"/>
            <w:vAlign w:val="bottom"/>
          </w:tcPr>
          <w:p>
            <w:pPr>
              <w:ind w:left="220"/>
              <w:spacing w:after="0"/>
              <w:rPr>
                <w:sz w:val="20"/>
                <w:szCs w:val="20"/>
                <w:color w:val="auto"/>
              </w:rPr>
            </w:pPr>
            <w:r>
              <w:rPr>
                <w:rFonts w:ascii="Arial" w:cs="Arial" w:eastAsia="Arial" w:hAnsi="Arial"/>
                <w:sz w:val="18"/>
                <w:szCs w:val="18"/>
                <w:color w:val="auto"/>
              </w:rPr>
              <w:t>Conversion price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6"/>
              <w:spacing w:after="0"/>
              <w:rPr>
                <w:sz w:val="20"/>
                <w:szCs w:val="20"/>
                <w:color w:val="auto"/>
              </w:rPr>
            </w:pPr>
            <w:r>
              <w:rPr>
                <w:rFonts w:ascii="Arial" w:cs="Arial" w:eastAsia="Arial" w:hAnsi="Arial"/>
                <w:sz w:val="18"/>
                <w:szCs w:val="18"/>
                <w:color w:val="auto"/>
              </w:rPr>
              <w:t>30.25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30.25</w:t>
            </w:r>
          </w:p>
        </w:tc>
      </w:tr>
    </w:tbl>
    <w:p>
      <w:pPr>
        <w:spacing w:after="0" w:line="75"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12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Supplemental disclosure of noncash investing and financing activities:</w:t>
      </w:r>
    </w:p>
    <w:p>
      <w:pPr>
        <w:spacing w:after="0" w:line="117" w:lineRule="exact"/>
        <w:rPr>
          <w:sz w:val="20"/>
          <w:szCs w:val="20"/>
          <w:color w:val="auto"/>
        </w:rPr>
      </w:pPr>
    </w:p>
    <w:p>
      <w:pPr>
        <w:ind w:right="460" w:firstLine="225"/>
        <w:spacing w:after="0" w:line="264" w:lineRule="auto"/>
        <w:rPr>
          <w:sz w:val="20"/>
          <w:szCs w:val="20"/>
          <w:color w:val="auto"/>
        </w:rPr>
      </w:pPr>
      <w:r>
        <w:rPr>
          <w:rFonts w:ascii="Arial" w:cs="Arial" w:eastAsia="Arial" w:hAnsi="Arial"/>
          <w:sz w:val="18"/>
          <w:szCs w:val="18"/>
          <w:color w:val="auto"/>
        </w:rPr>
        <w:t>Included in accounts payable and accrued expenses at September 30, 2007 and December 31, 2006 are $0.9 million and $0.8 million, respectively, of accrued capital expenditures. Included in accounts payable and accrued expenses at September 30, 2006 and December 31, 2005 are $0.4 million and $0.2 million, respectively, of accrued capital expenditures.</w:t>
      </w:r>
    </w:p>
    <w:p>
      <w:pPr>
        <w:spacing w:after="0" w:line="7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Included in accounts payable and accrued expenses at December 31, 2006 and 2005 are $1.4 million and $1.9 million, respectively, of accrued Company 401(k) Savings Plan contribution expense. In the first quarter of 2007 and 2006, the Company contributed 64,532 and 120,960 shares, respectively, of Common Stock to the 401(k) Savings Plan in satisfaction of these obligations.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Included in marketable securities at September 30, 2007 and December 31, 2006 are $2.5 million and $1.5 million, respectively, of accrued interest income. Included in marketable securities at September 30, 2006 and December 31, 2005 are $0.4 million and $1.2 million, respectively, of accrued interest income.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 as of September 30, 2007 and December 31, 2006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the sanofi-aventis Group</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7,075</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Receivable from National Institutes of Health</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2,227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Bayer HealthCare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10,968</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5. Accounts Payable and Accrued Expenses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20" w:type="dxa"/>
            <w:vAlign w:val="bottom"/>
          </w:tcPr>
          <w:p>
            <w:pPr>
              <w:ind w:left="220"/>
              <w:spacing w:after="0"/>
              <w:rPr>
                <w:sz w:val="20"/>
                <w:szCs w:val="20"/>
                <w:color w:val="auto"/>
              </w:rPr>
            </w:pPr>
            <w:r>
              <w:rPr>
                <w:rFonts w:ascii="Arial" w:cs="Arial" w:eastAsia="Arial" w:hAnsi="Arial"/>
                <w:sz w:val="18"/>
                <w:szCs w:val="18"/>
                <w:color w:val="auto"/>
                <w:w w:val="94"/>
              </w:rPr>
              <w:t>Accounts payable and accrued expenses as of September 30, 2007 and December 31, 2006 consist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9020" w:type="dxa"/>
            <w:vAlign w:val="bottom"/>
          </w:tcPr>
          <w:p>
            <w:pPr>
              <w:spacing w:after="0"/>
              <w:rPr>
                <w:sz w:val="24"/>
                <w:szCs w:val="24"/>
                <w:color w:val="auto"/>
              </w:rPr>
            </w:pPr>
          </w:p>
        </w:tc>
        <w:tc>
          <w:tcPr>
            <w:tcW w:w="1160" w:type="dxa"/>
            <w:vAlign w:val="bottom"/>
            <w:gridSpan w:val="5"/>
          </w:tcPr>
          <w:p>
            <w:pPr>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5,330</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7,837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9,932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Accrued expenses, 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4,579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convertible notes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Loss</w:t>
      </w:r>
    </w:p>
    <w:p>
      <w:pPr>
        <w:spacing w:after="0" w:line="12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(loss) on marketable securities. The net effect of income taxes on comprehensive loss is immaterial. For the three and nine months ended September 30, 2007 and 2006, the components of comprehensive loss are: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40" w:type="dxa"/>
            <w:vAlign w:val="bottom"/>
          </w:tcPr>
          <w:p>
            <w:pPr>
              <w:spacing w:after="0"/>
              <w:rPr>
                <w:sz w:val="14"/>
                <w:szCs w:val="14"/>
                <w:color w:val="auto"/>
              </w:rPr>
            </w:pPr>
          </w:p>
        </w:tc>
        <w:tc>
          <w:tcPr>
            <w:tcW w:w="4580" w:type="dxa"/>
            <w:vAlign w:val="bottom"/>
            <w:gridSpan w:val="6"/>
          </w:tcPr>
          <w:p>
            <w:pPr>
              <w:jc w:val="right"/>
              <w:ind w:right="100"/>
              <w:spacing w:after="0"/>
              <w:rPr>
                <w:sz w:val="20"/>
                <w:szCs w:val="20"/>
                <w:color w:val="auto"/>
              </w:rPr>
            </w:pPr>
            <w:r>
              <w:rPr>
                <w:rFonts w:ascii="Arial" w:cs="Arial" w:eastAsia="Arial" w:hAnsi="Arial"/>
                <w:sz w:val="14"/>
                <w:szCs w:val="14"/>
                <w:color w:val="auto"/>
              </w:rPr>
              <w:t>Three months ended September 30,</w:t>
            </w:r>
          </w:p>
        </w:tc>
      </w:tr>
      <w:tr>
        <w:trPr>
          <w:trHeight w:val="142"/>
        </w:trPr>
        <w:tc>
          <w:tcPr>
            <w:tcW w:w="6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(35,838)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(27,410)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4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511</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378</w:t>
            </w:r>
          </w:p>
        </w:tc>
      </w:tr>
      <w:tr>
        <w:trPr>
          <w:trHeight w:val="27"/>
        </w:trPr>
        <w:tc>
          <w:tcPr>
            <w:tcW w:w="6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comprehensive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(35,327)</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(27,032)</w:t>
            </w:r>
          </w:p>
        </w:tc>
      </w:tr>
      <w:tr>
        <w:trPr>
          <w:trHeight w:val="20"/>
        </w:trPr>
        <w:tc>
          <w:tcPr>
            <w:tcW w:w="6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40" w:type="dxa"/>
            <w:vAlign w:val="bottom"/>
            <w:gridSpan w:val="5"/>
          </w:tcPr>
          <w:p>
            <w:pPr>
              <w:jc w:val="right"/>
              <w:ind w:right="140"/>
              <w:spacing w:after="0"/>
              <w:rPr>
                <w:sz w:val="20"/>
                <w:szCs w:val="20"/>
                <w:color w:val="auto"/>
              </w:rPr>
            </w:pPr>
            <w:r>
              <w:rPr>
                <w:rFonts w:ascii="Arial" w:cs="Arial" w:eastAsia="Arial" w:hAnsi="Arial"/>
                <w:sz w:val="14"/>
                <w:szCs w:val="14"/>
                <w:color w:val="auto"/>
                <w:w w:val="91"/>
              </w:rPr>
              <w:t>Nine months ended September 30,</w:t>
            </w:r>
          </w:p>
        </w:tc>
      </w:tr>
      <w:tr>
        <w:trPr>
          <w:trHeight w:val="142"/>
        </w:trPr>
        <w:tc>
          <w:tcPr>
            <w:tcW w:w="6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(92,529)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(71,366)</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4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226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375</w:t>
            </w:r>
          </w:p>
        </w:tc>
      </w:tr>
      <w:tr>
        <w:trPr>
          <w:trHeight w:val="27"/>
        </w:trPr>
        <w:tc>
          <w:tcPr>
            <w:tcW w:w="6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comprehensive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(92,303)</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(70,991)</w:t>
            </w:r>
          </w:p>
        </w:tc>
      </w:tr>
      <w:tr>
        <w:trPr>
          <w:trHeight w:val="20"/>
        </w:trPr>
        <w:tc>
          <w:tcPr>
            <w:tcW w:w="6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Accounting for Collaboration with Bayer HealthCare</w:t>
      </w:r>
    </w:p>
    <w:p>
      <w:pPr>
        <w:spacing w:after="0" w:line="121"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In October 2006, the Company entered into a license and collaboration agreement with Bayer HealthCare LLC to globally develop, and commercialize outside the United States, the Company’s VEGF Trap for the treatment of eye disease by local administration (“VEGF Trap-Eye”). Under the terms of the agreement, Bayer made a non-refundable up-front payment to the Company of $75.0 million. In 2007, agreed upon VEGF Trap-Eye development expenses incurred by both companies under a global development plan will be shared as follows: Up to the first $50.0 million will be shared equally; Regeneron is solely responsible for the next $40.0 million; over $90.0 million will be shared equally. Through September 30, 2007, reimbursements from Bayer HealthCare of the Company’s VEGF Trap-Eye development expenses totaled $12.9 million, of which $1.4 million was receivable at September 30, 2007. Neither party was reimbursed for any development expenses that it incurred prior to 2007. In addition, in August 2007, the Company received a $20.0 million milestone payment from Bayer HealthCare following dosing of the first patient in the Phase 3 study of the VEGF Trap-Eye in the neovascular form of age-related macular degeneration (“wet AMD”).</w:t>
      </w:r>
    </w:p>
    <w:p>
      <w:pPr>
        <w:spacing w:after="0" w:line="89"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The Company and Bayer HealthCare are currently formalizing the global development plans for the VEGF Trap-Eye in wet AMD and diabetic macular edema. The plans will include estimated development steps, timelines, and costs, as well as the projected responsibilities of and costs to be incurred by each of the companies. Pending completion of these plans, all payments received or receivable by the Company from Bayer HealthCare through September 30, 2007, totaling $107.9 million, have been fully deferred and included in deferred revenue for financial statement purposes. When the plans are formalized later this year, the Company will determine the appropriate accounting policy for payments from Bayer HealthCare and the financial statement classifications and periods in which past and future payments (including the $75.0 million up-front payment, development and regulatory milestone payments, and reimbursements of Regeneron development expenses) will be recognized in the Company’s Statement of Operations. In the period when the Company commences recognizing previously deferred payments from Bayer HealthCare, the Company anticipates recording a cumulative catch-up for the period since inception of the collaboration in October 2006, which cannot be quantified at this time.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2007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17"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 xml:space="preserve">In February 2007, the Company entered into a non-exclusive license agreement with AstraZeneca UK Limited that allows AstraZeneca to utilize the Company’s </w:t>
      </w:r>
      <w:r>
        <w:rPr>
          <w:rFonts w:ascii="Arial" w:cs="Arial" w:eastAsia="Arial" w:hAnsi="Arial"/>
          <w:sz w:val="17"/>
          <w:szCs w:val="17"/>
          <w:i w:val="1"/>
          <w:iCs w:val="1"/>
          <w:color w:val="auto"/>
        </w:rPr>
        <w:t>VelocImmune</w:t>
      </w:r>
      <w:r>
        <w:rPr>
          <w:rFonts w:ascii="Arial" w:cs="Arial" w:eastAsia="Arial" w:hAnsi="Arial"/>
          <w:sz w:val="14"/>
          <w:szCs w:val="14"/>
          <w:color w:val="auto"/>
        </w:rPr>
        <w:t>®</w:t>
      </w:r>
      <w:r>
        <w:rPr>
          <w:rFonts w:ascii="Arial" w:cs="Arial" w:eastAsia="Arial" w:hAnsi="Arial"/>
          <w:sz w:val="17"/>
          <w:szCs w:val="17"/>
          <w:color w:val="auto"/>
        </w:rPr>
        <w:t xml:space="preserve"> technology in its internal research programs to discover human monoclonal antibodies. Under the terms of the agreement, AstraZeneca made a $20.0 million non-refundable up-front payment to the Company which was deferred and is being recognized as revenue ratably over the twelve month period beginning in February 2007. AstraZeneca also will make up to five additional annual payments of $20.0 million, subject to its ability to terminate the agreement after making the first three additional payments or earlier if the technology does not meet minimum performance criteria. These additional payments will be recognized as revenue ratably over their respective annual license periods. The Company is entitled to receive a mid-single-digit royalty on any future sales of antibody products discovered by AstraZeneca using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For the nine months ended September 30, 2007, the Company recognized $12.1 million of revenue in connection with the AstraZeneca license agreement. At September 30, 2007, deferred revenue was $7.9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March 2007, the Company entered into a non-exclusive license agreement with Astellas Pharma Inc. that allows Astellas to utilize the Company’s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VelocImmune </w:t>
      </w:r>
      <w:r>
        <w:rPr>
          <w:rFonts w:ascii="Arial" w:cs="Arial" w:eastAsia="Arial" w:hAnsi="Arial"/>
          <w:sz w:val="16"/>
          <w:szCs w:val="16"/>
          <w:color w:val="auto"/>
        </w:rPr>
        <w:t>technology in its internal research programs to discover human monoclonal antibodies. Under the terms of the agreement, Astellas made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non-refundable up-front payment to the Company, which was deferred and is being recognized as revenue ratably over the twelve month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beginning in June 2007. Astellas also will make up to five additional annual payments of $20.0 million, subject to its ability to terminate the agreement after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making the first three additional payments or earlier if the technology does not meet minimum performance criteria. These additional payments will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recognized as revenue ratably over their respective annual license periods. The Company is entitled to receive a mid-single-digit royalty on any future sales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antibody products discovered by Astellas using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For the nine months ended September 30, 2007,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recognized $6.3 million of revenue in connection with the Astellas license agreement. At September 30, 2007, deferred revenue was $13.7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360" w:firstLine="225"/>
        <w:spacing w:after="0" w:line="308" w:lineRule="auto"/>
        <w:rPr>
          <w:sz w:val="20"/>
          <w:szCs w:val="20"/>
          <w:color w:val="auto"/>
        </w:rPr>
      </w:pPr>
      <w:r>
        <w:rPr>
          <w:rFonts w:ascii="Arial" w:cs="Arial" w:eastAsia="Arial" w:hAnsi="Arial"/>
          <w:sz w:val="17"/>
          <w:szCs w:val="17"/>
          <w:color w:val="auto"/>
        </w:rPr>
        <w:t xml:space="preserve">Effective January 1, 2007, the Company adopted the provisions of Financial Accounting Standards Board (“FASB”) Interpretation No. 48 (“FIN 48”), </w:t>
      </w:r>
      <w:r>
        <w:rPr>
          <w:rFonts w:ascii="Arial" w:cs="Arial" w:eastAsia="Arial" w:hAnsi="Arial"/>
          <w:sz w:val="17"/>
          <w:szCs w:val="17"/>
          <w:i w:val="1"/>
          <w:iCs w:val="1"/>
          <w:color w:val="auto"/>
        </w:rPr>
        <w:t xml:space="preserve">Accounting for Uncertainty in Income Taxes — an interpretation of FASB Statement No. 109. </w:t>
      </w:r>
      <w:r>
        <w:rPr>
          <w:rFonts w:ascii="Arial" w:cs="Arial" w:eastAsia="Arial" w:hAnsi="Arial"/>
          <w:sz w:val="17"/>
          <w:szCs w:val="17"/>
          <w:color w:val="auto"/>
        </w:rPr>
        <w:t>The implementation of FIN 48 had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 impact on the Company’s financial statements as the Company has no unrecognized tax benefits.</w:t>
      </w:r>
    </w:p>
    <w:p>
      <w:pPr>
        <w:spacing w:after="0" w:line="117" w:lineRule="exact"/>
        <w:rPr>
          <w:sz w:val="20"/>
          <w:szCs w:val="20"/>
          <w:color w:val="auto"/>
        </w:rPr>
      </w:pPr>
    </w:p>
    <w:p>
      <w:pPr>
        <w:ind w:right="660" w:firstLine="222"/>
        <w:spacing w:after="0" w:line="277" w:lineRule="auto"/>
        <w:rPr>
          <w:sz w:val="20"/>
          <w:szCs w:val="20"/>
          <w:color w:val="auto"/>
        </w:rPr>
      </w:pPr>
      <w:r>
        <w:rPr>
          <w:rFonts w:ascii="Arial" w:cs="Arial" w:eastAsia="Arial" w:hAnsi="Arial"/>
          <w:sz w:val="18"/>
          <w:szCs w:val="18"/>
          <w:color w:val="auto"/>
        </w:rPr>
        <w:t>The Company is primarily subject to U.S. federal and New York State income tax. The Company’s 1992 and subsequent tax years remain open to examination by U.S. federal and state tax authorities.</w:t>
      </w:r>
    </w:p>
    <w:p>
      <w:pPr>
        <w:spacing w:after="0" w:line="62"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As of January 1 and September 30, 2007, the Company had no accruals for interest or penalties related to income tax matters.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Legal Matters</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The Company does not expect any such current legal proceedings to have a material adverse effect on the Company’s business or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Through 2006, the Company’s operations were managed in two business segments: research and development, and contract manufacturing.</w:t>
      </w:r>
    </w:p>
    <w:p>
      <w:pPr>
        <w:spacing w:after="0" w:line="129"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Research and development: Includes all activities related to the discovery of pharmaceutical products for the treatment of serious medical conditions, and the development and commercialization of these discoveries. Also includes revenues and expenses related to activities conducted under contract research and technology licensing agreements.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Contract manufacturing: Includes all revenues and expenses related to the commercial production of products under contract manufacturing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2006, the Company produced a vaccine intermediate for Merck &amp; Co., Inc. under a manufacturing agreement, which expired in October 2006.</w:t>
      </w:r>
    </w:p>
    <w:p>
      <w:pPr>
        <w:spacing w:after="0" w:line="114"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Due to the expiration of the Company’s manufacturing agreement with Merck in October 2006, beginning in 2007, the Company only has a research and development business segment. Therefore, segment information has not been provided for 2007 in the table below.</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information about reported segments for the three and nine months ended September 30, 2006.</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color w:val="auto"/>
                <w:w w:val="94"/>
              </w:rPr>
              <w:t>Three months ended September 30, 2006</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23"/>
        </w:trPr>
        <w:tc>
          <w:tcPr>
            <w:tcW w:w="6080" w:type="dxa"/>
            <w:vAlign w:val="bottom"/>
          </w:tcPr>
          <w:p>
            <w:pPr>
              <w:spacing w:after="0"/>
              <w:rPr>
                <w:sz w:val="10"/>
                <w:szCs w:val="10"/>
                <w:color w:val="auto"/>
              </w:rPr>
            </w:pPr>
          </w:p>
        </w:tc>
        <w:tc>
          <w:tcPr>
            <w:tcW w:w="1240" w:type="dxa"/>
            <w:vAlign w:val="bottom"/>
          </w:tcPr>
          <w:p>
            <w:pPr>
              <w:jc w:val="center"/>
              <w:spacing w:after="0" w:line="123" w:lineRule="exact"/>
              <w:rPr>
                <w:sz w:val="20"/>
                <w:szCs w:val="20"/>
                <w:color w:val="auto"/>
              </w:rPr>
            </w:pPr>
            <w:r>
              <w:rPr>
                <w:rFonts w:ascii="Arial" w:cs="Arial" w:eastAsia="Arial" w:hAnsi="Arial"/>
                <w:sz w:val="14"/>
                <w:szCs w:val="14"/>
                <w:color w:val="auto"/>
                <w:w w:val="92"/>
              </w:rPr>
              <w:t>Research &amp;</w:t>
            </w:r>
          </w:p>
        </w:tc>
        <w:tc>
          <w:tcPr>
            <w:tcW w:w="120" w:type="dxa"/>
            <w:vAlign w:val="bottom"/>
          </w:tcPr>
          <w:p>
            <w:pPr>
              <w:spacing w:after="0"/>
              <w:rPr>
                <w:sz w:val="10"/>
                <w:szCs w:val="10"/>
                <w:color w:val="auto"/>
              </w:rPr>
            </w:pPr>
          </w:p>
        </w:tc>
        <w:tc>
          <w:tcPr>
            <w:tcW w:w="1240" w:type="dxa"/>
            <w:vAlign w:val="bottom"/>
          </w:tcPr>
          <w:p>
            <w:pPr>
              <w:jc w:val="center"/>
              <w:spacing w:after="0" w:line="123" w:lineRule="exact"/>
              <w:rPr>
                <w:sz w:val="20"/>
                <w:szCs w:val="20"/>
                <w:color w:val="auto"/>
              </w:rPr>
            </w:pPr>
            <w:r>
              <w:rPr>
                <w:rFonts w:ascii="Arial" w:cs="Arial" w:eastAsia="Arial" w:hAnsi="Arial"/>
                <w:sz w:val="14"/>
                <w:szCs w:val="14"/>
                <w:color w:val="auto"/>
                <w:w w:val="94"/>
              </w:rPr>
              <w:t>Contract</w:t>
            </w:r>
          </w:p>
        </w:tc>
        <w:tc>
          <w:tcPr>
            <w:tcW w:w="100" w:type="dxa"/>
            <w:vAlign w:val="bottom"/>
          </w:tcPr>
          <w:p>
            <w:pPr>
              <w:spacing w:after="0"/>
              <w:rPr>
                <w:sz w:val="10"/>
                <w:szCs w:val="10"/>
                <w:color w:val="auto"/>
              </w:rPr>
            </w:pPr>
          </w:p>
        </w:tc>
        <w:tc>
          <w:tcPr>
            <w:tcW w:w="12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Reconciling</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67"/>
        </w:trPr>
        <w:tc>
          <w:tcPr>
            <w:tcW w:w="60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Development</w:t>
            </w: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Manufacturing</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color w:val="auto"/>
                <w:w w:val="93"/>
              </w:rPr>
              <w:t>Items</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Total</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$ 11,448</w:t>
            </w:r>
          </w:p>
        </w:tc>
        <w:tc>
          <w:tcPr>
            <w:tcW w:w="13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  4,176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15,624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jc w:val="right"/>
              <w:ind w:right="234"/>
              <w:spacing w:after="0"/>
              <w:rPr>
                <w:sz w:val="20"/>
                <w:szCs w:val="20"/>
                <w:color w:val="auto"/>
              </w:rPr>
            </w:pPr>
            <w:r>
              <w:rPr>
                <w:rFonts w:ascii="Arial" w:cs="Arial" w:eastAsia="Arial" w:hAnsi="Arial"/>
                <w:sz w:val="18"/>
                <w:szCs w:val="18"/>
                <w:color w:val="auto"/>
              </w:rPr>
              <w:t>3,447</w:t>
            </w:r>
          </w:p>
        </w:tc>
        <w:tc>
          <w:tcPr>
            <w:tcW w:w="12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3,708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2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4,632</w:t>
            </w:r>
          </w:p>
        </w:tc>
        <w:tc>
          <w:tcPr>
            <w:tcW w:w="13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4,762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Interest expense</w:t>
            </w:r>
          </w:p>
        </w:tc>
        <w:tc>
          <w:tcPr>
            <w:tcW w:w="12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3,011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3,011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(29,379)</w:t>
            </w:r>
          </w:p>
        </w:tc>
        <w:tc>
          <w:tcPr>
            <w:tcW w:w="13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847</w:t>
            </w: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2"/>
              </w:rPr>
              <w:t>(27,410)</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Capital expenditures</w:t>
            </w:r>
          </w:p>
        </w:tc>
        <w:tc>
          <w:tcPr>
            <w:tcW w:w="1240" w:type="dxa"/>
            <w:vAlign w:val="bottom"/>
          </w:tcPr>
          <w:p>
            <w:pPr>
              <w:jc w:val="right"/>
              <w:ind w:right="234"/>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0"/>
                <w:szCs w:val="20"/>
                <w:color w:val="auto"/>
              </w:rPr>
            </w:pPr>
          </w:p>
        </w:tc>
        <w:tc>
          <w:tcPr>
            <w:tcW w:w="124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441</w:t>
            </w:r>
          </w:p>
        </w:tc>
      </w:tr>
      <w:tr>
        <w:trPr>
          <w:trHeight w:val="350"/>
        </w:trPr>
        <w:tc>
          <w:tcPr>
            <w:tcW w:w="60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color w:val="auto"/>
                <w:w w:val="96"/>
              </w:rPr>
              <w:t>Nine months ended September 30, 2006</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23"/>
        </w:trPr>
        <w:tc>
          <w:tcPr>
            <w:tcW w:w="6080" w:type="dxa"/>
            <w:vAlign w:val="bottom"/>
          </w:tcPr>
          <w:p>
            <w:pPr>
              <w:spacing w:after="0"/>
              <w:rPr>
                <w:sz w:val="10"/>
                <w:szCs w:val="10"/>
                <w:color w:val="auto"/>
              </w:rPr>
            </w:pPr>
          </w:p>
        </w:tc>
        <w:tc>
          <w:tcPr>
            <w:tcW w:w="1240" w:type="dxa"/>
            <w:vAlign w:val="bottom"/>
          </w:tcPr>
          <w:p>
            <w:pPr>
              <w:jc w:val="center"/>
              <w:spacing w:after="0" w:line="123" w:lineRule="exact"/>
              <w:rPr>
                <w:sz w:val="20"/>
                <w:szCs w:val="20"/>
                <w:color w:val="auto"/>
              </w:rPr>
            </w:pPr>
            <w:r>
              <w:rPr>
                <w:rFonts w:ascii="Arial" w:cs="Arial" w:eastAsia="Arial" w:hAnsi="Arial"/>
                <w:sz w:val="14"/>
                <w:szCs w:val="14"/>
                <w:color w:val="auto"/>
                <w:w w:val="92"/>
              </w:rPr>
              <w:t>Research &amp;</w:t>
            </w:r>
          </w:p>
        </w:tc>
        <w:tc>
          <w:tcPr>
            <w:tcW w:w="120" w:type="dxa"/>
            <w:vAlign w:val="bottom"/>
          </w:tcPr>
          <w:p>
            <w:pPr>
              <w:spacing w:after="0"/>
              <w:rPr>
                <w:sz w:val="10"/>
                <w:szCs w:val="10"/>
                <w:color w:val="auto"/>
              </w:rPr>
            </w:pPr>
          </w:p>
        </w:tc>
        <w:tc>
          <w:tcPr>
            <w:tcW w:w="1240" w:type="dxa"/>
            <w:vAlign w:val="bottom"/>
          </w:tcPr>
          <w:p>
            <w:pPr>
              <w:jc w:val="center"/>
              <w:spacing w:after="0" w:line="123" w:lineRule="exact"/>
              <w:rPr>
                <w:sz w:val="20"/>
                <w:szCs w:val="20"/>
                <w:color w:val="auto"/>
              </w:rPr>
            </w:pPr>
            <w:r>
              <w:rPr>
                <w:rFonts w:ascii="Arial" w:cs="Arial" w:eastAsia="Arial" w:hAnsi="Arial"/>
                <w:sz w:val="14"/>
                <w:szCs w:val="14"/>
                <w:color w:val="auto"/>
                <w:w w:val="94"/>
              </w:rPr>
              <w:t>Contract</w:t>
            </w:r>
          </w:p>
        </w:tc>
        <w:tc>
          <w:tcPr>
            <w:tcW w:w="100" w:type="dxa"/>
            <w:vAlign w:val="bottom"/>
          </w:tcPr>
          <w:p>
            <w:pPr>
              <w:spacing w:after="0"/>
              <w:rPr>
                <w:sz w:val="10"/>
                <w:szCs w:val="10"/>
                <w:color w:val="auto"/>
              </w:rPr>
            </w:pPr>
          </w:p>
        </w:tc>
        <w:tc>
          <w:tcPr>
            <w:tcW w:w="12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Reconciling</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67"/>
        </w:trPr>
        <w:tc>
          <w:tcPr>
            <w:tcW w:w="60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Development</w:t>
            </w: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Manufacturing</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color w:val="auto"/>
                <w:w w:val="93"/>
              </w:rPr>
              <w:t>Items</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Total</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$ 41,026</w:t>
            </w:r>
          </w:p>
        </w:tc>
        <w:tc>
          <w:tcPr>
            <w:tcW w:w="13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$ 12,075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53,101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jc w:val="right"/>
              <w:ind w:right="234"/>
              <w:spacing w:after="0"/>
              <w:rPr>
                <w:sz w:val="20"/>
                <w:szCs w:val="20"/>
                <w:color w:val="auto"/>
              </w:rPr>
            </w:pPr>
            <w:r>
              <w:rPr>
                <w:rFonts w:ascii="Arial" w:cs="Arial" w:eastAsia="Arial" w:hAnsi="Arial"/>
                <w:sz w:val="18"/>
                <w:szCs w:val="18"/>
                <w:color w:val="auto"/>
              </w:rPr>
              <w:t>10,413</w:t>
            </w:r>
          </w:p>
        </w:tc>
        <w:tc>
          <w:tcPr>
            <w:tcW w:w="12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11,196</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2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13,220</w:t>
            </w:r>
          </w:p>
        </w:tc>
        <w:tc>
          <w:tcPr>
            <w:tcW w:w="13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(813)</w:t>
            </w:r>
            <w:r>
              <w:rPr>
                <w:rFonts w:ascii="Arial" w:cs="Arial" w:eastAsia="Arial" w:hAnsi="Arial"/>
                <w:sz w:val="15"/>
                <w:szCs w:val="15"/>
                <w:color w:val="auto"/>
              </w:rPr>
              <w:t>(3)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12,729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Interest expense</w:t>
            </w:r>
          </w:p>
        </w:tc>
        <w:tc>
          <w:tcPr>
            <w:tcW w:w="12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9,033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9,033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(78,528)</w:t>
            </w:r>
          </w:p>
        </w:tc>
        <w:tc>
          <w:tcPr>
            <w:tcW w:w="13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4,359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2,803</w:t>
            </w: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2"/>
              </w:rPr>
              <w:t>(71,366)</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Capital expenditures</w:t>
            </w:r>
          </w:p>
        </w:tc>
        <w:tc>
          <w:tcPr>
            <w:tcW w:w="1240" w:type="dxa"/>
            <w:vAlign w:val="bottom"/>
          </w:tcPr>
          <w:p>
            <w:pPr>
              <w:jc w:val="right"/>
              <w:ind w:right="234"/>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1,409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57,530</w:t>
            </w:r>
          </w:p>
        </w:tc>
        <w:tc>
          <w:tcPr>
            <w:tcW w:w="13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8"/>
              </w:rPr>
              <w:t>296,211</w:t>
            </w:r>
            <w:r>
              <w:rPr>
                <w:rFonts w:ascii="Arial" w:cs="Arial" w:eastAsia="Arial" w:hAnsi="Arial"/>
                <w:sz w:val="15"/>
                <w:szCs w:val="15"/>
                <w:color w:val="auto"/>
                <w:w w:val="88"/>
              </w:rPr>
              <w:t>(4)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6"/>
              </w:rPr>
              <w:t>355,186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Depreciation and amortization related to contract manufacturing was capitalized into inventory and included in contract manufacturing expense when the product was shipped.</w:t>
      </w:r>
    </w:p>
    <w:p>
      <w:pPr>
        <w:spacing w:after="0" w:line="21" w:lineRule="exact"/>
        <w:rPr>
          <w:rFonts w:ascii="Arial" w:cs="Arial" w:eastAsia="Arial" w:hAnsi="Arial"/>
          <w:sz w:val="15"/>
          <w:szCs w:val="15"/>
          <w:color w:val="auto"/>
        </w:rPr>
      </w:pPr>
    </w:p>
    <w:p>
      <w:pPr>
        <w:ind w:left="460" w:right="260" w:hanging="452"/>
        <w:spacing w:after="0" w:line="264"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 xml:space="preserve">Represents investment income, net of interest expense related primarily to convertible notes issued in October 2001. For the nine months ended September 30, 2006, also includes the cumulative effect of adopting Statement of Financial Accounting Standards No. (“SFAS”) 123R,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w:t>
      </w:r>
    </w:p>
    <w:p>
      <w:pPr>
        <w:spacing w:after="0" w:line="32" w:lineRule="exact"/>
        <w:rPr>
          <w:rFonts w:ascii="Arial" w:cs="Arial" w:eastAsia="Arial" w:hAnsi="Arial"/>
          <w:sz w:val="15"/>
          <w:szCs w:val="15"/>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Represents the cumulative effect of adopting SFAS 123R.</w:t>
      </w:r>
    </w:p>
    <w:p>
      <w:pPr>
        <w:spacing w:after="0" w:line="76" w:lineRule="exact"/>
        <w:rPr>
          <w:rFonts w:ascii="Arial" w:cs="Arial" w:eastAsia="Arial" w:hAnsi="Arial"/>
          <w:sz w:val="15"/>
          <w:szCs w:val="15"/>
          <w:color w:val="auto"/>
        </w:rPr>
      </w:pPr>
    </w:p>
    <w:p>
      <w:pPr>
        <w:ind w:left="460" w:right="50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cash and cash equivalents, marketable securities, restricted cash (where applicable), prepaid expenses and other current assets, and other assets.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Future Impact of Recently Issued Accounting Standards</w:t>
      </w:r>
    </w:p>
    <w:p>
      <w:pPr>
        <w:spacing w:after="0" w:line="121"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 xml:space="preserve">In February 2007, the FASB issued SFAS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SFAS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159 is effective for financial statements issued for fiscal years beginning after November 15, 2007. The Company will be required to adopt SFAS 159 effective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fiscal year beginning January 1, 2008. Management is currently evaluating the potential impact of adopting SFAS 159 on the Company’s financial statements.</w:t>
      </w:r>
    </w:p>
    <w:p>
      <w:pPr>
        <w:spacing w:after="0" w:line="62"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In June 2007, the Emerging Issues Task Force issued Statement No. 07-3, </w:t>
      </w:r>
      <w:r>
        <w:rPr>
          <w:rFonts w:ascii="Arial" w:cs="Arial" w:eastAsia="Arial" w:hAnsi="Arial"/>
          <w:sz w:val="18"/>
          <w:szCs w:val="18"/>
          <w:i w:val="1"/>
          <w:iCs w:val="1"/>
          <w:color w:val="auto"/>
        </w:rPr>
        <w:t>Accounting for Non-refundable Advance Payments for Goods or Services to Be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Used in Future Research and Development Activities </w:t>
      </w:r>
      <w:r>
        <w:rPr>
          <w:rFonts w:ascii="Arial" w:cs="Arial" w:eastAsia="Arial" w:hAnsi="Arial"/>
          <w:sz w:val="18"/>
          <w:szCs w:val="18"/>
          <w:color w:val="auto"/>
        </w:rPr>
        <w:t>(“EITF 07-3”). EITF 07-3 addresses how entities involved in research and development activities should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for the non-refundable portion of an advance payment made for future research and development activities and requires that such payments be deferred and capitalized, and recognized as an expense when the goods are delivered or the related services are performed. EITF 07-3 is effective for fiscal years beginning after December 15, 2007, including interim periods within those fiscal years. The Company will be required to adopt EITF 07-3 effective for the fiscal year beginning January 1, 2008. Management believes that the future adoption of EITF 07-3 will not have a material impact on the Company’s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Building – Rensselaer, New York</w:t>
      </w:r>
    </w:p>
    <w:p>
      <w:pPr>
        <w:spacing w:after="0" w:line="11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In June 2007, the Company exercised a purchase option on a building in Rensselaer, New York, in which the Company leased manufacturing, office, and warehouse space in a portion of the building. The Company completed the purchase of this property (land and building) in October 2007 at a cost of approximately $9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Operating Lease – Tarrytown, New York Facilities</w:t>
      </w:r>
    </w:p>
    <w:p>
      <w:pPr>
        <w:spacing w:after="0" w:line="117"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Company leases laboratory and office facilities in Tarrytown, New York. In December 2006, the Company entered into a new agreement to lease laboratory and office space that is now under construction and expected to be completed in mid-2009 at the Company’s current Tarrytown location, plus retain a portion of the Company’s existing space. In October 2007, the Company amended the December 2006 operating lease agreement to increase the amount of new space the Company will lease. The term of the lease is now expected to commence in mid-2008 and will expire approximately 16 years later. Other terms and conditions, as previously described in the Company’s Form 10-K for the year ended December 31, 2006, remain unchanged.</w:t>
      </w:r>
    </w:p>
    <w:p>
      <w:pPr>
        <w:spacing w:after="0" w:line="50"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In connection with these two subsequent events, the Company’s previously disclosed total estimated future minimum noncancelable lease commitments under operating leases, as per the Company’s Form 10-K for the year ended December 31, 2006, will decrease to $4.6 million and $9.3 million for the years ended December 31, 2008 and 2009, respectively, and increase to $14.2 million and $14.4 million for the years ended December 31, 2010 and 2011, respectively, and to $204.2 million, in the aggregate, for years subsequent to 2011.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225"/>
        <w:spacing w:after="0" w:line="254" w:lineRule="auto"/>
        <w:rPr>
          <w:sz w:val="20"/>
          <w:szCs w:val="20"/>
          <w:color w:val="auto"/>
        </w:rPr>
      </w:pPr>
      <w:r>
        <w:rPr>
          <w:rFonts w:ascii="Arial" w:cs="Arial" w:eastAsia="Arial" w:hAnsi="Arial"/>
          <w:sz w:val="18"/>
          <w:szCs w:val="18"/>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Regeneron Pharmaceuticals, Inc. is a biopharmaceutical company that discovers, develops, and intends to commercialize pharmaceutical products for the treatment of serious medical conditions. We are currently focused on three development programs: rilonacept (IL-1 Trap) in various inflammatory indications, aflibercept (VEGF Trap) in oncology, and the VEGF Trap-Eye formulation in eye diseases using intraocular delivery. Aflibercept is being developed in oncology in collaboration with the sanofi-aventis Group. The VEGF Trap-Eye is being developed in collaboration with Bayer HealthCare LLC. Our preclinical research programs are in the areas of oncology and angiogenesis, ophthalmology, metabolic and related diseases, muscle diseases and disorders, inflammation and immune diseases, bone and cartilage, pain, and cardiovascular diseases. We expect that our next generation of product candidates will be based on our proprietary technologies for developing human monoclonal antibodies. Developing and commercializing new medicines entails significant risk and expense. Since inception, we have not generated any sales or profits from the commercialization of any of our product candidates.</w:t>
      </w:r>
    </w:p>
    <w:p>
      <w:pPr>
        <w:spacing w:after="0" w:line="58" w:lineRule="exact"/>
        <w:rPr>
          <w:sz w:val="20"/>
          <w:szCs w:val="20"/>
          <w:color w:val="auto"/>
        </w:rPr>
      </w:pPr>
    </w:p>
    <w:p>
      <w:pPr>
        <w:ind w:right="120" w:firstLine="225"/>
        <w:spacing w:after="0" w:line="274"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We believe that our ability to develop product candidates is enhanced by the application of our technology platforms. Our discovery platforms are designed to identify specific genes of therapeutic interest for a particular disease or cell type and validate targets through high-throughput production of mammalian models. Our human monoclonal antibody technology (</w:t>
      </w:r>
      <w:r>
        <w:rPr>
          <w:rFonts w:ascii="Arial" w:cs="Arial" w:eastAsia="Arial" w:hAnsi="Arial"/>
          <w:sz w:val="16"/>
          <w:szCs w:val="16"/>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6"/>
          <w:szCs w:val="16"/>
          <w:color w:val="auto"/>
        </w:rPr>
        <w:t xml:space="preserve">) and cell line expression technologies may then be utilized to design and produce new product candidates directed against the disease target. Based on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platform which we believe, in conjunction with our other proprietary technologies, can accelerate the development of fully human monoclonal antibodies, we plan to move our first new antibody product candidate into clinical trials in the fourth quarter of 2007. We plan to introduce two new antibody product candidates into clinical development each year, beginning in 2008. We continue to invest in the development of enabling technologies to assist in our efforts to identify, develop, and commercialize new product candidates.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summary of the status of our clinical candidates: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Rilonacept – Inflammatory Diseases</w:t>
      </w:r>
    </w:p>
    <w:p>
      <w:pPr>
        <w:spacing w:after="0" w:line="121" w:lineRule="exact"/>
        <w:rPr>
          <w:sz w:val="20"/>
          <w:szCs w:val="20"/>
          <w:color w:val="auto"/>
        </w:rPr>
      </w:pPr>
    </w:p>
    <w:p>
      <w:pPr>
        <w:ind w:right="220" w:firstLine="225"/>
        <w:spacing w:after="0" w:line="286" w:lineRule="auto"/>
        <w:rPr>
          <w:sz w:val="20"/>
          <w:szCs w:val="20"/>
          <w:color w:val="auto"/>
        </w:rPr>
      </w:pPr>
      <w:r>
        <w:rPr>
          <w:rFonts w:ascii="Arial" w:cs="Arial" w:eastAsia="Arial" w:hAnsi="Arial"/>
          <w:sz w:val="17"/>
          <w:szCs w:val="17"/>
          <w:color w:val="auto"/>
        </w:rPr>
        <w:t>Rilonacept (IL-1 Trap) is a protein-based product candidate designed to bind the interleukin-1 (called IL-1) cytokine and prevent its interaction with cell surface receptors. We are evaluating rilonacept in a number of diseases and disorders where IL-1 may play an important role, including a group of rare diseases called Cryopyrin-Associated Periodic Syndromes (CAPS) and other diseases associated with inflammation.</w:t>
      </w:r>
    </w:p>
    <w:p>
      <w:pPr>
        <w:spacing w:after="0" w:line="5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We recently submitted a Biologics License Application (BLA) to the U.S. Food and Drug Administration (FDA) for rilonacept in CAPS. In August 2007, the FDA granted priority review status to the BLA for rilonacept for the long-term treatment of CAPS. The FDA previously granted Orphan Drug status and Fast Track designation to rilonacept for the treatment of CAPS. In July 2007, rilonacept also received Orphan Drug designation in the European Union for the treatment of CAPS. In November 2007, we announced that we received notification from the FDA that the action date for the FDA’s priority review of the BLA for rilonacept had been extended three months to February 29, 2008.</w:t>
      </w:r>
    </w:p>
    <w:p>
      <w:pPr>
        <w:spacing w:after="0" w:line="80"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CAPS represents a group of rare inherited auto-inflammatory conditions, including Familial Cold Autoinflammatory Syndrome (FCAS) and Muckle-Wells Syndrome (MWS). CAPS also includes Neonatal Onset Multisystem Inflammatory Disease (NOMID). Rilonacept has not been studied, and is not expected to be indicated, for the treatment of NOMID. The syndromes included in CAPS are characterized by spontaneous, systemic inflammation and are termed auto-inflammatory disorders. A novel feature of these conditions (particularly FCAS and MWS) is that exposure to mild degrees of cold temperature can provoke a major inflammatory episode that occurs within hours. CAPS is caused by a range of mutations in the gene </w:t>
      </w:r>
      <w:r>
        <w:rPr>
          <w:rFonts w:ascii="Arial" w:cs="Arial" w:eastAsia="Arial" w:hAnsi="Arial"/>
          <w:sz w:val="17"/>
          <w:szCs w:val="17"/>
          <w:i w:val="1"/>
          <w:iCs w:val="1"/>
          <w:color w:val="auto"/>
        </w:rPr>
        <w:t>CIAS1</w:t>
      </w:r>
      <w:r>
        <w:rPr>
          <w:rFonts w:ascii="Arial" w:cs="Arial" w:eastAsia="Arial" w:hAnsi="Arial"/>
          <w:sz w:val="17"/>
          <w:szCs w:val="17"/>
          <w:color w:val="auto"/>
        </w:rPr>
        <w:t xml:space="preserve"> (also known as NLRP3) which encodes a protein named cryopyrin. Currently, there are no medicines approved for the treatment of CAPS.</w:t>
      </w:r>
    </w:p>
    <w:p>
      <w:pPr>
        <w:spacing w:after="0" w:line="70"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recently reported positive results from an exploratory proof of concept study of rilonacept in ten patients with chronic active gout. In those patients, treatment with rilonacept demonstrated a statistically significant reduction in patient pain scores in the single-blind, placebo-controlled study. Mean patients’ pain scores, the key symptom measure in persistent gout, were reduced 41% (p=0.025) during the first two weeks of active treatment and reduced 56% (p&lt;0.004) after six weeks of active treatment. In this study, in which safety was the primary endpoint measure, treatment with rilonacept was generally well-tolerated. We have initiated a Phase 2 safety and efficacy trial of rilonacept in the prevention of gout flares induced by the initiation of uric acid-lowering drug therapy used to control the disease.</w:t>
      </w:r>
    </w:p>
    <w:p>
      <w:pPr>
        <w:spacing w:after="0" w:line="85" w:lineRule="exact"/>
        <w:rPr>
          <w:sz w:val="20"/>
          <w:szCs w:val="20"/>
          <w:color w:val="auto"/>
        </w:rPr>
      </w:pPr>
    </w:p>
    <w:p>
      <w:pPr>
        <w:jc w:val="both"/>
        <w:ind w:right="80" w:firstLine="222"/>
        <w:spacing w:after="0" w:line="264" w:lineRule="auto"/>
        <w:rPr>
          <w:sz w:val="20"/>
          <w:szCs w:val="20"/>
          <w:color w:val="auto"/>
        </w:rPr>
      </w:pPr>
      <w:r>
        <w:rPr>
          <w:rFonts w:ascii="Arial" w:cs="Arial" w:eastAsia="Arial" w:hAnsi="Arial"/>
          <w:sz w:val="18"/>
          <w:szCs w:val="18"/>
          <w:color w:val="auto"/>
        </w:rPr>
        <w:t>We are also evaluating the potential use of rilonacept in other indications in which IL-1 may play a role, and are preparing to initiate exploratory proof-of-concept studies in anemia and other indications. The first of these studies will be in the treatment of anemia associated with chronic inflammation, which we plan to begin in the fourth quarter of 2007.</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Under a March 2003 collaboration agreement with Novartis Pharma AG, we retain the right to elect to collaborate in the future development and commercialization of a Novartis IL-1 antibody, which is in clinical development. Following completion of Phase 2 development and submission to us of a written report on the Novartis IL-1 antibody, we have the right, in consideration for an opt-in payment, to elect to co-develop and co-commercialize the Novartis IL-1 antibody in North America. If we elect to exercise this right, we are responsible for paying 45% of post-election North American development costs for the antibody product. In return, we are entitled to co-promote the Novartis IL-1 antibody and to receive 45% of net profits on sales of the antibody product in North America. Under certain circumstances, we are also entitled to receive royalties on sales of the Novartis IL-1 antibody in Europe.</w:t>
      </w:r>
    </w:p>
    <w:p>
      <w:pPr>
        <w:spacing w:after="0" w:line="57"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Under the collaboration agreement, Novartis has the right to elect to collaborate in the development and commercialization of a second generation rilonacept following completion of its Phase 2 development, should we decide to clinically develop such a second generation product candidate. Novartis does not have any rights or options with respect to our rilonacept currently in clinical development.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Aflibercept (VEGF Trap) – Oncology</w:t>
      </w:r>
    </w:p>
    <w:p>
      <w:pPr>
        <w:spacing w:after="0" w:line="121"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Aflibercept is a protein-based product candidate designed to bind all forms of Vascular Endothelial Growth Factor-A (called VEGF-A, also known as Vascular Permeability Factor or VPF) and the related Placental Growth Factor (called PlGF), and prevent their interaction with cell surface receptors. VEGF-A (and to a less validated degree, PlGF) is required for the growth of new blood vessels that are needed for tumors to grow and is a potent regulator of vascular permeability and leakage.</w:t>
      </w:r>
    </w:p>
    <w:p>
      <w:pPr>
        <w:spacing w:after="0" w:line="79" w:lineRule="exact"/>
        <w:rPr>
          <w:sz w:val="20"/>
          <w:szCs w:val="20"/>
          <w:color w:val="auto"/>
        </w:rPr>
      </w:pPr>
    </w:p>
    <w:p>
      <w:pPr>
        <w:ind w:right="40" w:firstLine="215"/>
        <w:spacing w:after="0" w:line="255" w:lineRule="auto"/>
        <w:rPr>
          <w:sz w:val="20"/>
          <w:szCs w:val="20"/>
          <w:color w:val="auto"/>
        </w:rPr>
      </w:pPr>
      <w:r>
        <w:rPr>
          <w:rFonts w:ascii="Arial" w:cs="Arial" w:eastAsia="Arial" w:hAnsi="Arial"/>
          <w:sz w:val="18"/>
          <w:szCs w:val="18"/>
          <w:color w:val="auto"/>
        </w:rPr>
        <w:t>Aflibercept is being developed in cancer indications in collaboration with sanofi-aventis. We and sanofi-aventis began the first two trials of our global Phase 3 development program in the third quarter of 2007. One trial will evaluate aflibercept in combination with docetaxel/prednisone in patients with 1</w:t>
      </w:r>
      <w:r>
        <w:rPr>
          <w:rFonts w:ascii="Arial" w:cs="Arial" w:eastAsia="Arial" w:hAnsi="Arial"/>
          <w:sz w:val="15"/>
          <w:szCs w:val="15"/>
          <w:color w:val="auto"/>
        </w:rPr>
        <w:t>st</w:t>
      </w:r>
      <w:r>
        <w:rPr>
          <w:rFonts w:ascii="Arial" w:cs="Arial" w:eastAsia="Arial" w:hAnsi="Arial"/>
          <w:sz w:val="18"/>
          <w:szCs w:val="18"/>
          <w:color w:val="auto"/>
        </w:rPr>
        <w:t xml:space="preserve"> line metastatic androgen independent prostate cancer. The other trial will evaluate aflibercept in combination with docetaxel in patients with 2</w:t>
      </w:r>
      <w:r>
        <w:rPr>
          <w:rFonts w:ascii="Arial" w:cs="Arial" w:eastAsia="Arial" w:hAnsi="Arial"/>
          <w:sz w:val="15"/>
          <w:szCs w:val="15"/>
          <w:color w:val="auto"/>
        </w:rPr>
        <w:t>nd</w:t>
      </w:r>
      <w:r>
        <w:rPr>
          <w:rFonts w:ascii="Arial" w:cs="Arial" w:eastAsia="Arial" w:hAnsi="Arial"/>
          <w:sz w:val="18"/>
          <w:szCs w:val="18"/>
          <w:color w:val="auto"/>
        </w:rPr>
        <w:t xml:space="preserve"> line metastatic non-small cell lung cancer. The companies plan to initiate two additional Phase 3 trials before the end of 2007 in first-line metastatic pancreatic cancer in combination with gemcitabine-based regimen and second-line metastatic colorectal cancer in combination with FOLFIRI (Folinic Acid (leucovorin), 5-fluorouracil, and irinotecan). In all of these trials, aflibercept is being combined with the current standard of chemotherapy care for the stated development stage of the cancer type.</w:t>
      </w:r>
    </w:p>
    <w:p>
      <w:pPr>
        <w:spacing w:after="0" w:line="8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collaboration is conducting a number of other trials in the global development program for aflibercept. Five safety and tolerability studies of aflibercept in combination with standard chemotherapy regimens are continuing in a variety of cancer types to support the Phase 3 clinical program. Sanofi-aventis has also expanded the development program to Japan, where they are conducting a Phase 1 safety and tolerability study in combination with S-1 in patients with advanced solid malignancies.</w:t>
      </w:r>
    </w:p>
    <w:p>
      <w:pPr>
        <w:spacing w:after="0" w:line="79"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collaboration is also conducting Phase 2 single-agent studies in advanced ovarian cancer (AOC), non-small cell lung adenocarcinoma (NSCLA), and AOC patients with symptomatic malignant ascites (SMA). The AOC and NSCLA trials are fully enrolled and ongoing. The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SMA trial is approximately 50% enrolled and continues to enroll patients. In 2004, the FDA granted Fast Track designation to aflibercept for the treatment of SMA.</w:t>
      </w:r>
    </w:p>
    <w:p>
      <w:pPr>
        <w:spacing w:after="0" w:line="62"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In addition, currently underway or scheduled to begin are more than 10 studies to be conducted in conjunction with the National Cancer Institute (NCI) Cancer Therapy Evaluation Program (CTEP) evaluating aflibercept as a single agent or in combination with chemotherapy regimens in a variety of cancer indications.</w:t>
      </w:r>
    </w:p>
    <w:p>
      <w:pPr>
        <w:spacing w:after="0" w:line="73"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development program in oncology is expected to total over $400 million over the next several years. These expenses will be funded by sanofi-aventis in accordance with the terms of our collaboration agreement described below.</w:t>
      </w:r>
    </w:p>
    <w:p>
      <w:pPr>
        <w:spacing w:after="0" w:line="62" w:lineRule="exact"/>
        <w:rPr>
          <w:sz w:val="20"/>
          <w:szCs w:val="20"/>
          <w:color w:val="auto"/>
        </w:rPr>
      </w:pPr>
    </w:p>
    <w:p>
      <w:pPr>
        <w:jc w:val="both"/>
        <w:ind w:right="140" w:firstLine="222"/>
        <w:spacing w:after="0" w:line="279" w:lineRule="auto"/>
        <w:rPr>
          <w:sz w:val="20"/>
          <w:szCs w:val="20"/>
          <w:color w:val="auto"/>
        </w:rPr>
      </w:pPr>
      <w:r>
        <w:rPr>
          <w:rFonts w:ascii="Arial" w:cs="Arial" w:eastAsia="Arial" w:hAnsi="Arial"/>
          <w:sz w:val="17"/>
          <w:szCs w:val="17"/>
          <w:color w:val="auto"/>
        </w:rPr>
        <w:t>The first registration submission to a regulatory agency for aflibercept is possible as early as 2008, potentially as third line treatment as a single agent in advanced ovarian cancer (AOC). However, in order for our ongoing Phase 2 study in AOC to be sufficient to support such a submission, we believe that the final unblinded results of the study would have to demonstrate a more robust response rate than that reported in the interim analysis of blinded data from the study presented in June 2007 at the annual meeting of the American Society of Clinical Oncology (ASCO).</w:t>
      </w:r>
    </w:p>
    <w:p>
      <w:pPr>
        <w:spacing w:after="0" w:line="63"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Cancer is a heterogeneous set of diseases and one of the leading causes of death in the developed world. A mutation in any one of dozens of normal genes can eventually result in a cell becoming cancerous; however, a common feature of cancer cells is that they need to obtain nutrients and remove waste products, just as normal cells do. The vascular system normally supplies nutrients to and removes waste from normal tissues. Cancer cells can use the vascular system either by taking over preexisting blood vessels or by promoting the growth of new blood vessels (a process known as angiogenesis). VEGF is secreted by many tumors to stimulate the growth of new blood vessels to supply nutrients and oxygen to the tumor. VEGF blockers have been shown to inhibit new vessel growth; and, in some cases, can cause regression of existing tumor vasculature. Countering the effects of VEGF, thereby blocking the blood supply to tumors, has demonstrated therapeutic benefits in clinical trials. This approach of inhibiting angiogenesis as a mechanism of action for an oncology medicine was validated in February 2004, when the FDA approved Genentech, Inc.’s VEGF inhibitor, Avastin</w:t>
      </w:r>
      <w:r>
        <w:rPr>
          <w:rFonts w:ascii="Arial" w:cs="Arial" w:eastAsia="Arial" w:hAnsi="Arial"/>
          <w:sz w:val="14"/>
          <w:szCs w:val="14"/>
          <w:color w:val="auto"/>
        </w:rPr>
        <w:t>®</w:t>
      </w:r>
      <w:r>
        <w:rPr>
          <w:rFonts w:ascii="Arial" w:cs="Arial" w:eastAsia="Arial" w:hAnsi="Arial"/>
          <w:sz w:val="17"/>
          <w:szCs w:val="17"/>
          <w:color w:val="auto"/>
        </w:rPr>
        <w:t>. Avastin</w:t>
      </w:r>
      <w:r>
        <w:rPr>
          <w:rFonts w:ascii="Arial" w:cs="Arial" w:eastAsia="Arial" w:hAnsi="Arial"/>
          <w:sz w:val="14"/>
          <w:szCs w:val="14"/>
          <w:color w:val="auto"/>
        </w:rPr>
        <w:t>®</w:t>
      </w:r>
      <w:r>
        <w:rPr>
          <w:rFonts w:ascii="Arial" w:cs="Arial" w:eastAsia="Arial" w:hAnsi="Arial"/>
          <w:sz w:val="17"/>
          <w:szCs w:val="17"/>
          <w:color w:val="auto"/>
        </w:rPr>
        <w:t xml:space="preserve"> (a trademark of Genentech, Inc.) is an antibody product designed to inhibit VEGF and interfere with the blood supply to tumors.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the sanofi-aventis Group</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September 2003, we entered into a collaboration agreement with Aventis Pharmaceuticals, Inc. (predecessor to sanofi-aventis U.S.) to collaborate on the development and commercialization of aflibercept in all countries other than Japan, where we retained the exclusive right to develop and commercialize aflibercept. In January 2005, we and sanofi-aventis amended the collaboration agreement to exclude, from the scope of the collaboration, the development and commercialization of aflibercept for intraocular delivery to the eye. In December 2005, we and sanofi-aventis amended our collaboration agreement to expand the territory in which the companies are collaborating on the development of aflibercept to include Japan. Under the collaboration agreement, as amended, we and sanofi-aventis will share co-promotion rights and profits on sales, if any, of aflibercept outside of Japan for disease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indications included in our collaboration. In Japan, we are entitled to a royalty of approximately 35% on annual sales of aflibercept, subject to certain potential adjustments. We may also receive up to $400.0 million in milestone payments upon receipt of specified marketing approvals. This total includes up to $360.0 million in milestone payments related to receipt of marketing approvals for up to eight aflibercept oncology and other indications in the United States or the European Union. Another $40.0 million of milestone payments relate to receipt of marketing approvals for up to five oncology indications in Japan.</w:t>
      </w:r>
    </w:p>
    <w:p>
      <w:pPr>
        <w:spacing w:after="0" w:line="80"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Under the collaboration agreement, as amended, agreed upon worldwide development expenses incurred by both companies during the term of the agreement will be funded by sanofi-aventis. If the collaboration becomes profitable, we will be obligated to reimburse sanofi-aventis for 50% of aflibercept development expenses in accordance with a formula based on the amount of development expenses and our share of the collaboration profits and Japan royalties, or at a faster rate at our option.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VEGF Trap – Eye Diseases</w:t>
      </w:r>
    </w:p>
    <w:p>
      <w:pPr>
        <w:spacing w:after="0" w:line="121"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The VEGF Trap-Eye is a form of the VEGF Trap that has been purified and formulated with excipients and at concentrations suitable for direct injection into the eye. The VEGF Trap-Eye currently is being tested in a Phase 3 trial in patients with the neovascular form of age-related macular degeneration (wet AMD) and has completed a small pilot study in patients with diabetic macular edema (DME).</w:t>
      </w:r>
    </w:p>
    <w:p>
      <w:pPr>
        <w:spacing w:after="0" w:line="7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the clinical development program for the VEGF Trap-Eye, we and Bayer HealthCare have initiated a Phase 3 study of the VEGF Trap-Eye in wet AMD. This first trial, known as VIEW 1 (</w:t>
      </w:r>
      <w:r>
        <w:rPr>
          <w:rFonts w:ascii="Arial" w:cs="Arial" w:eastAsia="Arial" w:hAnsi="Arial"/>
          <w:sz w:val="18"/>
          <w:szCs w:val="18"/>
          <w:u w:val="single" w:color="auto"/>
          <w:color w:val="auto"/>
        </w:rPr>
        <w:t>V</w:t>
      </w:r>
      <w:r>
        <w:rPr>
          <w:rFonts w:ascii="Arial" w:cs="Arial" w:eastAsia="Arial" w:hAnsi="Arial"/>
          <w:sz w:val="18"/>
          <w:szCs w:val="18"/>
          <w:color w:val="auto"/>
        </w:rPr>
        <w:t xml:space="preserve">EGF Trap: </w:t>
      </w:r>
      <w:r>
        <w:rPr>
          <w:rFonts w:ascii="Arial" w:cs="Arial" w:eastAsia="Arial" w:hAnsi="Arial"/>
          <w:sz w:val="18"/>
          <w:szCs w:val="18"/>
          <w:u w:val="single" w:color="auto"/>
          <w:color w:val="auto"/>
        </w:rPr>
        <w:t>I</w:t>
      </w:r>
      <w:r>
        <w:rPr>
          <w:rFonts w:ascii="Arial" w:cs="Arial" w:eastAsia="Arial" w:hAnsi="Arial"/>
          <w:sz w:val="18"/>
          <w:szCs w:val="18"/>
          <w:color w:val="auto"/>
        </w:rPr>
        <w:t xml:space="preserve">nvestigation of </w:t>
      </w:r>
      <w:r>
        <w:rPr>
          <w:rFonts w:ascii="Arial" w:cs="Arial" w:eastAsia="Arial" w:hAnsi="Arial"/>
          <w:sz w:val="18"/>
          <w:szCs w:val="18"/>
          <w:u w:val="single" w:color="auto"/>
          <w:color w:val="auto"/>
        </w:rPr>
        <w:t>E</w:t>
      </w:r>
      <w:r>
        <w:rPr>
          <w:rFonts w:ascii="Arial" w:cs="Arial" w:eastAsia="Arial" w:hAnsi="Arial"/>
          <w:sz w:val="18"/>
          <w:szCs w:val="18"/>
          <w:color w:val="auto"/>
        </w:rPr>
        <w:t xml:space="preserve">fficacy and Safety in </w:t>
      </w:r>
      <w:r>
        <w:rPr>
          <w:rFonts w:ascii="Arial" w:cs="Arial" w:eastAsia="Arial" w:hAnsi="Arial"/>
          <w:sz w:val="18"/>
          <w:szCs w:val="18"/>
          <w:u w:val="single" w:color="auto"/>
          <w:color w:val="auto"/>
        </w:rPr>
        <w:t>W</w:t>
      </w:r>
      <w:r>
        <w:rPr>
          <w:rFonts w:ascii="Arial" w:cs="Arial" w:eastAsia="Arial" w:hAnsi="Arial"/>
          <w:sz w:val="18"/>
          <w:szCs w:val="18"/>
          <w:color w:val="auto"/>
        </w:rPr>
        <w:t>et age-related macular degeneration), is comparing the VEGF Trap-Eye and Genentech, Inc.’s Lucentis</w:t>
      </w:r>
      <w:r>
        <w:rPr>
          <w:rFonts w:ascii="Arial" w:cs="Arial" w:eastAsia="Arial" w:hAnsi="Arial"/>
          <w:sz w:val="15"/>
          <w:szCs w:val="15"/>
          <w:color w:val="auto"/>
        </w:rPr>
        <w:t>â</w:t>
      </w:r>
      <w:r>
        <w:rPr>
          <w:rFonts w:ascii="Arial" w:cs="Arial" w:eastAsia="Arial" w:hAnsi="Arial"/>
          <w:sz w:val="18"/>
          <w:szCs w:val="18"/>
          <w:color w:val="auto"/>
        </w:rPr>
        <w:t xml:space="preserve"> (ranibizumab), an anti-angiogenic agent approved for use in wet AMD. This Phase 3 trial is evaluating dosing intervals of four and eight weeks for the VEGF Trap-Eye compared with ranibizumab dosed according to its label every four weeks. We and Bayer HealthCare plan to initiate a second Phase 3 trial in wet AMD in the first quarter of 2008. This second trial will be conducted primarily in the European Union and other parts of the world outside the U.S.</w:t>
      </w:r>
    </w:p>
    <w:p>
      <w:pPr>
        <w:spacing w:after="0" w:line="85"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In October 2007, we and Bayer HealthCare announced positive results from the full analysis of the primary 12-week endpoint of a Phase 2 study evaluating the VEGF Trap-Eye in wet AMD. The VEGF Trap-Eye met the primary study endpoint of a statistically significant reduction in retinal thickness, a measure of disease activity, after 12 weeks of treatment compared with baseline (all five dose groups combined, mean decrease of 119 microns, p&lt;0.0001). The mean change from baseline in visual acuity, a key secondary endpoint of the study, also demonstrated statistically significant improvement (all groups combined, increase of 5.7 letters, p&lt;0.0001). Preliminary analyses at 16 weeks showed that the VEGF Trap-Eye, dosed monthly, achieved a mean gain in visual acuity of 9.3 to 10 letters (for the 0.5 and 2 mg dose groups, respectively). In additional exploratory analyses, the VEGF Trap-Eye, dosed monthly, reduced the proportion of patients with vision of 20/200 or worse (a generally accepted definition for legal blindness) from 14.3% at baseline to 1.6% at week 16; the proportion of patients with vision of 20/40 or better (part of the legal minimum requirement for an unrestricted driver’s license in the U.S.) was likewise increased from 19.0% at baseline to 49.2% at 16 weeks. These findings were presented at the Retina Society Conference.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We and Bayer HealthCare are also developing the VEGF Trap-Eye in DME and expect to initiate a Phase 3 study in DME in mid-2008. In May 2007, at the annual meeting of the Association for Research in Vision and Ophthalmology (ARVO), the companies reported results from a small pilot study of the VEGF Trap-Eye in patients with DME. In the study, the VEGF Trap-Eye was well tolerated and demonstrated activity in five patients, with decreases in retinal thickness and improvement in visual acuity.</w:t>
      </w:r>
    </w:p>
    <w:p>
      <w:pPr>
        <w:spacing w:after="0" w:line="79"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VEGF-A both stimulates angiogenesis and increases vascular permeability. It has been shown in preclinical studies to be a major pathogenic factor in both wet AMD and diabetic retinopathy, and it is believed to be involved in other medical problems affecting the eyes. In clinical trials, blocking VEGF-A has been shown to be effective in patients with wet AMD, and Macugen</w:t>
      </w:r>
      <w:r>
        <w:rPr>
          <w:rFonts w:ascii="Arial" w:cs="Arial" w:eastAsia="Arial" w:hAnsi="Arial"/>
          <w:sz w:val="15"/>
          <w:szCs w:val="15"/>
          <w:color w:val="auto"/>
        </w:rPr>
        <w:t>®</w:t>
      </w:r>
      <w:r>
        <w:rPr>
          <w:rFonts w:ascii="Arial" w:cs="Arial" w:eastAsia="Arial" w:hAnsi="Arial"/>
          <w:sz w:val="18"/>
          <w:szCs w:val="18"/>
          <w:color w:val="auto"/>
        </w:rPr>
        <w:t xml:space="preserve"> (OSI Pharmaceuticals, Inc.) and Lucentis</w:t>
      </w:r>
      <w:r>
        <w:rPr>
          <w:rFonts w:ascii="Arial" w:cs="Arial" w:eastAsia="Arial" w:hAnsi="Arial"/>
          <w:sz w:val="15"/>
          <w:szCs w:val="15"/>
          <w:color w:val="auto"/>
        </w:rPr>
        <w:t>®</w:t>
      </w:r>
      <w:r>
        <w:rPr>
          <w:rFonts w:ascii="Arial" w:cs="Arial" w:eastAsia="Arial" w:hAnsi="Arial"/>
          <w:sz w:val="18"/>
          <w:szCs w:val="18"/>
          <w:color w:val="auto"/>
        </w:rPr>
        <w:t xml:space="preserve"> (Genentech, Inc.) have been approved to treat patients with this condition.</w:t>
      </w:r>
    </w:p>
    <w:p>
      <w:pPr>
        <w:spacing w:after="0" w:line="7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Wet AMD and diabetic retinopathy (DR) are two of the leading causes of adult blindness in the developed world. In both conditions, severe visual loss is caused by a combination of retinal edema and neovascular proliferation. DR is a major complication of diabetes mellitus that can lead to significant vision impairment. DR is characterized, in part, by vascular leakage, which results in the collection of fluid in the retina. When the macula, the central area of the retina that is responsible for fine visual acuity, is involved, loss of visual acuity occurs. This is referred to as diabetic macular edema (DME). DME is the most prevalent cause of moderate visual loss in patients with diabetes.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Bayer HealthCare LLC</w:t>
      </w:r>
    </w:p>
    <w:p>
      <w:pPr>
        <w:spacing w:after="0" w:line="121"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In October 2006, we entered into a collaboration agreement with Bayer HealthCare for the global development and commercialization outside the United States of the VEGF Trap-Eye. Under the agreement, we and Bayer HealthCare will collaborate on, and share the costs of, the development of the VEGF Trap-Eye through an integrated global plan that encompasses wet AMD, diabetic eye diseases, and other diseases and disorders. Bayer HealthCare will market the VEGF Trap-Eye outside the United States, where the companies will share equally in profits from any future sales of the VEGF Trap-Eye. If the VEGF Trap-Eye is granted marketing authorization in a major market country outside the United States, we will be obligated to reimburse Bayer HealthCare for 50% of the development costs that it has incurred under the agreement from our share of the collaboration profits. Within the United States, we retained exclusive commercialization rights to the VEGF Trap-Eye and are entitled to all profits from any such sales. We received an up-front payment of $75.0 million from Bayer HealthCare. In August 2007, we received a $20.0 million milestone payment from Bayer HealthCare following dosing of the first patient in the Phase 3 study of the VEGF Trap-Eye in wet AMD, and can earn up to $90.0 million in additional development and regulatory milestones related to the development of the VEGF Trap-Eye and marketing approvals in major market countries outside the United States. We can also earn up to $135.0 million in sales milestones if total annual sales of the VEGF Trap-Eye outside the United States achieve certain specified levels starting at $200.0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50"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From inception on January 8, 1988 through September 30, 2007, we had a cumulative loss of $780.1 million. In the absence of revenues from the commercialization of our product candidates or other sources, the amount, timing, nature, and source of which cannot be predicted, our losses will continue as we conduct our research and development activities. We expect to incur substantial losses over the next several years as we continue the clinical development of the VEGF Trap-Eye and rilonacept; advance new product candidates into clinical development from our existing research programs utilizing our technology for designing fully human monoclonal antibodies; continue our research and development programs; and commercialize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on, among other factors, the progress of our research and development efforts, the timing of certain expenses, and the amount and timing of payments that we receive from collaborators.</w:t>
      </w:r>
    </w:p>
    <w:p>
      <w:pPr>
        <w:spacing w:after="0" w:line="58"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for 2007 and plans over the next 12 months are as follows:</w:t>
      </w:r>
    </w:p>
    <w:p>
      <w:pPr>
        <w:sectPr>
          <w:pgSz w:w="11900" w:h="16838" w:orient="portrait"/>
          <w:cols w:equalWidth="0" w:num="1">
            <w:col w:w="11400"/>
          </w:cols>
          <w:pgMar w:left="240" w:top="419" w:right="259" w:bottom="1440" w:gutter="0" w:footer="0" w:header="0"/>
        </w:sectPr>
      </w:pP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20"/>
                <w:szCs w:val="20"/>
                <w:color w:val="auto"/>
              </w:rPr>
            </w:pPr>
            <w:r>
              <w:rPr>
                <w:rFonts w:ascii="Arial" w:cs="Arial" w:eastAsia="Arial" w:hAnsi="Arial"/>
                <w:sz w:val="14"/>
                <w:szCs w:val="14"/>
                <w:b w:val="1"/>
                <w:bCs w:val="1"/>
                <w:color w:val="auto"/>
              </w:rPr>
              <w:t>Clinical Program</w:t>
            </w:r>
          </w:p>
        </w:tc>
        <w:tc>
          <w:tcPr>
            <w:tcW w:w="4260" w:type="dxa"/>
            <w:vAlign w:val="bottom"/>
            <w:gridSpan w:val="2"/>
          </w:tcPr>
          <w:p>
            <w:pPr>
              <w:ind w:left="220"/>
              <w:spacing w:after="0"/>
              <w:rPr>
                <w:sz w:val="20"/>
                <w:szCs w:val="20"/>
                <w:color w:val="auto"/>
              </w:rPr>
            </w:pPr>
            <w:r>
              <w:rPr>
                <w:rFonts w:ascii="Arial" w:cs="Arial" w:eastAsia="Arial" w:hAnsi="Arial"/>
                <w:sz w:val="14"/>
                <w:szCs w:val="14"/>
                <w:b w:val="1"/>
                <w:bCs w:val="1"/>
                <w:color w:val="auto"/>
              </w:rPr>
              <w:t>2007 Events to Date</w:t>
            </w:r>
          </w:p>
        </w:tc>
      </w:tr>
      <w:tr>
        <w:trPr>
          <w:trHeight w:val="195"/>
        </w:trPr>
        <w:tc>
          <w:tcPr>
            <w:tcW w:w="2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Rilonacept (IL-1 Trap)</w:t>
            </w:r>
          </w:p>
        </w:tc>
        <w:tc>
          <w:tcPr>
            <w:tcW w:w="2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92"/>
              </w:rPr>
              <w:t xml:space="preserve">•   </w:t>
            </w:r>
            <w:r>
              <w:rPr>
                <w:rFonts w:ascii="Arial" w:cs="Arial" w:eastAsia="Arial" w:hAnsi="Arial"/>
                <w:sz w:val="18"/>
                <w:szCs w:val="18"/>
                <w:color w:val="auto"/>
                <w:w w:val="92"/>
              </w:rPr>
              <w:t>Completed the 24-week open-label safety extension</w:t>
            </w:r>
          </w:p>
        </w:tc>
      </w:tr>
      <w:tr>
        <w:trPr>
          <w:trHeight w:val="212"/>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phase of the Phase 3 trial in CAPS</w:t>
            </w:r>
          </w:p>
        </w:tc>
      </w:tr>
      <w:tr>
        <w:trPr>
          <w:trHeight w:val="216"/>
        </w:trPr>
        <w:tc>
          <w:tcPr>
            <w:tcW w:w="2900" w:type="dxa"/>
            <w:vAlign w:val="bottom"/>
          </w:tcPr>
          <w:p>
            <w:pPr>
              <w:spacing w:after="0"/>
              <w:rPr>
                <w:sz w:val="18"/>
                <w:szCs w:val="18"/>
                <w:color w:val="auto"/>
              </w:rPr>
            </w:pPr>
          </w:p>
        </w:tc>
        <w:tc>
          <w:tcPr>
            <w:tcW w:w="4260" w:type="dxa"/>
            <w:vAlign w:val="bottom"/>
            <w:gridSpan w:val="2"/>
          </w:tcPr>
          <w:p>
            <w:pPr>
              <w:ind w:left="2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FDA accepted BLA submission for CAPS</w:t>
            </w:r>
          </w:p>
        </w:tc>
      </w:tr>
      <w:tr>
        <w:trPr>
          <w:trHeight w:val="220"/>
        </w:trPr>
        <w:tc>
          <w:tcPr>
            <w:tcW w:w="2900" w:type="dxa"/>
            <w:vAlign w:val="bottom"/>
          </w:tcPr>
          <w:p>
            <w:pPr>
              <w:spacing w:after="0"/>
              <w:rPr>
                <w:sz w:val="19"/>
                <w:szCs w:val="19"/>
                <w:color w:val="auto"/>
              </w:rPr>
            </w:pPr>
          </w:p>
        </w:tc>
        <w:tc>
          <w:tcPr>
            <w:tcW w:w="4260" w:type="dxa"/>
            <w:vAlign w:val="bottom"/>
            <w:gridSpan w:val="2"/>
          </w:tcPr>
          <w:p>
            <w:pPr>
              <w:ind w:left="2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Granted Orphan Drug designation in CAPS in</w:t>
            </w:r>
          </w:p>
        </w:tc>
      </w:tr>
      <w:tr>
        <w:trPr>
          <w:trHeight w:val="212"/>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European Union</w:t>
            </w:r>
          </w:p>
        </w:tc>
      </w:tr>
      <w:tr>
        <w:trPr>
          <w:trHeight w:val="220"/>
        </w:trPr>
        <w:tc>
          <w:tcPr>
            <w:tcW w:w="2900" w:type="dxa"/>
            <w:vAlign w:val="bottom"/>
          </w:tcPr>
          <w:p>
            <w:pPr>
              <w:spacing w:after="0"/>
              <w:rPr>
                <w:sz w:val="19"/>
                <w:szCs w:val="19"/>
                <w:color w:val="auto"/>
              </w:rPr>
            </w:pPr>
          </w:p>
        </w:tc>
        <w:tc>
          <w:tcPr>
            <w:tcW w:w="4260" w:type="dxa"/>
            <w:vAlign w:val="bottom"/>
            <w:gridSpan w:val="2"/>
          </w:tcPr>
          <w:p>
            <w:pPr>
              <w:ind w:left="22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Reported positive results in exploratory proof-of-</w:t>
            </w:r>
          </w:p>
        </w:tc>
      </w:tr>
      <w:tr>
        <w:trPr>
          <w:trHeight w:val="212"/>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w w:val="95"/>
              </w:rPr>
              <w:t>concept study in patients with chronic active gout</w:t>
            </w:r>
          </w:p>
        </w:tc>
      </w:tr>
      <w:tr>
        <w:trPr>
          <w:trHeight w:val="220"/>
        </w:trPr>
        <w:tc>
          <w:tcPr>
            <w:tcW w:w="2900" w:type="dxa"/>
            <w:vAlign w:val="bottom"/>
          </w:tcPr>
          <w:p>
            <w:pPr>
              <w:spacing w:after="0"/>
              <w:rPr>
                <w:sz w:val="19"/>
                <w:szCs w:val="19"/>
                <w:color w:val="auto"/>
              </w:rPr>
            </w:pPr>
          </w:p>
        </w:tc>
        <w:tc>
          <w:tcPr>
            <w:tcW w:w="4260" w:type="dxa"/>
            <w:vAlign w:val="bottom"/>
            <w:gridSpan w:val="2"/>
          </w:tcPr>
          <w:p>
            <w:pPr>
              <w:ind w:left="220"/>
              <w:spacing w:after="0"/>
              <w:rPr>
                <w:sz w:val="20"/>
                <w:szCs w:val="20"/>
                <w:color w:val="auto"/>
              </w:rPr>
            </w:pPr>
            <w:r>
              <w:rPr>
                <w:rFonts w:ascii="Arial" w:cs="Arial" w:eastAsia="Arial" w:hAnsi="Arial"/>
                <w:sz w:val="18"/>
                <w:szCs w:val="18"/>
                <w:b w:val="1"/>
                <w:bCs w:val="1"/>
                <w:color w:val="auto"/>
                <w:w w:val="93"/>
              </w:rPr>
              <w:t xml:space="preserve">•   </w:t>
            </w:r>
            <w:r>
              <w:rPr>
                <w:rFonts w:ascii="Arial" w:cs="Arial" w:eastAsia="Arial" w:hAnsi="Arial"/>
                <w:sz w:val="18"/>
                <w:szCs w:val="18"/>
                <w:color w:val="auto"/>
                <w:w w:val="93"/>
              </w:rPr>
              <w:t>Initiated Phase 2 trial evaluating safety and efficacy</w:t>
            </w:r>
          </w:p>
        </w:tc>
      </w:tr>
      <w:tr>
        <w:trPr>
          <w:trHeight w:val="216"/>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w w:val="97"/>
              </w:rPr>
              <w:t>of rilonacept in preventing gout-induced flares in</w:t>
            </w:r>
          </w:p>
        </w:tc>
      </w:tr>
      <w:tr>
        <w:trPr>
          <w:trHeight w:val="230"/>
        </w:trPr>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patients initiating allopurinol therapy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2007-8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730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 w:lineRule="exact"/>
        <w:rPr>
          <w:sz w:val="20"/>
          <w:szCs w:val="20"/>
          <w:color w:val="auto"/>
        </w:rPr>
      </w:pPr>
    </w:p>
    <w:p>
      <w:pPr>
        <w:ind w:left="300" w:right="140" w:hanging="292"/>
        <w:spacing w:after="0" w:line="321" w:lineRule="auto"/>
        <w:tabs>
          <w:tab w:leader="none" w:pos="304"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Receive FDA review decision to BLA submission for CAPS (expected in February 2008)</w:t>
      </w:r>
    </w:p>
    <w:p>
      <w:pPr>
        <w:spacing w:after="0" w:line="140" w:lineRule="exact"/>
        <w:rPr>
          <w:rFonts w:ascii="Arial" w:cs="Arial" w:eastAsia="Arial" w:hAnsi="Arial"/>
          <w:sz w:val="16"/>
          <w:szCs w:val="16"/>
          <w:b w:val="1"/>
          <w:bCs w:val="1"/>
          <w:color w:val="auto"/>
        </w:rPr>
      </w:pPr>
    </w:p>
    <w:p>
      <w:pPr>
        <w:ind w:left="300" w:right="420" w:hanging="292"/>
        <w:spacing w:after="0" w:line="258" w:lineRule="auto"/>
        <w:tabs>
          <w:tab w:leader="none" w:pos="30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Initiate exploratory proof-of- concept study of rilonacept in a new indication</w:t>
      </w:r>
    </w:p>
    <w:p>
      <w:pPr>
        <w:spacing w:after="0" w:line="1" w:lineRule="exact"/>
        <w:rPr>
          <w:rFonts w:ascii="Arial" w:cs="Arial" w:eastAsia="Arial" w:hAnsi="Arial"/>
          <w:sz w:val="18"/>
          <w:szCs w:val="18"/>
          <w:b w:val="1"/>
          <w:bCs w:val="1"/>
          <w:color w:val="auto"/>
        </w:rPr>
      </w:pPr>
    </w:p>
    <w:p>
      <w:pPr>
        <w:ind w:left="300" w:right="160" w:hanging="292"/>
        <w:spacing w:after="0" w:line="290" w:lineRule="auto"/>
        <w:tabs>
          <w:tab w:leader="none" w:pos="304"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Evaluate rilonacept in other disease indications in which IL-1 may play an important role</w:t>
      </w:r>
    </w:p>
    <w:p>
      <w:pPr>
        <w:spacing w:after="0" w:line="808" w:lineRule="exact"/>
        <w:rPr>
          <w:sz w:val="20"/>
          <w:szCs w:val="20"/>
          <w:color w:val="auto"/>
        </w:rPr>
      </w:pPr>
    </w:p>
    <w:p>
      <w:pPr>
        <w:sectPr>
          <w:pgSz w:w="11900" w:h="16838" w:orient="portrait"/>
          <w:cols w:equalWidth="0" w:num="2">
            <w:col w:w="7160" w:space="200"/>
            <w:col w:w="4040"/>
          </w:cols>
          <w:pgMar w:left="240" w:top="419" w:right="25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20"/>
                <w:szCs w:val="20"/>
                <w:color w:val="auto"/>
              </w:rPr>
            </w:pPr>
            <w:r>
              <w:rPr>
                <w:rFonts w:ascii="Arial" w:cs="Arial" w:eastAsia="Arial" w:hAnsi="Arial"/>
                <w:sz w:val="14"/>
                <w:szCs w:val="14"/>
                <w:b w:val="1"/>
                <w:bCs w:val="1"/>
                <w:color w:val="auto"/>
              </w:rPr>
              <w:t>Clinical Program</w:t>
            </w:r>
          </w:p>
        </w:tc>
        <w:tc>
          <w:tcPr>
            <w:tcW w:w="4260" w:type="dxa"/>
            <w:vAlign w:val="bottom"/>
            <w:gridSpan w:val="2"/>
          </w:tcPr>
          <w:p>
            <w:pPr>
              <w:ind w:left="220"/>
              <w:spacing w:after="0"/>
              <w:rPr>
                <w:sz w:val="20"/>
                <w:szCs w:val="20"/>
                <w:color w:val="auto"/>
              </w:rPr>
            </w:pPr>
            <w:r>
              <w:rPr>
                <w:rFonts w:ascii="Arial" w:cs="Arial" w:eastAsia="Arial" w:hAnsi="Arial"/>
                <w:sz w:val="14"/>
                <w:szCs w:val="14"/>
                <w:b w:val="1"/>
                <w:bCs w:val="1"/>
                <w:color w:val="auto"/>
              </w:rPr>
              <w:t>2007 Events to Date</w:t>
            </w:r>
          </w:p>
        </w:tc>
      </w:tr>
      <w:tr>
        <w:trPr>
          <w:trHeight w:val="195"/>
        </w:trPr>
        <w:tc>
          <w:tcPr>
            <w:tcW w:w="2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Aflibercept (VEGF Trap) — Oncology</w:t>
            </w:r>
          </w:p>
        </w:tc>
        <w:tc>
          <w:tcPr>
            <w:tcW w:w="2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NCI/CTEP initiated more than 10 studies of the</w:t>
            </w:r>
          </w:p>
        </w:tc>
      </w:tr>
      <w:tr>
        <w:trPr>
          <w:trHeight w:val="212"/>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aflibercept as a single agent</w:t>
            </w:r>
          </w:p>
        </w:tc>
      </w:tr>
      <w:tr>
        <w:trPr>
          <w:trHeight w:val="220"/>
        </w:trPr>
        <w:tc>
          <w:tcPr>
            <w:tcW w:w="2900" w:type="dxa"/>
            <w:vAlign w:val="bottom"/>
          </w:tcPr>
          <w:p>
            <w:pPr>
              <w:spacing w:after="0"/>
              <w:rPr>
                <w:sz w:val="19"/>
                <w:szCs w:val="19"/>
                <w:color w:val="auto"/>
              </w:rPr>
            </w:pPr>
          </w:p>
        </w:tc>
        <w:tc>
          <w:tcPr>
            <w:tcW w:w="4260" w:type="dxa"/>
            <w:vAlign w:val="bottom"/>
            <w:gridSpan w:val="2"/>
          </w:tcPr>
          <w:p>
            <w:pPr>
              <w:ind w:left="220"/>
              <w:spacing w:after="0"/>
              <w:rPr>
                <w:sz w:val="20"/>
                <w:szCs w:val="20"/>
                <w:color w:val="auto"/>
              </w:rPr>
            </w:pP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Reported interim results from two Phase 2 single-</w:t>
            </w:r>
          </w:p>
        </w:tc>
      </w:tr>
      <w:tr>
        <w:trPr>
          <w:trHeight w:val="216"/>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w w:val="97"/>
              </w:rPr>
              <w:t>agent trials – in advanced ovarian cancer and in</w:t>
            </w:r>
          </w:p>
        </w:tc>
      </w:tr>
      <w:tr>
        <w:trPr>
          <w:trHeight w:val="230"/>
        </w:trPr>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non-small cell lung adenocarcinoma</w:t>
            </w:r>
          </w:p>
        </w:tc>
      </w:tr>
      <w:tr>
        <w:trPr>
          <w:trHeight w:val="418"/>
        </w:trPr>
        <w:tc>
          <w:tcPr>
            <w:tcW w:w="2900" w:type="dxa"/>
            <w:vAlign w:val="bottom"/>
          </w:tcPr>
          <w:p>
            <w:pPr>
              <w:spacing w:after="0"/>
              <w:rPr>
                <w:sz w:val="24"/>
                <w:szCs w:val="24"/>
                <w:color w:val="auto"/>
              </w:rPr>
            </w:pPr>
          </w:p>
        </w:tc>
        <w:tc>
          <w:tcPr>
            <w:tcW w:w="4260" w:type="dxa"/>
            <w:vAlign w:val="bottom"/>
            <w:gridSpan w:val="2"/>
          </w:tcPr>
          <w:p>
            <w:pPr>
              <w:ind w:left="2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Initiated Japanese Phase 1 trial of aflibercept in</w:t>
            </w:r>
          </w:p>
        </w:tc>
      </w:tr>
      <w:tr>
        <w:trPr>
          <w:trHeight w:val="216"/>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combination with S-1 in patients with solid</w:t>
            </w:r>
          </w:p>
        </w:tc>
      </w:tr>
      <w:tr>
        <w:trPr>
          <w:trHeight w:val="212"/>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malignancies</w:t>
            </w:r>
          </w:p>
        </w:tc>
      </w:tr>
      <w:tr>
        <w:trPr>
          <w:trHeight w:val="220"/>
        </w:trPr>
        <w:tc>
          <w:tcPr>
            <w:tcW w:w="2900" w:type="dxa"/>
            <w:vAlign w:val="bottom"/>
          </w:tcPr>
          <w:p>
            <w:pPr>
              <w:spacing w:after="0"/>
              <w:rPr>
                <w:sz w:val="19"/>
                <w:szCs w:val="19"/>
                <w:color w:val="auto"/>
              </w:rPr>
            </w:pPr>
          </w:p>
        </w:tc>
        <w:tc>
          <w:tcPr>
            <w:tcW w:w="4260" w:type="dxa"/>
            <w:vAlign w:val="bottom"/>
            <w:gridSpan w:val="2"/>
          </w:tcPr>
          <w:p>
            <w:pPr>
              <w:ind w:left="2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Sanofi-aventis initiated two Phase 3 trials of</w:t>
            </w:r>
          </w:p>
        </w:tc>
      </w:tr>
      <w:tr>
        <w:trPr>
          <w:trHeight w:val="216"/>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aflibercept in combination with standard</w:t>
            </w:r>
          </w:p>
        </w:tc>
      </w:tr>
      <w:tr>
        <w:trPr>
          <w:trHeight w:val="230"/>
        </w:trPr>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chemotherapy regimens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2007-8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730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 w:lineRule="exact"/>
        <w:rPr>
          <w:sz w:val="20"/>
          <w:szCs w:val="20"/>
          <w:color w:val="auto"/>
        </w:rPr>
      </w:pPr>
    </w:p>
    <w:p>
      <w:pPr>
        <w:ind w:left="300" w:right="100" w:hanging="292"/>
        <w:spacing w:after="0" w:line="250" w:lineRule="auto"/>
        <w:tabs>
          <w:tab w:leader="none" w:pos="30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Sanofi-aventis to initiate two additional Phase 3 studies of aflibercept in combination with standard chemotherapy regimens in specific cancer indications</w:t>
      </w:r>
    </w:p>
    <w:p>
      <w:pPr>
        <w:ind w:left="300" w:right="240" w:hanging="292"/>
        <w:spacing w:after="0" w:line="261" w:lineRule="auto"/>
        <w:tabs>
          <w:tab w:leader="none" w:pos="30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NCI/CTEP to initiate additional new exploratory safety and efficacy studies</w:t>
      </w:r>
    </w:p>
    <w:p>
      <w:pPr>
        <w:spacing w:after="0" w:line="1478" w:lineRule="exact"/>
        <w:rPr>
          <w:sz w:val="20"/>
          <w:szCs w:val="20"/>
          <w:color w:val="auto"/>
        </w:rPr>
      </w:pPr>
    </w:p>
    <w:p>
      <w:pPr>
        <w:sectPr>
          <w:pgSz w:w="11900" w:h="16838" w:orient="portrait"/>
          <w:cols w:equalWidth="0" w:num="2">
            <w:col w:w="7160" w:space="200"/>
            <w:col w:w="4060"/>
          </w:cols>
          <w:pgMar w:left="240" w:top="419" w:right="239" w:bottom="1440" w:gutter="0" w:footer="0" w:header="0"/>
          <w:type w:val="continuous"/>
        </w:sectPr>
      </w:pPr>
    </w:p>
    <w:p>
      <w:pPr>
        <w:spacing w:after="0" w:line="11" w:lineRule="exact"/>
        <w:rPr>
          <w:sz w:val="20"/>
          <w:szCs w:val="20"/>
          <w:color w:val="auto"/>
        </w:rPr>
      </w:pPr>
    </w:p>
    <w:p>
      <w:pPr>
        <w:spacing w:after="0"/>
        <w:tabs>
          <w:tab w:leader="none" w:pos="3100" w:val="left"/>
          <w:tab w:leader="none" w:pos="3380" w:val="left"/>
        </w:tabs>
        <w:rPr>
          <w:sz w:val="20"/>
          <w:szCs w:val="20"/>
          <w:color w:val="auto"/>
        </w:rPr>
      </w:pPr>
      <w:r>
        <w:rPr>
          <w:rFonts w:ascii="Arial" w:cs="Arial" w:eastAsia="Arial" w:hAnsi="Arial"/>
          <w:sz w:val="18"/>
          <w:szCs w:val="18"/>
          <w:color w:val="auto"/>
        </w:rPr>
        <w:t>VEGF Trap-Eye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Initiated first Phase 3 trial in wet AMD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ind w:left="220"/>
        <w:spacing w:after="0"/>
        <w:tabs>
          <w:tab w:leader="none" w:pos="3380" w:val="left"/>
        </w:tabs>
        <w:rPr>
          <w:sz w:val="20"/>
          <w:szCs w:val="20"/>
          <w:color w:val="auto"/>
        </w:rPr>
      </w:pPr>
      <w:r>
        <w:rPr>
          <w:rFonts w:ascii="Arial" w:cs="Arial" w:eastAsia="Arial" w:hAnsi="Arial"/>
          <w:sz w:val="18"/>
          <w:szCs w:val="18"/>
          <w:color w:val="auto"/>
        </w:rPr>
        <w:t>(intravitreal injection)</w:t>
      </w:r>
      <w:r>
        <w:rPr>
          <w:sz w:val="20"/>
          <w:szCs w:val="20"/>
          <w:color w:val="auto"/>
        </w:rPr>
        <w:tab/>
      </w:r>
      <w:r>
        <w:rPr>
          <w:rFonts w:ascii="Arial" w:cs="Arial" w:eastAsia="Arial" w:hAnsi="Arial"/>
          <w:sz w:val="15"/>
          <w:szCs w:val="15"/>
          <w:color w:val="auto"/>
        </w:rPr>
        <w:t>in the U.S. and Canada</w:t>
      </w:r>
    </w:p>
    <w:p>
      <w:pPr>
        <w:spacing w:after="0" w:line="9" w:lineRule="exact"/>
        <w:rPr>
          <w:sz w:val="20"/>
          <w:szCs w:val="20"/>
          <w:color w:val="auto"/>
        </w:rPr>
      </w:pPr>
    </w:p>
    <w:p>
      <w:pPr>
        <w:ind w:left="3120"/>
        <w:spacing w:after="0"/>
        <w:tabs>
          <w:tab w:leader="none" w:pos="338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color w:val="auto"/>
        </w:rPr>
        <w:t>Reported positive primary endpoint results and</w:t>
      </w:r>
    </w:p>
    <w:p>
      <w:pPr>
        <w:spacing w:after="0" w:line="21"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preliminary extended treatment results of Phase 2</w:t>
      </w:r>
    </w:p>
    <w:p>
      <w:pPr>
        <w:spacing w:after="0" w:line="3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trial in wet AMD</w:t>
      </w:r>
    </w:p>
    <w:p>
      <w:pPr>
        <w:spacing w:after="0" w:line="9" w:lineRule="exact"/>
        <w:rPr>
          <w:sz w:val="20"/>
          <w:szCs w:val="20"/>
          <w:color w:val="auto"/>
        </w:rPr>
      </w:pPr>
    </w:p>
    <w:p>
      <w:pPr>
        <w:ind w:left="3120"/>
        <w:spacing w:after="0"/>
        <w:tabs>
          <w:tab w:leader="none" w:pos="33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Reported positive results in Phase 1 trial in DME</w:t>
      </w:r>
    </w:p>
    <w:p>
      <w:pPr>
        <w:spacing w:after="0" w:line="20" w:lineRule="exact"/>
        <w:rPr>
          <w:sz w:val="20"/>
          <w:szCs w:val="20"/>
          <w:color w:val="auto"/>
        </w:rPr>
      </w:pPr>
      <w:r>
        <w:rPr>
          <w:sz w:val="20"/>
          <w:szCs w:val="20"/>
          <w:color w:val="auto"/>
        </w:rPr>
        <w:br w:type="column"/>
      </w:r>
    </w:p>
    <w:p>
      <w:pPr>
        <w:jc w:val="both"/>
        <w:ind w:left="292" w:right="340" w:hanging="292"/>
        <w:spacing w:after="0" w:line="256" w:lineRule="auto"/>
        <w:tabs>
          <w:tab w:leader="none" w:pos="296"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Initiate second Phase 3 trial in wet AMD in the European Union and other countries around the world</w:t>
      </w:r>
    </w:p>
    <w:p>
      <w:pPr>
        <w:ind w:left="292" w:hanging="292"/>
        <w:spacing w:after="0"/>
        <w:tabs>
          <w:tab w:leader="none" w:pos="292"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Initiate Phase 3 trial in DME</w:t>
      </w:r>
    </w:p>
    <w:p>
      <w:pPr>
        <w:spacing w:after="0" w:line="9" w:lineRule="exact"/>
        <w:rPr>
          <w:rFonts w:ascii="Arial" w:cs="Arial" w:eastAsia="Arial" w:hAnsi="Arial"/>
          <w:sz w:val="18"/>
          <w:szCs w:val="18"/>
          <w:b w:val="1"/>
          <w:bCs w:val="1"/>
          <w:color w:val="auto"/>
        </w:rPr>
      </w:pPr>
    </w:p>
    <w:p>
      <w:pPr>
        <w:ind w:left="292" w:hanging="292"/>
        <w:spacing w:after="0"/>
        <w:tabs>
          <w:tab w:leader="none" w:pos="292"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Explore additional eye disease indications</w:t>
      </w:r>
    </w:p>
    <w:p>
      <w:pPr>
        <w:spacing w:after="0" w:line="393" w:lineRule="exact"/>
        <w:rPr>
          <w:sz w:val="20"/>
          <w:szCs w:val="20"/>
          <w:color w:val="auto"/>
        </w:rPr>
      </w:pPr>
    </w:p>
    <w:p>
      <w:pPr>
        <w:sectPr>
          <w:pgSz w:w="11900" w:h="16838" w:orient="portrait"/>
          <w:cols w:equalWidth="0" w:num="2">
            <w:col w:w="7020" w:space="348"/>
            <w:col w:w="4052"/>
          </w:cols>
          <w:pgMar w:left="240" w:top="419" w:right="239" w:bottom="1440" w:gutter="0" w:footer="0" w:header="0"/>
          <w:type w:val="continuous"/>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VelocImmune</w:t>
            </w:r>
            <w:r>
              <w:rPr>
                <w:rFonts w:ascii="Arial" w:cs="Arial" w:eastAsia="Arial" w:hAnsi="Arial"/>
                <w:sz w:val="15"/>
                <w:szCs w:val="15"/>
                <w:color w:val="auto"/>
              </w:rPr>
              <w:t>®</w:t>
            </w:r>
          </w:p>
        </w:tc>
        <w:tc>
          <w:tcPr>
            <w:tcW w:w="3080" w:type="dxa"/>
            <w:vAlign w:val="bottom"/>
            <w:tcBorders>
              <w:top w:val="single" w:sz="8" w:color="auto"/>
            </w:tcBorders>
          </w:tcPr>
          <w:p>
            <w:pPr>
              <w:ind w:left="2900"/>
              <w:spacing w:after="0"/>
              <w:rPr>
                <w:sz w:val="20"/>
                <w:szCs w:val="20"/>
                <w:color w:val="auto"/>
              </w:rPr>
            </w:pPr>
            <w:r>
              <w:rPr>
                <w:rFonts w:ascii="Arial" w:cs="Arial" w:eastAsia="Arial" w:hAnsi="Arial"/>
                <w:sz w:val="18"/>
                <w:szCs w:val="18"/>
                <w:b w:val="1"/>
                <w:bCs w:val="1"/>
                <w:color w:val="auto"/>
              </w:rPr>
              <w:t>•</w:t>
            </w:r>
          </w:p>
        </w:tc>
        <w:tc>
          <w:tcPr>
            <w:tcW w:w="38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Initiate first trial for antibody product candidate</w:t>
            </w:r>
          </w:p>
        </w:tc>
      </w:tr>
      <w:tr>
        <w:trPr>
          <w:trHeight w:val="220"/>
        </w:trPr>
        <w:tc>
          <w:tcPr>
            <w:tcW w:w="4460" w:type="dxa"/>
            <w:vAlign w:val="bottom"/>
          </w:tcPr>
          <w:p>
            <w:pPr>
              <w:spacing w:after="0"/>
              <w:rPr>
                <w:sz w:val="19"/>
                <w:szCs w:val="19"/>
                <w:color w:val="auto"/>
              </w:rPr>
            </w:pPr>
          </w:p>
        </w:tc>
        <w:tc>
          <w:tcPr>
            <w:tcW w:w="3080" w:type="dxa"/>
            <w:vAlign w:val="bottom"/>
          </w:tcPr>
          <w:p>
            <w:pPr>
              <w:ind w:left="2900"/>
              <w:spacing w:after="0"/>
              <w:rPr>
                <w:sz w:val="20"/>
                <w:szCs w:val="20"/>
                <w:color w:val="auto"/>
              </w:rPr>
            </w:pPr>
            <w:r>
              <w:rPr>
                <w:rFonts w:ascii="Arial" w:cs="Arial" w:eastAsia="Arial" w:hAnsi="Arial"/>
                <w:sz w:val="18"/>
                <w:szCs w:val="18"/>
                <w:b w:val="1"/>
                <w:bCs w:val="1"/>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Finalize plans to initiate clinical trials for two</w:t>
            </w:r>
          </w:p>
        </w:tc>
      </w:tr>
      <w:tr>
        <w:trPr>
          <w:trHeight w:val="230"/>
        </w:trPr>
        <w:tc>
          <w:tcPr>
            <w:tcW w:w="4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additional antibody candidates in 2008</w:t>
            </w:r>
          </w:p>
        </w:tc>
      </w:tr>
      <w:tr>
        <w:trPr>
          <w:trHeight w:val="216"/>
        </w:trPr>
        <w:tc>
          <w:tcPr>
            <w:tcW w:w="44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r>
        <w:trPr>
          <w:trHeight w:val="426"/>
        </w:trPr>
        <w:tc>
          <w:tcPr>
            <w:tcW w:w="4460" w:type="dxa"/>
            <w:vAlign w:val="bottom"/>
          </w:tcPr>
          <w:p>
            <w:pPr>
              <w:spacing w:after="0"/>
              <w:rPr>
                <w:sz w:val="20"/>
                <w:szCs w:val="20"/>
                <w:color w:val="auto"/>
              </w:rPr>
            </w:pPr>
            <w:r>
              <w:rPr>
                <w:rFonts w:ascii="Arial" w:cs="Arial" w:eastAsia="Arial" w:hAnsi="Arial"/>
                <w:sz w:val="18"/>
                <w:szCs w:val="18"/>
                <w:b w:val="1"/>
                <w:bCs w:val="1"/>
                <w:color w:val="auto"/>
              </w:rPr>
              <w:t>License Agreements</w:t>
            </w:r>
          </w:p>
        </w:tc>
        <w:tc>
          <w:tcPr>
            <w:tcW w:w="30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24"/>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AstraZeneca</w:t>
            </w:r>
          </w:p>
        </w:tc>
        <w:tc>
          <w:tcPr>
            <w:tcW w:w="3080" w:type="dxa"/>
            <w:vAlign w:val="bottom"/>
          </w:tcPr>
          <w:p>
            <w:pPr>
              <w:spacing w:after="0"/>
              <w:rPr>
                <w:sz w:val="24"/>
                <w:szCs w:val="24"/>
                <w:color w:val="auto"/>
              </w:rPr>
            </w:pPr>
          </w:p>
        </w:tc>
        <w:tc>
          <w:tcPr>
            <w:tcW w:w="3880" w:type="dxa"/>
            <w:vAlign w:val="bottom"/>
          </w:tcPr>
          <w:p>
            <w:pPr>
              <w:spacing w:after="0"/>
              <w:rPr>
                <w:sz w:val="24"/>
                <w:szCs w:val="24"/>
                <w:color w:val="auto"/>
              </w:rPr>
            </w:pPr>
          </w:p>
        </w:tc>
      </w:tr>
    </w:tbl>
    <w:p>
      <w:pPr>
        <w:spacing w:after="0" w:line="94"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 xml:space="preserve">In February 2007, we entered into a non-exclusive license agreement with AstraZeneca UK Limited that allows AstraZeneca to utilize our </w:t>
      </w:r>
      <w:r>
        <w:rPr>
          <w:rFonts w:ascii="Arial" w:cs="Arial" w:eastAsia="Arial" w:hAnsi="Arial"/>
          <w:sz w:val="16"/>
          <w:szCs w:val="16"/>
          <w:i w:val="1"/>
          <w:iCs w:val="1"/>
          <w:color w:val="auto"/>
        </w:rPr>
        <w:t>VelocImmune</w:t>
      </w:r>
      <w:r>
        <w:rPr>
          <w:rFonts w:ascii="Arial" w:cs="Arial" w:eastAsia="Arial" w:hAnsi="Arial"/>
          <w:sz w:val="13"/>
          <w:szCs w:val="13"/>
          <w:color w:val="auto"/>
        </w:rPr>
        <w:t>®</w:t>
      </w:r>
      <w:r>
        <w:rPr>
          <w:rFonts w:ascii="Arial" w:cs="Arial" w:eastAsia="Arial" w:hAnsi="Arial"/>
          <w:sz w:val="16"/>
          <w:szCs w:val="16"/>
          <w:color w:val="auto"/>
        </w:rPr>
        <w:t xml:space="preserve"> technology in its internal research programs to discover human monoclonal antibodies. Under the terms of the agreement, AstraZeneca made a $20.0 million non-refundable up-front payment to us. AstraZeneca also will make up to five additional annual payments of $20.0 million, subject to its ability to terminate the agreement after making the first three additional payments or earlier if the technology does not meet minimum performance criteria. We are entitled to receive a mid-single-digit royalty on any future sales of antibody products discovered by AstraZeneca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In March 2007, we entered into a non-exclusive license agreement with Astellas Pharma Inc. that allows Astellas to utilize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in its internal research programs to discover human monoclonal antibodies. Under the terms of the agreement, Astellas made a $20.0 million non-refundable up-front payment to us. Astellas also will make up to five additional annual payments of $20.0 million, subject to its ability to terminate the agreement after making the first three additional payments or earlier if the technology does not meet minimum performance criteria. We are entitled to receive a mid-single-digit royalty on any future sales of antibody products discovered by Astellas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Collaboration with Bayer HealthCare</w:t>
      </w:r>
    </w:p>
    <w:p>
      <w:pPr>
        <w:spacing w:after="0" w:line="121" w:lineRule="exact"/>
        <w:rPr>
          <w:sz w:val="20"/>
          <w:szCs w:val="20"/>
          <w:color w:val="auto"/>
        </w:rPr>
      </w:pPr>
    </w:p>
    <w:p>
      <w:pPr>
        <w:ind w:right="100" w:firstLine="215"/>
        <w:spacing w:after="0" w:line="255" w:lineRule="auto"/>
        <w:rPr>
          <w:sz w:val="20"/>
          <w:szCs w:val="20"/>
          <w:color w:val="auto"/>
        </w:rPr>
      </w:pPr>
      <w:r>
        <w:rPr>
          <w:rFonts w:ascii="Arial" w:cs="Arial" w:eastAsia="Arial" w:hAnsi="Arial"/>
          <w:sz w:val="18"/>
          <w:szCs w:val="18"/>
          <w:color w:val="auto"/>
        </w:rPr>
        <w:t>As described above, in October 2006 we entered into a VEGF Trap-Eye license and collaboration agreement with Bayer HealthCare. Under the terms of the agreement, Bayer HealthCare made a non-refundable up-front payment to us of $75.0 million. In August 2007, we received a $20.0 million development milestone payment from Bayer HealthCare, as described above. In 2007, agreed upon VEGF Trap-Eye development expenses incurred by both companies under a global development plan will be shared as follows: Up to the first $50.0 million will be shared equally; Regeneron is solely responsible for the next $40.0 million; over $90.0 million will be shared equally. Through September 30, 2007, reimbursements from Bayer HealthCare of our VEGF Trap-Eye development expenses total $12.9 million, of which $1.4 million was receivable at September 30, 2007. Neither party was reimbursed for any development expenses that it incurred prior to 2007.</w:t>
      </w:r>
    </w:p>
    <w:p>
      <w:pPr>
        <w:spacing w:after="0" w:line="81" w:lineRule="exact"/>
        <w:rPr>
          <w:sz w:val="20"/>
          <w:szCs w:val="20"/>
          <w:color w:val="auto"/>
        </w:rPr>
      </w:pPr>
    </w:p>
    <w:p>
      <w:pPr>
        <w:ind w:right="60" w:firstLine="222"/>
        <w:spacing w:after="0" w:line="290" w:lineRule="auto"/>
        <w:rPr>
          <w:sz w:val="20"/>
          <w:szCs w:val="20"/>
          <w:color w:val="auto"/>
        </w:rPr>
      </w:pPr>
      <w:r>
        <w:rPr>
          <w:rFonts w:ascii="Arial" w:cs="Arial" w:eastAsia="Arial" w:hAnsi="Arial"/>
          <w:sz w:val="16"/>
          <w:szCs w:val="16"/>
          <w:color w:val="auto"/>
        </w:rPr>
        <w:t>We and Bayer HealthCare are currently formalizing our global development plans for the VEGF Trap-Eye in wet AMD and DME. The plans will include estimated development steps, timelines, and costs, as well as the projected responsibilities of and costs to be incurred by each of the companies. Pending completion of these plans, all payments received or receivable from Bayer HealthCare through September 30, 2007, totaling $107.9 million, have been fully deferred and included in deferred revenue for financial statement purposes. When the plans are formalized later this year, we will determine the appropriate accounting policy for payments from Bayer HealthCare and the financial statement classifications and periods in which past and future payments from Bayer (including the $75.0 million up-front payment, development and regulatory milestone payments, and reimbursements of Regeneron development expenses) will be recognized in our Statement of Operations. In the period when we commence recognizing previously deferred payments from Bayer HealthCare, we anticipate recording a cumulative catch-up for the period since inception of the collaboration in October 2006, which cannot be quantified at this time.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2007 and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Regeneron reported a net loss of $35.8 million, or $0.54 per share (basic and diluted), for the third quarter of 2007 compared to a net loss of $27.4 million, or $0.48 per share (basic and diluted), for the third quarter of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for the three months ended September 30, 2007 and 2006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Increase</w:t>
            </w:r>
          </w:p>
        </w:tc>
      </w:tr>
      <w:tr>
        <w:trPr>
          <w:trHeight w:val="171"/>
        </w:trPr>
        <w:tc>
          <w:tcPr>
            <w:tcW w:w="586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20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The sanofi-aventis Group</w:t>
            </w: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23"/>
        </w:trPr>
        <w:tc>
          <w:tcPr>
            <w:tcW w:w="5860" w:type="dxa"/>
            <w:vAlign w:val="bottom"/>
          </w:tcPr>
          <w:p>
            <w:pPr>
              <w:ind w:left="420"/>
              <w:spacing w:after="0"/>
              <w:rPr>
                <w:sz w:val="20"/>
                <w:szCs w:val="20"/>
                <w:color w:val="auto"/>
              </w:rPr>
            </w:pPr>
            <w:r>
              <w:rPr>
                <w:rFonts w:ascii="Arial" w:cs="Arial" w:eastAsia="Arial" w:hAnsi="Arial"/>
                <w:sz w:val="18"/>
                <w:szCs w:val="18"/>
                <w:color w:val="auto"/>
              </w:rPr>
              <w:t>Total contract research &amp; development revenue</w:t>
            </w:r>
          </w:p>
        </w:tc>
        <w:tc>
          <w:tcPr>
            <w:tcW w:w="2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Contract manufacturing revenue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Technology licensing revenue</w:t>
            </w:r>
          </w:p>
        </w:tc>
        <w:tc>
          <w:tcPr>
            <w:tcW w:w="2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6</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0"/>
        </w:trPr>
        <w:tc>
          <w:tcPr>
            <w:tcW w:w="5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 xml:space="preserve">We recognize revenue from sanofi-aventis, in connection with the companies’ aflibercept collaboration, in accordance with Staff Accounting Bulletin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(SAB 104) and FASB Emerging Issues Task Force Issue No. 00-21, </w:t>
      </w:r>
      <w:r>
        <w:rPr>
          <w:rFonts w:ascii="Arial" w:cs="Arial" w:eastAsia="Arial" w:hAnsi="Arial"/>
          <w:sz w:val="17"/>
          <w:szCs w:val="17"/>
          <w:i w:val="1"/>
          <w:iCs w:val="1"/>
          <w:color w:val="auto"/>
        </w:rPr>
        <w:t>Accounting for Revenue Arrangements with Multiple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Deliverables </w:t>
      </w:r>
      <w:r>
        <w:rPr>
          <w:rFonts w:ascii="Arial" w:cs="Arial" w:eastAsia="Arial" w:hAnsi="Arial"/>
          <w:sz w:val="17"/>
          <w:szCs w:val="17"/>
          <w:color w:val="auto"/>
        </w:rPr>
        <w:t>(EITF 00-21). We earn contract research and development revenue from sanofi-aventis which, as detailed below, consists partly of</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for research and development expenses and partly of the recognition of revenue related to a total of $105.0 million of non-refundable, up-front payments received in 2003 and 2006. Non-refundable up-front license payments are recorded as deferred revenue and recognized over the period over which we are obligated to perform services. We estimate our performance period based on the specific terms of each agreement, and adjust the performance periods, if appropriate, based on the applicable facts and circumstances.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20"/>
                <w:szCs w:val="20"/>
                <w:color w:val="auto"/>
              </w:rPr>
            </w:pPr>
            <w:r>
              <w:rPr>
                <w:rFonts w:ascii="Arial" w:cs="Arial" w:eastAsia="Arial" w:hAnsi="Arial"/>
                <w:sz w:val="14"/>
                <w:szCs w:val="14"/>
                <w:b w:val="1"/>
                <w:bCs w:val="1"/>
                <w:color w:val="auto"/>
              </w:rPr>
              <w:t>Sanofi-aventis Contract Research &amp; Development Revenue</w:t>
            </w:r>
          </w:p>
        </w:tc>
        <w:tc>
          <w:tcPr>
            <w:tcW w:w="2340" w:type="dxa"/>
            <w:vAlign w:val="bottom"/>
          </w:tcPr>
          <w:p>
            <w:pPr>
              <w:spacing w:after="0"/>
              <w:rPr>
                <w:sz w:val="14"/>
                <w:szCs w:val="14"/>
                <w:color w:val="auto"/>
              </w:rPr>
            </w:pPr>
          </w:p>
        </w:tc>
        <w:tc>
          <w:tcPr>
            <w:tcW w:w="2300" w:type="dxa"/>
            <w:vAlign w:val="bottom"/>
            <w:gridSpan w:val="7"/>
          </w:tcPr>
          <w:p>
            <w:pPr>
              <w:ind w:left="20"/>
              <w:spacing w:after="0"/>
              <w:rPr>
                <w:sz w:val="20"/>
                <w:szCs w:val="20"/>
                <w:color w:val="auto"/>
              </w:rPr>
            </w:pPr>
            <w:r>
              <w:rPr>
                <w:rFonts w:ascii="Arial" w:cs="Arial" w:eastAsia="Arial" w:hAnsi="Arial"/>
                <w:sz w:val="14"/>
                <w:szCs w:val="14"/>
                <w:b w:val="1"/>
                <w:bCs w:val="1"/>
                <w:color w:val="auto"/>
                <w:w w:val="95"/>
              </w:rPr>
              <w:t>Three months ended September 30,</w:t>
            </w:r>
          </w:p>
        </w:tc>
      </w:tr>
      <w:tr>
        <w:trPr>
          <w:trHeight w:val="171"/>
        </w:trPr>
        <w:tc>
          <w:tcPr>
            <w:tcW w:w="67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Regeneron expense reimbursement</w:t>
            </w:r>
          </w:p>
        </w:tc>
        <w:tc>
          <w:tcPr>
            <w:tcW w:w="250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Recognition of deferred revenue related to up-front payments</w:t>
            </w:r>
          </w:p>
        </w:tc>
        <w:tc>
          <w:tcPr>
            <w:tcW w:w="2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0"/>
        </w:trPr>
        <w:tc>
          <w:tcPr>
            <w:tcW w:w="6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Recognition of deferred revenue related to sanofi-aventis’ up-front payments decreased in the third quarter of 2007 from the same period in 2006, due to an extension of the estimated performance period over which this deferred revenue is being recognized. As of September 30, 2007, $63.2 million of the original $105.0 million of up-front payments was deferred and will be recognized as revenue in future periods.</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Other contract research and development revenue includes $2.2 million and $0.1 million in the third quarters of 2007 and 2006, respectively, recognized in connection with our five-year grant from the National Institutes of Health (NIH), which we were awarded in September 2006 as part of the NIH’s Knockout Mouse Project.</w:t>
      </w:r>
    </w:p>
    <w:p>
      <w:pPr>
        <w:spacing w:after="0" w:line="7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Contract manufacturing revenue for the third quarter of 2006 related to our long-term agreement with Merck &amp; Co., Inc., which expired in October 2006, to manufacture a vaccine intermediate at our Rensselaer, New York facility. Revenue and the related manufacturing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expense were recognized as product was shipped, after acceptance by Merck. Included in contract manufacturing revenue in the third quarter of 2006 was $0.4 million of deferred revenue associated with capital improvement reimbursements paid by Merck prior to commencement of production. We do not expect to receive any further contract manufacturing revenue from Merck.</w:t>
      </w:r>
    </w:p>
    <w:p>
      <w:pPr>
        <w:spacing w:after="0" w:line="73"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connection with our license agreement with AstraZeneca, as described above, the $20.0 million non-refundable up-front payment, which we received in February 2007, was deferred and is being recognized as revenue ratably over the twelve month period beginning in February 2007. In connection with our license agreement with Astellas, as described above, the $20.0 million non-refundable up-front payment, which we received in April 2007, was deferred and is being recognized as revenue ratably over the twelve month period beginning in June 2007. In the third quarter of 2007, we recognized $10.0 million of technology licensing revenue related to these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Total operating expenses increased to $61.0 million in the third quarter of 2007 from $43.9 million in the same period of 2006. Our average employee headcount in the third quarter of 2007 increased to 639 from 557 in the third quarter of 2006, primarily to support our expanded development programs for the VEGF Trap-Eye and rilonacept, and our plans to move our first antibody candidate into clinical trials. Operating expenses in the third quarter of 2007 and 2006 include a total of $7.0 million and $4.7 million, respectively, of non-cash compensation expense related to employee stock option awards (Stock Option Expense), as detailed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w w:val="94"/>
              </w:rPr>
              <w:t>For the three months ended September 30, 2007</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Expenses before</w:t>
            </w:r>
          </w:p>
        </w:tc>
        <w:tc>
          <w:tcPr>
            <w:tcW w:w="14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Stock Option</w:t>
            </w:r>
          </w:p>
        </w:tc>
        <w:tc>
          <w:tcPr>
            <w:tcW w:w="11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734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inclusion of Stock</w:t>
            </w:r>
          </w:p>
        </w:tc>
        <w:tc>
          <w:tcPr>
            <w:tcW w:w="1480" w:type="dxa"/>
            <w:vAlign w:val="bottom"/>
            <w:gridSpan w:val="4"/>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Option Expense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Expense</w:t>
            </w:r>
          </w:p>
        </w:tc>
        <w:tc>
          <w:tcPr>
            <w:tcW w:w="34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4.1</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7.0</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w w:val="94"/>
              </w:rPr>
              <w:t>For the three months ended September 30, 2006</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Expenses before</w:t>
            </w:r>
          </w:p>
        </w:tc>
        <w:tc>
          <w:tcPr>
            <w:tcW w:w="14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Stock Option</w:t>
            </w:r>
          </w:p>
        </w:tc>
        <w:tc>
          <w:tcPr>
            <w:tcW w:w="11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734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inclusion of Stock</w:t>
            </w:r>
          </w:p>
        </w:tc>
        <w:tc>
          <w:tcPr>
            <w:tcW w:w="1480" w:type="dxa"/>
            <w:vAlign w:val="bottom"/>
            <w:gridSpan w:val="4"/>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Option Expense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Expense</w:t>
            </w:r>
          </w:p>
        </w:tc>
        <w:tc>
          <w:tcPr>
            <w:tcW w:w="34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2.7</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Contract manufacturing</w:t>
            </w:r>
          </w:p>
        </w:tc>
        <w:tc>
          <w:tcPr>
            <w:tcW w:w="3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4.7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r>
              <w:rPr>
                <w:rFonts w:ascii="Arial" w:cs="Arial" w:eastAsia="Arial" w:hAnsi="Arial"/>
                <w:sz w:val="18"/>
                <w:szCs w:val="18"/>
                <w:u w:val="single" w:color="auto"/>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increase in total Stock Option Expense in the third quarter of 2007 was primarily due to the higher fair market value of our Common Stock on the date of our annual employee option grants made in December 2006 in comparison to the fair market value of our Common Stock on the dates of annual employee option grants made in recent prior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Research and development expenses increased to $51.7 million in the third quarter of 2007 from $34.8 million in the same period of 2006. The following table summarizes the major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categories of our research and development expenses for the three months ended September 30, 2007 and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jc w:val="right"/>
              <w:ind w:right="87"/>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Research and development expenses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(1)</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5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Clinical manufacturing costs (2)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Research and preclinical development costs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Total research and development</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$3.4 million and $2.3 million of Stock Option Expense for the three months ended September 30, 2007 and 2006, respectively.</w:t>
      </w:r>
    </w:p>
    <w:p>
      <w:pPr>
        <w:spacing w:after="0" w:line="76" w:lineRule="exact"/>
        <w:rPr>
          <w:rFonts w:ascii="Arial" w:cs="Arial" w:eastAsia="Arial" w:hAnsi="Arial"/>
          <w:sz w:val="18"/>
          <w:szCs w:val="18"/>
          <w:color w:val="auto"/>
        </w:rPr>
      </w:pPr>
    </w:p>
    <w:p>
      <w:pPr>
        <w:ind w:left="460" w:right="260" w:hanging="452"/>
        <w:spacing w:after="0" w:line="31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Stock Option Expense, manufacturing materials and supplies, depreciation, and occupancy costs of our Rensselaer manufacturing facility. Includes $0.7 million and $0.5 million of Stock Option Expense for the three months ended September 30, 2007 and 2006, respectively.</w:t>
      </w:r>
    </w:p>
    <w:p>
      <w:pPr>
        <w:spacing w:after="0" w:line="39" w:lineRule="exact"/>
        <w:rPr>
          <w:sz w:val="20"/>
          <w:szCs w:val="20"/>
          <w:color w:val="auto"/>
        </w:rPr>
      </w:pPr>
    </w:p>
    <w:p>
      <w:pPr>
        <w:ind w:right="180" w:firstLine="225"/>
        <w:spacing w:after="0" w:line="291" w:lineRule="auto"/>
        <w:rPr>
          <w:sz w:val="20"/>
          <w:szCs w:val="20"/>
          <w:color w:val="auto"/>
        </w:rPr>
      </w:pPr>
      <w:r>
        <w:rPr>
          <w:rFonts w:ascii="Arial" w:cs="Arial" w:eastAsia="Arial" w:hAnsi="Arial"/>
          <w:sz w:val="16"/>
          <w:szCs w:val="16"/>
          <w:color w:val="auto"/>
        </w:rPr>
        <w:t>Payroll and benefits increased primarily due to higher compensation expense due, in part, to the increase in employee headcount, as described above and annual salary increases effective January 1, 2007, and higher Stock Option Expense, as described above. Clinical trial expenses increased due primarily to</w:t>
      </w:r>
    </w:p>
    <w:p>
      <w:pPr>
        <w:ind w:right="20" w:firstLine="8"/>
        <w:spacing w:after="0" w:line="292" w:lineRule="auto"/>
        <w:tabs>
          <w:tab w:leader="none" w:pos="215" w:val="left"/>
        </w:tabs>
        <w:numPr>
          <w:ilvl w:val="0"/>
          <w:numId w:val="9"/>
        </w:numPr>
        <w:rPr>
          <w:rFonts w:ascii="Arial" w:cs="Arial" w:eastAsia="Arial" w:hAnsi="Arial"/>
          <w:sz w:val="16"/>
          <w:szCs w:val="16"/>
          <w:color w:val="auto"/>
        </w:rPr>
      </w:pPr>
      <w:r>
        <w:rPr>
          <w:rFonts w:ascii="Arial" w:cs="Arial" w:eastAsia="Arial" w:hAnsi="Arial"/>
          <w:sz w:val="16"/>
          <w:szCs w:val="16"/>
          <w:color w:val="auto"/>
        </w:rPr>
        <w:t>higher costs related to our ongoing Phase 1 and 2 studies of the VEGF Trap-Eye in wet AMD, (ii) costs related to our Phase 3 study of the VEGF Trap-Eye in wet AMD, which we initiated in the third quarter of 2007, and (iii) higher rilonacept costs. Clinical manufacturing costs increased primarily due to higher costs related to manufacturing rilonacept and preclinical and clinical supplies of our first antibody drug candidate. Research and preclinical development costs increased primarily due to higher costs related to our human monoclonal antibody programs and utilization of our proprietary technology platforms, such as for our NIH grant, as described above. Occupancy and other operating costs increased primarily as a result of higher facility-related and maintenance costs.</w:t>
      </w:r>
    </w:p>
    <w:p>
      <w:pPr>
        <w:spacing w:after="0" w:line="55"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We budget our research and development costs by expense category, rather than by project. We also prepare estimates of research and development costs for projects in clinical development, which include direct costs and allocations of certain costs such as indirect labor, non-cash stock-based employee compensation expense related to stock option awards, and manufacturing and other costs related to activities that benefit multiple projects. Our estimates of research and development costs for clinical development programs are shown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jc w:val="center"/>
              <w:ind w:left="235"/>
              <w:spacing w:after="0"/>
              <w:rPr>
                <w:sz w:val="20"/>
                <w:szCs w:val="20"/>
                <w:color w:val="auto"/>
              </w:rPr>
            </w:pPr>
            <w:r>
              <w:rPr>
                <w:rFonts w:ascii="Arial" w:cs="Arial" w:eastAsia="Arial" w:hAnsi="Arial"/>
                <w:sz w:val="14"/>
                <w:szCs w:val="14"/>
                <w:b w:val="1"/>
                <w:bCs w:val="1"/>
                <w:color w:val="auto"/>
                <w:w w:val="91"/>
              </w:rPr>
              <w:t>Three months ended September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color w:val="auto"/>
              </w:rPr>
              <w:t>Project Costs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Rilonacept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Aflibercept (VEGF Trap) – Oncology</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VEGF Trap- Eye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research programs &amp; unallocated costs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8</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humans, or clinical study, of the potential new drug. Clinical development typically involves three phases of study: Phase 1, 2 and 3. The most significant costs in clinical development are in Phase 3 clinical trials, as they tend to be the longest and largest studies in the drug development process. Following successful completion of Phase 3 clinical trials for a biological product, a biologics license application (or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rilonacept, aflibercept, and the VEGF Trap-Eye in different disease indications.</w:t>
      </w:r>
    </w:p>
    <w:p>
      <w:pPr>
        <w:spacing w:after="0" w:line="72"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below in Item 1A, “Risk Factors” under “Risks Related to Development of Our Product Candidates,” ”Regulatory and Litigation Risks,” and “Risks Related to Commercialization of Products.”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7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For these reasons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product revenues and material net cash inflows. In the second quarter of 2007, we submitted a BLA for our rilonacept for the treatment of CAPS, a group of rare genetic disorders. We cannot predict whether or when the commercialization of rilonacept in CAPS will result in a material net cash inflow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Contract manufacturing expenses decreased in the third quarter of 2007 compared to the same period of 2006 due to the expiration of our manufacturing agreement with Merck in October 2006.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General and administrative expenses increased to $9.3 million in the third quarter of 2007 from $6.0 million in the same period of 2006 primarily due to</w:t>
      </w:r>
    </w:p>
    <w:p>
      <w:pPr>
        <w:spacing w:after="0" w:line="35" w:lineRule="exact"/>
        <w:rPr>
          <w:sz w:val="20"/>
          <w:szCs w:val="20"/>
          <w:color w:val="auto"/>
        </w:rPr>
      </w:pPr>
    </w:p>
    <w:p>
      <w:pPr>
        <w:ind w:right="120" w:firstLine="8"/>
        <w:spacing w:after="0" w:line="253" w:lineRule="auto"/>
        <w:tabs>
          <w:tab w:leader="none" w:pos="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Stock Option Expense, as described above, (ii) higher compensation expense due, in part, to increases in administrative headcount in 2007 to support our expanded research and development activities and annual salary increases effective January 1, 2007, (iii) higher recruitment and related costs associated with expanding our headcount in 2007, (iv) higher fees for consultants and other professional services on various corporate matters, (v) marketing research and related expenses incurred in 2007 in connection with our rilonacept and VEGF Trap-Eye programs, and (vi) higher administrative facility and occupancy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right="240" w:firstLine="225"/>
        <w:spacing w:after="0" w:line="255" w:lineRule="auto"/>
        <w:rPr>
          <w:sz w:val="20"/>
          <w:szCs w:val="20"/>
          <w:color w:val="auto"/>
        </w:rPr>
      </w:pPr>
      <w:r>
        <w:rPr>
          <w:rFonts w:ascii="Arial" w:cs="Arial" w:eastAsia="Arial" w:hAnsi="Arial"/>
          <w:sz w:val="18"/>
          <w:szCs w:val="18"/>
          <w:color w:val="auto"/>
        </w:rPr>
        <w:t>Investment income increased to $5.8 million in the third quarter of 2007 from $3.9 million in the same period of 2006 resulting primarily from higher balances of cash and marketable securities (due, in part, to the up-front payment received from Bayer HealthCare in October 2006, as described above, and the receipt of net proceeds from the November 2006 public offering of our Common Stock). This increase was partly offset by a $0.8 million charge in the third quarter of 2007 related to marketable securities which we considered to be other than temporarily impaired. Interest expense was $3.0 million in the third quarter of 2007 and 2006. Interest expense is attributable primarily to $200.0 million of convertible notes issued in October 2001, which mature in October 2008 and bear interest at 5.5% per annum.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2007 and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right="780" w:firstLine="225"/>
        <w:spacing w:after="0" w:line="277" w:lineRule="auto"/>
        <w:rPr>
          <w:sz w:val="20"/>
          <w:szCs w:val="20"/>
          <w:color w:val="auto"/>
        </w:rPr>
      </w:pPr>
      <w:r>
        <w:rPr>
          <w:rFonts w:ascii="Arial" w:cs="Arial" w:eastAsia="Arial" w:hAnsi="Arial"/>
          <w:sz w:val="18"/>
          <w:szCs w:val="18"/>
          <w:color w:val="auto"/>
        </w:rPr>
        <w:t>Regeneron reported a net loss of $92.5 million, or $1.40 per share (basic and diluted), for the first nine months of 2007 compared to a net loss of $71.4 million, or $1.25 per share (basic and diluted), for the same period of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for the nine months ended September 30, 2007 and 2006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8"/>
        </w:trPr>
        <w:tc>
          <w:tcPr>
            <w:tcW w:w="58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20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The sanofi-aventis Group</w:t>
            </w: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38.7</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Total contract research &amp; development revenue</w:t>
            </w:r>
          </w:p>
        </w:tc>
        <w:tc>
          <w:tcPr>
            <w:tcW w:w="2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Contract manufacturing revenue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Technology licensing revenue</w:t>
            </w:r>
          </w:p>
        </w:tc>
        <w:tc>
          <w:tcPr>
            <w:tcW w:w="2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w:t>
            </w:r>
            <w:r>
              <w:rPr>
                <w:rFonts w:ascii="Arial" w:cs="Arial" w:eastAsia="Arial" w:hAnsi="Arial"/>
                <w:sz w:val="18"/>
                <w:szCs w:val="18"/>
                <w:u w:val="single" w:color="auto"/>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w:t>
            </w:r>
            <w:r>
              <w:rPr>
                <w:rFonts w:ascii="Arial" w:cs="Arial" w:eastAsia="Arial" w:hAnsi="Arial"/>
                <w:sz w:val="18"/>
                <w:szCs w:val="18"/>
                <w:u w:val="single" w:color="auto"/>
                <w:color w:val="auto"/>
              </w:rPr>
              <w:t>1</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We recognize revenue from sanofi-aventis, in connection with the companies’ aflibercept collaboration, in accordance with SAB 104 and EITF 00-21. We earn contract research and development revenue from sanofi-aventis which, as detailed below, consists partly of reimbursement for research and development expenses and partly of the recognition of revenue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related to a total of $105.0 million of non-refundable, up-front payments received in 2003 and 2006. Non-refundable up-front license payments are recorded as deferred revenue and recognized over the period over which we are obligated to perform services. We estimate our performance period based on the specific terms of each agreement, and adjust the performance periods, if appropriate, based on the applicable facts and circumstances.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gridSpan w:val="2"/>
          </w:tcPr>
          <w:p>
            <w:pPr>
              <w:spacing w:after="0"/>
              <w:rPr>
                <w:sz w:val="20"/>
                <w:szCs w:val="20"/>
                <w:color w:val="auto"/>
              </w:rPr>
            </w:pPr>
            <w:r>
              <w:rPr>
                <w:rFonts w:ascii="Arial" w:cs="Arial" w:eastAsia="Arial" w:hAnsi="Arial"/>
                <w:sz w:val="14"/>
                <w:szCs w:val="14"/>
                <w:b w:val="1"/>
                <w:bCs w:val="1"/>
                <w:color w:val="auto"/>
              </w:rPr>
              <w:t>Sanofi-aventis Contract Research &amp; Development Revenue</w:t>
            </w:r>
          </w:p>
        </w:tc>
        <w:tc>
          <w:tcPr>
            <w:tcW w:w="4580" w:type="dxa"/>
            <w:vAlign w:val="bottom"/>
            <w:gridSpan w:val="7"/>
          </w:tcPr>
          <w:p>
            <w:pPr>
              <w:ind w:left="240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78"/>
        </w:trPr>
        <w:tc>
          <w:tcPr>
            <w:tcW w:w="6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Regeneron expense reimbursement</w:t>
            </w:r>
          </w:p>
        </w:tc>
        <w:tc>
          <w:tcPr>
            <w:tcW w:w="256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Recognition of deferred revenue related to up-front payments</w:t>
            </w:r>
          </w:p>
        </w:tc>
        <w:tc>
          <w:tcPr>
            <w:tcW w:w="2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56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Sanofi-aventis’ reimbursement of Regeneron aflibercept expenses decreased in the first nine months of 2007 from the same period in 2006, primarily due to higher costs in 2006 related to the Company’s manufacture of aflibercept clinical supplies. Recognition of deferred revenue related to sanofi-aventis’ up-front payments decreased for the first nine months of 2007 from the same period in 2006, due to an extension of the estimated performance period over which this deferred revenue is being recognized. As of September 30, 2007, $63.2 million of the original $105.0 million of up-front payments was deferred and will be recognized as revenue in future periods.</w:t>
      </w:r>
    </w:p>
    <w:p>
      <w:pPr>
        <w:spacing w:after="0" w:line="80"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Other contract research and development revenue includes $4.5 million and $0.1 million for the first nine months of 2007 and 2006, respectively, recognized in connection with our five-year grant from the NIH, which we were awarded in September 2006 as part of the NIH’s Knockout Mouse Project.</w:t>
      </w:r>
    </w:p>
    <w:p>
      <w:pPr>
        <w:spacing w:after="0" w:line="16"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Contract manufacturing revenue for the first nine months of 2006 related to our long-term manufacturing agreement with Merck, which expired in October 2006. Revenue and the related manufacturing expense were recognized as product was shipped, after acceptance by Merck. Included in contract manufacturing revenue in the third quarter of 2006 was $1.2 million of deferred revenue associated with capital improvement reimbursements paid by Merck prior to commencement of production. We do not expect to receive any further contract manufacturing revenue from Merck.</w:t>
      </w:r>
    </w:p>
    <w:p>
      <w:pPr>
        <w:spacing w:after="0" w:line="63"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connection with our license agreement with AstraZeneca, as described above, the $20.0 million non-refundable up-front payment, which we received in February 2007, was deferred and is being recognized as revenue ratably over the twelve month period beginning in February 2007. In connection with our license agreement with Astellas, as described above, the $20.0 million non-refundable up-front payment, which we received in April 2007, was deferred and is being recognized as revenue ratably over the twelve month period beginning in June 2007. In the first nine months of 2007, we recognized $18.4 million of technology licensing revenue related to these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620" w:firstLine="222"/>
        <w:spacing w:after="0" w:line="264" w:lineRule="auto"/>
        <w:rPr>
          <w:sz w:val="20"/>
          <w:szCs w:val="20"/>
          <w:color w:val="auto"/>
        </w:rPr>
      </w:pPr>
      <w:r>
        <w:rPr>
          <w:rFonts w:ascii="Arial" w:cs="Arial" w:eastAsia="Arial" w:hAnsi="Arial"/>
          <w:sz w:val="18"/>
          <w:szCs w:val="18"/>
          <w:color w:val="auto"/>
        </w:rPr>
        <w:t>Total operating expenses increased to $163.2 million in the first nine months of 2007 from $127.3 million in the same period of 2006. Our average employee headcount in the first nine months of 2007 increased to 614 from 574 in the first nine months of 2006, primarily to support our expanded development programs for the VEGF Trap-Eye and rilonacept and our plans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move our first antibody candidate into clinical trials. Operating expenses for the first nine months of 2007 and 2006 include a total of $20.5 million and $13.2 million, respectively, of Stock Option Expense, as detailed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w w:val="93"/>
              </w:rPr>
              <w:t>For the nine months ended September 30, 2007</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Expenses before</w:t>
            </w:r>
          </w:p>
        </w:tc>
        <w:tc>
          <w:tcPr>
            <w:tcW w:w="14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Stock Option</w:t>
            </w:r>
          </w:p>
        </w:tc>
        <w:tc>
          <w:tcPr>
            <w:tcW w:w="11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734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inclusion of Stock</w:t>
            </w:r>
          </w:p>
        </w:tc>
        <w:tc>
          <w:tcPr>
            <w:tcW w:w="1480" w:type="dxa"/>
            <w:vAlign w:val="bottom"/>
            <w:gridSpan w:val="4"/>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Option Expense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Expense</w:t>
            </w:r>
          </w:p>
        </w:tc>
        <w:tc>
          <w:tcPr>
            <w:tcW w:w="34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w w:val="93"/>
              </w:rPr>
              <w:t>For the nine months ended September 30, 2006</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Expenses before</w:t>
            </w:r>
          </w:p>
        </w:tc>
        <w:tc>
          <w:tcPr>
            <w:tcW w:w="14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Stock Option</w:t>
            </w:r>
          </w:p>
        </w:tc>
        <w:tc>
          <w:tcPr>
            <w:tcW w:w="11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734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inclusion of Stock</w:t>
            </w:r>
          </w:p>
        </w:tc>
        <w:tc>
          <w:tcPr>
            <w:tcW w:w="1480" w:type="dxa"/>
            <w:vAlign w:val="bottom"/>
            <w:gridSpan w:val="4"/>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Option Expense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Expense</w:t>
            </w:r>
          </w:p>
        </w:tc>
        <w:tc>
          <w:tcPr>
            <w:tcW w:w="34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Contract manufacturing</w:t>
            </w:r>
          </w:p>
        </w:tc>
        <w:tc>
          <w:tcPr>
            <w:tcW w:w="3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increase in total Stock Option Expense in the first nine months of 2007 was primarily due to the higher fair market value of our Common Stock on the date of our annual employee option grants made in December 2006 in comparison to the fair market value of our Common Stock on the dates of annual employee option grants made in recent prior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380" w:firstLine="225"/>
        <w:spacing w:after="0" w:line="342" w:lineRule="auto"/>
        <w:rPr>
          <w:sz w:val="20"/>
          <w:szCs w:val="20"/>
          <w:color w:val="auto"/>
        </w:rPr>
      </w:pPr>
      <w:r>
        <w:rPr>
          <w:rFonts w:ascii="Arial" w:cs="Arial" w:eastAsia="Arial" w:hAnsi="Arial"/>
          <w:sz w:val="16"/>
          <w:szCs w:val="16"/>
          <w:color w:val="auto"/>
        </w:rPr>
        <w:t>Research and development expenses increased to $136.8 million in the first nine months of 2007 from $101.3 million in the same period of 2006. The following table summarizes the major categories of our research and development expenses for the nine months ended September 30, 2007 and 2006: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jc w:val="right"/>
              <w:ind w:right="127"/>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Research and development expenses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(1)</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32.7</w:t>
            </w:r>
          </w:p>
        </w:tc>
        <w:tc>
          <w:tcPr>
            <w:tcW w:w="5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8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Clinical manufacturing costs (2)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Research and preclinical development costs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8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Total research and development</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r>
              <w:rPr>
                <w:rFonts w:ascii="Arial" w:cs="Arial" w:eastAsia="Arial" w:hAnsi="Arial"/>
                <w:sz w:val="18"/>
                <w:szCs w:val="18"/>
                <w:u w:val="single" w:color="auto"/>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$9.8 million and $6.1 million of Stock Option Expense for the nine months ended September 30, 2007 and 2006, respectively.</w:t>
      </w:r>
    </w:p>
    <w:p>
      <w:pPr>
        <w:spacing w:after="0" w:line="76" w:lineRule="exact"/>
        <w:rPr>
          <w:rFonts w:ascii="Arial" w:cs="Arial" w:eastAsia="Arial" w:hAnsi="Arial"/>
          <w:sz w:val="18"/>
          <w:szCs w:val="18"/>
          <w:color w:val="auto"/>
        </w:rPr>
      </w:pPr>
    </w:p>
    <w:p>
      <w:pPr>
        <w:ind w:left="460" w:right="260" w:hanging="452"/>
        <w:spacing w:after="0" w:line="286"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the full cost of manufacturing drug for use in research, preclinical development, and clinical trials, including related payroll and benefits, Stock Option Expense, manufacturing materials and supplies, depreciation, and occupancy costs of our Rensselaer manufacturing facility. Includes $2.2 million and $1.2 million of Stock Option Expense for the nine months ended September 30, 2007 and 2006, respectively.</w:t>
      </w:r>
    </w:p>
    <w:p>
      <w:pPr>
        <w:spacing w:after="0" w:line="57"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Payroll and benefits increased primarily due to higher compensation expense due, in part, to the increase in employee headcount, as described above and annual salary increases effective January 1, 2007, and higher Stock Option Expense, as described above. Clinical trial expenses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increased due primarily to (i) higher costs related to our ongoing Phase 1 and 2 studies of the VEGF Trap-Eye in wet AMD, (ii) costs related to our Phase 3 study of the VEGF Trap-Eye in wet AMD, which we initiated in the third quarter of 2007, and (iii) higher rilonacept costs. Clinical manufacturing costs increased due primarily to higher costs related to manufacturing rilonacept and preclinical and clinical supplies of our first antibody drug candidate, which were partly offset by lower costs related to manufacturing VEGF Trap. Research and preclinical development costs increased primarily due to higher costs related to our human monoclonal antibody programs and utilization of our proprietary technology platforms, such as for our NIH grant, as described above. Occupancy and other operating costs increased primarily as a result of higher facility-related and maintenance costs.</w:t>
      </w:r>
    </w:p>
    <w:p>
      <w:pPr>
        <w:spacing w:after="0" w:line="5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budget our research and development costs by expense category, rather than by project. We also prepare estimates of research and development cost for projects in clinical development, which include direct costs and allocations of certain costs such as indirect labor, non-cash stock-based employee compensation expense related to stock option awards, and manufacturing and other costs related to activities that benefit multiple projects. Our estimates of research and development costs for clinical development programs are shown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jc w:val="center"/>
              <w:ind w:left="235"/>
              <w:spacing w:after="0"/>
              <w:rPr>
                <w:sz w:val="20"/>
                <w:szCs w:val="20"/>
                <w:color w:val="auto"/>
              </w:rPr>
            </w:pPr>
            <w:r>
              <w:rPr>
                <w:rFonts w:ascii="Arial" w:cs="Arial" w:eastAsia="Arial" w:hAnsi="Arial"/>
                <w:sz w:val="14"/>
                <w:szCs w:val="14"/>
                <w:b w:val="1"/>
                <w:bCs w:val="1"/>
                <w:color w:val="auto"/>
                <w:w w:val="91"/>
              </w:rPr>
              <w:t>Nine months ended September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color w:val="auto"/>
              </w:rPr>
              <w:t>Project Costs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Rilonacept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Aflibercept (VEGF Trap) – Oncology</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VEGF Trap- Eye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research programs &amp; unallocated costs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40.8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101.3</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r>
              <w:rPr>
                <w:rFonts w:ascii="Arial" w:cs="Arial" w:eastAsia="Arial" w:hAnsi="Arial"/>
                <w:sz w:val="18"/>
                <w:szCs w:val="18"/>
                <w:u w:val="single" w:color="auto"/>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25"/>
        <w:spacing w:after="0" w:line="257" w:lineRule="auto"/>
        <w:rPr>
          <w:sz w:val="20"/>
          <w:szCs w:val="20"/>
          <w:color w:val="auto"/>
        </w:rPr>
      </w:pPr>
      <w:r>
        <w:rPr>
          <w:rFonts w:ascii="Arial" w:cs="Arial" w:eastAsia="Arial" w:hAnsi="Arial"/>
          <w:sz w:val="18"/>
          <w:szCs w:val="18"/>
          <w:color w:val="auto"/>
        </w:rPr>
        <w:t>For the reasons described above under “Research and Development Expenses” for the three months ended September 30, 2007 and 2006,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product revenues and material net cash inflows.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17" w:lineRule="exact"/>
        <w:rPr>
          <w:sz w:val="20"/>
          <w:szCs w:val="20"/>
          <w:color w:val="auto"/>
        </w:rPr>
      </w:pPr>
    </w:p>
    <w:p>
      <w:pPr>
        <w:ind w:right="980" w:firstLine="225"/>
        <w:spacing w:after="0" w:line="277" w:lineRule="auto"/>
        <w:rPr>
          <w:sz w:val="20"/>
          <w:szCs w:val="20"/>
          <w:color w:val="auto"/>
        </w:rPr>
      </w:pPr>
      <w:r>
        <w:rPr>
          <w:rFonts w:ascii="Arial" w:cs="Arial" w:eastAsia="Arial" w:hAnsi="Arial"/>
          <w:sz w:val="18"/>
          <w:szCs w:val="18"/>
          <w:color w:val="auto"/>
        </w:rPr>
        <w:t>Contract manufacturing expenses decreased in the first nine months of 2007 compared to the same period of 2006 due to the expiration of our manufacturing agreement with Merck in October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General and administrative expenses increased to $26.4 million in the first nine months of 2007 from $18.3 million in the same period of 2006 primarily due to (i) higher Stock Option Expense, as described above, (ii) higher compensation expense due, in part, to increases in administrative headcount in 2007 to support our expanded research and development activities and annual salary increases effective January 1, 2007, (iii) higher recruitment and related costs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associated with expanding our headcount in 2007, (iv) higher fees for consultants and other professional services on various corporate matters, and (v) marketing research and related expenses incurred in 2007 in connection with our rilonacept and VEGF Trap-Eye programs.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Investment income increased to $19.4 million in the first nine months of 2007 from $11.0 million in the same period of 2006 resulting primarily from higher balances of cash and marketable securities (due, in part, to the up-front payment received from Bayer HealthCare in October 2006, as described above, and the receipt of net proceeds from the November 2006 public offering of our Common Stock). This increase was partly offset by a $0.8 million charge in the first nine months of 2007 related to marketable securities which, during the third quarter of 2007, we considered to be other than temporarily impaired. Interest expense was $9.0 million in first nine months of 2007 and 2006. Interest expense is attributable primarily to $200.0 million of convertible notes issued in October 2001, which mature in October 2008 and bear interest at 5.5% per annum.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a private placement of convertible debt, payments earned under our past and present research and development and contract manufacturing agreements, including our agreements with sanofi-aventis, Bayer HealthCare, and Merck, and investment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2007 and 2006</w:t>
      </w:r>
    </w:p>
    <w:p>
      <w:pPr>
        <w:spacing w:after="0" w:line="117" w:lineRule="exact"/>
        <w:rPr>
          <w:sz w:val="20"/>
          <w:szCs w:val="20"/>
          <w:color w:val="auto"/>
        </w:rPr>
      </w:pPr>
    </w:p>
    <w:p>
      <w:pPr>
        <w:ind w:right="20" w:firstLine="215"/>
        <w:spacing w:after="0" w:line="302" w:lineRule="auto"/>
        <w:rPr>
          <w:sz w:val="20"/>
          <w:szCs w:val="20"/>
          <w:color w:val="auto"/>
        </w:rPr>
      </w:pPr>
      <w:r>
        <w:rPr>
          <w:rFonts w:ascii="Arial" w:cs="Arial" w:eastAsia="Arial" w:hAnsi="Arial"/>
          <w:sz w:val="16"/>
          <w:szCs w:val="16"/>
          <w:color w:val="auto"/>
        </w:rPr>
        <w:t>At September 30, 2007, we had $497.3 million in cash, cash equivalents, restricted cash, and marketable securities, compared with $522.9 million at December 31, 2006. In connection with our new non-exclusive license agreements with AstraZeneca and Astellas, as described above, AstraZeneca and Astellas each made an up-front payment to us of $20.0 million in February and April 2007, respectively. In the third quarter of 2007, the Company received a $20.0 million milestone payment from Bayer HealthCare following dosing of the first patient in the Phase 3 study of the VEGF Trap-Eye in wet AMD.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Operations:</w:t>
      </w:r>
    </w:p>
    <w:p>
      <w:pPr>
        <w:spacing w:after="0" w:line="117"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Net cash used in operations was $23.4 million in the first nine months of 2007, compared to $30.2 million in the first nine months of 2006. Our net losses of $92.5 million in the first nine months of 2007 and $71.4 million in the first nine months of 2006 included $20.5 million and $13.5 million, respectively, of non-cash stock-based employee compensation costs, of which $20.5 million and $13.2 million, respectively, represented Stock Option Expense and, in the first nine months of 2006, $0.3 million represented non-cash compensation expense from Restricted Stock awards. At September 30, 2007, our deferred revenue balances increased by $46.8 million, compared to year end 2006, due, in part, to the unrecognized balances of the two $20.0 million up-front payments received from each of AstraZeneca and Astellas, as described above. In addition, for the first nine months of 2007, the $20.0 million development milestone payment received from Bayer HealthCare in August 2007 and reimbursements from Bayer HealthCare of our 2007 VEGF Trap-Eye development expenses, totaling $12.9 million, have been fully</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deferred and included in deferred revenue for financial statement purposes, as discussed above. At September 30, 2006, accounts receivable balances decreased by $28.6 million, compared to year end 2005, primarily due to the January 2006 receipt of a $25.0 million up-front payment from sanofi-aventis, which was receivable at December 31, 2005, in connection with an amendment to our collaboration agreement to include Japan. Also, our deferred revenue balances at September 30, 2006 decreased by $12.5 million, compared to year end 2005, due primarily to the revenue recognition of $9.1 million of deferred revenue related to up-front payments from sanofi-aventis during the first nine months of 2006. The majority of our cash expenditures in both the first nine months of 2007 and 2006 were to fund research and development, primarily related to our clinical programs and, in the first nine months of 2007, our preclinical human monoclonal antibody programs.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Investing Activities: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cash used in investing activities was $122.2 million in the first nine months of 2007 compared to net cash provided by investing activities of</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$8.1 million in the same period of 2006, due primarily to an increase in purchases of marketable securities net of sales or maturities. In the first nine months of 2007, purchases of marketable securities exceeded sales or maturities by $114.5 million, whereas in the first nine months of 2006, sales or maturies of marketable securities exceeded purchases by $9.7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Cash provided by financing activities, which in the first nine months of 2007 and 2006 is attributable primarily to the issuance of Common Stock in connection with exercises of employee stock options, decreased slightly to $5.2 million in the first nine months of 2007 from $5.3 million in the same period in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AstraZeneca and Astellas:</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Under these non-exclusive license agreements, AstraZeneca and Astellas each made a $20.0 million non-refundable, up-front payment to us in February and April 2007, respectively. AstraZeneca and Astellas also will each make up to five additional annual payments of $20.0 million, subject to each licensee’s ability to terminate its license agreement with us after making the first three additional payments or earlier if the technology does not meet minimum performance criteria.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Our additions to property, plant, and equipment totaled $7.9 million and $1.8 million for the first nine months of 2007 and 2006, respectively. During the remainder of 2007, we expect to incur approximately $10-12 million in capital expenditures (including approximately $9 million to purchase a facility in Rensselaer, New York, as described below) primarily to support our manufacturing, development, and research activities.</w:t>
      </w:r>
    </w:p>
    <w:p>
      <w:pPr>
        <w:spacing w:after="0" w:line="5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During the second quarter of 2007, we exercised a purchase option on a building in Rensselaer, totaling approximately 270,000 square feet, in which we leased approximately 75,000 square feet of manufacturing, office and warehouse space. We completed the purchase of</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this property (land and building) in October 2007 at a cost of approximately $9 million, which is included in our anticipated capital expenditures for the remainder of 2007, as described above. The space that we do not occupy in this building is currently leased to another tenant.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17" w:lineRule="exact"/>
        <w:rPr>
          <w:sz w:val="20"/>
          <w:szCs w:val="20"/>
          <w:color w:val="auto"/>
        </w:rPr>
      </w:pPr>
    </w:p>
    <w:p>
      <w:pPr>
        <w:jc w:val="both"/>
        <w:ind w:right="220" w:firstLine="225"/>
        <w:spacing w:after="0" w:line="297" w:lineRule="auto"/>
        <w:rPr>
          <w:sz w:val="20"/>
          <w:szCs w:val="20"/>
          <w:color w:val="auto"/>
        </w:rPr>
      </w:pPr>
      <w:r>
        <w:rPr>
          <w:rFonts w:ascii="Arial" w:cs="Arial" w:eastAsia="Arial" w:hAnsi="Arial"/>
          <w:sz w:val="16"/>
          <w:szCs w:val="16"/>
          <w:color w:val="auto"/>
        </w:rPr>
        <w:t>In 2001, we issued $200.0 million aggregate principal amount of convertible senior subordinated notes, which bear interest at 5.5% per annum, payable semi-annually, and mature in October 2008. The notes are convertible into shares of our Common Stock at a conversion price of approximately $30.25 per share, subject to adjustment in certain circumstances. If the price per share of our Common Stock is above $30.25 at maturity, we would expect the notes to convert into shares of Common Stock. Otherwise, we will be required to repay the $200.0 million aggregate principal amount of the notes or refinance the notes prior to maturity; however, we can provide no assurance that we will be able to successfully arrange such refinancing.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Operating Lease – Tarrytown, New York Facilities:</w:t>
      </w:r>
    </w:p>
    <w:p>
      <w:pPr>
        <w:spacing w:after="0" w:line="117"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currently lease approximately 232,000 square feet of laboratory and office facilities in Tarrytown, New York. In December 2006, we entered into a new lease agreement to lease approximately 221,000 square feet of laboratory and office space at our current Tarrytown location, which includes approximately 27,000 square feet that would be retained from our current space and approximately 194,000 square feet in new facilities that are currently under construction and expected to be completed in mid-2009. In October 2007, we amended the December 2006 operating lease agreement to increase the amount of new space we will lease from approximately 194,000 square feet to approximately 230,000 square feet, for an amended total under the new lease of 257,000 square feet. The term of the lease is now expected to commence in mid-2008 and will expire approximately 16 years later. Other terms and conditions, as previously described in our Form 10-K for the year ended December 31, 2006, remain unchanged.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We expect to continue to incur substantial funding requirements primarily for research and development activities (including preclinical and clinical testing). Before taking into account reimbursements from collaborators, we currently anticipate that approximately 55-65% of our expenditures for 2007 will be directed toward the preclinical and clinical development of product candidates, including rilonacept, aflibercept, VEGF Trap-Eye and monoclonal antibodies; approximately 10-15% of our expenditures for 2007 will be applied to our basic research activities and the continued development of our novel technology platforms; and the remainder of our expenditures for 2007 will be used for capital expenditures and general corporate purposes.</w:t>
      </w:r>
    </w:p>
    <w:p>
      <w:pPr>
        <w:spacing w:after="0" w:line="50"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In connection with the amendment to our new operating lease agreement on our Tarrytown facilities and the purchase of a building in Rensselaer where we leased manufacturing, warehouse and office space, each as described above, our previously disclosed funding requirements for operating leases, as per our Form 10-K for the year ended December 31, 2006, will decrease for the two-year period beginning January 1, 2008 from $15.6 million to $13.9</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million, increase for the two-year period beginning January 1, 2010 from $24.0 million to $28.6 million, and increase, in the aggregate, for fiscal years beginning January 1, 2012 and thereafter from $161.4 million to $204.2 million.</w:t>
      </w:r>
    </w:p>
    <w:p>
      <w:pPr>
        <w:spacing w:after="0" w:line="62" w:lineRule="exact"/>
        <w:rPr>
          <w:sz w:val="20"/>
          <w:szCs w:val="20"/>
          <w:color w:val="auto"/>
        </w:rPr>
      </w:pPr>
    </w:p>
    <w:p>
      <w:pPr>
        <w:ind w:right="760" w:firstLine="225"/>
        <w:spacing w:after="0" w:line="277" w:lineRule="auto"/>
        <w:rPr>
          <w:sz w:val="20"/>
          <w:szCs w:val="20"/>
          <w:color w:val="auto"/>
        </w:rPr>
      </w:pPr>
      <w:r>
        <w:rPr>
          <w:rFonts w:ascii="Arial" w:cs="Arial" w:eastAsia="Arial" w:hAnsi="Arial"/>
          <w:sz w:val="18"/>
          <w:szCs w:val="18"/>
          <w:color w:val="auto"/>
        </w:rPr>
        <w:t>Under our collaboration with Bayer HealthCare, over the next several years we and Bayer HealthCare are sharing agreed upon VEGF Trap-Eye development expenses incurred by both companies, under a global development plan, as follows: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2007: Up to $50.0 million shared equally; we are solely responsible for up to the next $40.0 million; over $90.0 million shared equally.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Through September 30, 2007, cumulative shared development expenses have exceeded $50.0 million.</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2008: Up to $70.0 million shared equally, we are solely responsible for up to the next $30.0 million; over $100.0 million shared equally.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2009 and thereafter: All expenses shared equally.</w:t>
      </w:r>
    </w:p>
    <w:p>
      <w:pPr>
        <w:spacing w:after="0" w:line="117"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In addition, under our collaboration agreements with sanofi-aventis and Bayer Healthcare, if the applicable collaboration becomes profitable, we have contingent contractual obligations to reimburse sanofi-aventis and Bayer Healthcare for 50% of agreed-upon development expenses incurred by sanofi-aventis and Bayer Healthcare, respectively. Profitability under each collaboration will be measured by calculating net sales less agreed-upon expenses. These reimbursements would be deducted from our share of the collaboration profits (and, for sanofi-aventis, royalties on product sales in Japan) otherwise payable to us unless we agree to reimburse these expenses at a faster rate at our option. Given the uncertainties related to drug development (including the development of the aflibercept in collaboration with sanofi-aventis and the VEGF Trap-Eye in collaboration with Bayer Healthcare) such as the variability in the length of time necessary to develop a product candidate and the ultimate ability to obtain governmental approval for commercialization, we are currently unable to reliably estimate if our collaborations with sanofi-aventis and Bayer Healthcare will become profitable.</w:t>
      </w:r>
    </w:p>
    <w:p>
      <w:pPr>
        <w:spacing w:after="0" w:line="58"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87"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2"/>
        <w:spacing w:after="0" w:line="287" w:lineRule="auto"/>
        <w:rPr>
          <w:sz w:val="20"/>
          <w:szCs w:val="20"/>
          <w:color w:val="auto"/>
        </w:rPr>
      </w:pPr>
      <w:r>
        <w:rPr>
          <w:rFonts w:ascii="Arial" w:cs="Arial" w:eastAsia="Arial" w:hAnsi="Arial"/>
          <w:sz w:val="16"/>
          <w:szCs w:val="16"/>
          <w:color w:val="auto"/>
        </w:rPr>
        <w:t>We believe that our existing capital resources will enable us to meet operating needs through at least early 2010, without taking into consideration the $200.0 million aggregate principal amount of convertible senior subordinated notes, which mature in October 2008.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Other than a $1.6 million letter of credit issued to our landlord in connection with our new operating lease for facilities in Tarrytown, New York, we have no off-balance sheet arrangements. In addition, we do not guarantee the obligations of any other entity. As of September 30, 2007,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 back, or eliminate certain of our research and development activities or future operations. This could harm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 xml:space="preserve">We recognize revenue from contract research and development and research progress payments in accordance with Staff Accounting Bulletin No. 104, </w:t>
      </w: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(SAB 104) and Emerging Issues Task Force 00-21,</w:t>
      </w:r>
      <w:r>
        <w:rPr>
          <w:rFonts w:ascii="Arial" w:cs="Arial" w:eastAsia="Arial" w:hAnsi="Arial"/>
          <w:sz w:val="17"/>
          <w:szCs w:val="17"/>
          <w:i w:val="1"/>
          <w:iCs w:val="1"/>
          <w:color w:val="auto"/>
        </w:rPr>
        <w:t xml:space="preserve"> Accounting for Revenue Arrangements with Multiple Deliverables </w:t>
      </w:r>
      <w:r>
        <w:rPr>
          <w:rFonts w:ascii="Arial" w:cs="Arial" w:eastAsia="Arial" w:hAnsi="Arial"/>
          <w:sz w:val="17"/>
          <w:szCs w:val="17"/>
          <w:color w:val="auto"/>
        </w:rPr>
        <w:t>(EITF 00-21). We</w:t>
      </w:r>
      <w:r>
        <w:rPr>
          <w:rFonts w:ascii="Arial" w:cs="Arial" w:eastAsia="Arial" w:hAnsi="Arial"/>
          <w:sz w:val="17"/>
          <w:szCs w:val="17"/>
          <w:i w:val="1"/>
          <w:iCs w:val="1"/>
          <w:color w:val="auto"/>
        </w:rPr>
        <w:t xml:space="preserve"> </w:t>
      </w:r>
      <w:r>
        <w:rPr>
          <w:rFonts w:ascii="Arial" w:cs="Arial" w:eastAsia="Arial" w:hAnsi="Arial"/>
          <w:sz w:val="17"/>
          <w:szCs w:val="17"/>
          <w:color w:val="auto"/>
        </w:rPr>
        <w:t>earn contract research and development revenue and research progress payments in connection with collaboration and other agreements to develop and commercialize product candidates and utilize our technology platforms. The terms of these agreements typically include non-refundable up-front licensing payments, research progress (milestone) payments, and payments for development activities. Non-refundable up-front license payments, where continuing involvement is required of us, are deferred and recognized over the related performance period. We estimate our performance period based on the specific terms of each agreement, and adjust the performance periods, if appropriate, based on the applicable facts and circumstances.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approvals by regulatory agencies. In determining whether a payment is deemed to be a substantive performance milestone, we take into consideration (i) the nature, timing, and value of significant achievements in the development life- cycle of the related development product candidate, (ii) the relative level of effort required to achieve the milestone, and (iii) the relative level of risk in achieving the milestone, taking into account the high degree of uncertainty 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successfully advancing product candidates in a drug development program and in ultimately attaining an approved drug product. Payments for achieving milestones which are not considered substantive are accounted for as license payments and recognized over the related performance period. Payments for development activities where Regeneron is not sharing costs are recognized as revenue as earned, over the period of effort. In addition, we record revenue in connection with a government research grant as we incur expenses related to the grant, subject to the grant’s terms and annual funding approvals.</w:t>
      </w:r>
    </w:p>
    <w:p>
      <w:pPr>
        <w:spacing w:after="0" w:line="46"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In connection with non-refundable licensing payments, our performance period estimates are principally based on projections of the scope, progress, and results of our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possible, and could result in material changes to the amount of revenue recognized each year in the future. In addition, performance periods may be extended if we and our collaborators decide to expand our clinical plans for a drug candidate into additional disease indications. Also, if a collaborator terminates an agreement in accordance with the terms of the agreement, we would recognize any unamortized remainder of an up-front payment at the time of the termination. For the year ended December 31, 2006, changes in estimates of our performance periods, including an extension of our estimated performance period for our collaboration with sanofi-aventis, did not have a material impact on contract research and development revenue that we recognized. In 2007, we currently expect to recognize at least $2.4 million lower contract research and development revenue, compared to amounts recognized in 2006, in connection with $105.0 million of non-refundable up-front payments previously received from sanofi-aventis, due to an extension of our estimated performance period.</w:t>
      </w:r>
    </w:p>
    <w:p>
      <w:pPr>
        <w:spacing w:after="0" w:line="75" w:lineRule="exact"/>
        <w:rPr>
          <w:sz w:val="20"/>
          <w:szCs w:val="20"/>
          <w:color w:val="auto"/>
        </w:rPr>
      </w:pPr>
    </w:p>
    <w:p>
      <w:pPr>
        <w:ind w:right="120" w:firstLine="215"/>
        <w:spacing w:after="0" w:line="291" w:lineRule="auto"/>
        <w:rPr>
          <w:sz w:val="20"/>
          <w:szCs w:val="20"/>
          <w:color w:val="auto"/>
        </w:rPr>
      </w:pPr>
      <w:r>
        <w:rPr>
          <w:rFonts w:ascii="Arial" w:cs="Arial" w:eastAsia="Arial" w:hAnsi="Arial"/>
          <w:sz w:val="16"/>
          <w:szCs w:val="16"/>
          <w:color w:val="auto"/>
        </w:rPr>
        <w:t>As described above, we and Bayer HealthCare are currently formalizing our global development plans for the VEGF Trap-Eye in wet AMD and DME. Pending completion of these plans, all payments received or receivable from Bayer HealthCare through September 30, 2007 have been fully deferred and included in deferred revenue for financial statement purposes. When the plans are formalized later this year, we will determine the appropriate accounting policy for payments from Bayer HealthCare and the financial statement classifications and periods in which past and future payments from Bayer (including the $75.0 million up-front payment, development and regulatory milestone payments, and reimbursements of Regeneron development expenses) will be recognized in our Statement of Operations. In the period when we commence recognizing previously deferred payments from Bayer HealthCare, we anticipate recording a cumulative catch-up for the period since inception of the collaboration in October 2006, which cannot be quantified at this time.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Expenses:</w:t>
      </w:r>
    </w:p>
    <w:p>
      <w:pPr>
        <w:spacing w:after="0" w:line="11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Clinical trial costs are a significant component of research and development expenses and include costs associated with third-party contractors. We outsource a substantial portion of our clinical trial activities, utilizing external entities such as contract research organizations, independent clinical investigators, and other third-party service providers to assist us with the execution of our clinical studies. For each clinical trial that we conduct, certain clinical trial costs are expensed immediately, while others are expensed over time based on the expected total number of patients in the trial, the rate at which patients enter the trial, and the period over which clinical investigators or contract research organizations are expected to provide services.</w:t>
      </w:r>
    </w:p>
    <w:p>
      <w:pPr>
        <w:spacing w:after="0" w:line="64"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Clinical activities which relate principally to clinical sites and other administrative functions to manage our clinical trials are performed primarily by contract research organizations (CROs). CROs typically perform most of the start-up activities for our trials, including document preparation, site identification, screening and preparation, pre-study visits, training, and program management. On a budgeted basis, these start-up costs are typically 10% to 15% of the total contract value. On an actual basis, this percentage range can be significantly wider, as many of our contracts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pacing w:after="0" w:line="89" w:lineRule="exact"/>
        <w:rPr>
          <w:sz w:val="20"/>
          <w:szCs w:val="20"/>
          <w:color w:val="auto"/>
        </w:rPr>
      </w:pPr>
    </w:p>
    <w:p>
      <w:pPr>
        <w:ind w:right="100" w:firstLine="225"/>
        <w:spacing w:after="0" w:line="289" w:lineRule="auto"/>
        <w:rPr>
          <w:sz w:val="20"/>
          <w:szCs w:val="20"/>
          <w:color w:val="auto"/>
        </w:rPr>
      </w:pPr>
      <w:r>
        <w:rPr>
          <w:rFonts w:ascii="Arial" w:cs="Arial" w:eastAsia="Arial" w:hAnsi="Arial"/>
          <w:sz w:val="16"/>
          <w:szCs w:val="16"/>
          <w:color w:val="auto"/>
        </w:rPr>
        <w:t>For clinical study sites, where payments are made periodically on a per-patient basis to the institutions performing the clinical study, we accrue on an estimated cost-per-patient basis an expense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with a significant number of sites, require a large number of patients, have complex patient screening requirements, and span multiple years. During the course of a trial, we adjust our rate of clinical expense recognition if actual results differ from our estimates. Our estimates and assumptions for clinical expense recognition could differ significantly from our actual results, which could cause material increases or decreases in research and development expenses in future periods when the actual results become known. No material adjustments to our past clinical trial accrual estimates were made during the year ended December 31, 2006 or the nine months ended September 30, 2007.</w:t>
      </w:r>
    </w:p>
    <w:p>
      <w:pPr>
        <w:spacing w:after="0" w:line="59"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During the three months ended September 30, 2007, there were no changes to any other “Critical Accounting Policies and Significant Judgments and Estimates” described in our Annual Report on Form 10-K for the year ended December 31, 2006.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121"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In February 2007, the Financial Accounting Standards Board (FASB) issued Statement of Financial Accounting Standards No. (SFAS) 159, </w:t>
      </w:r>
      <w:r>
        <w:rPr>
          <w:rFonts w:ascii="Arial" w:cs="Arial" w:eastAsia="Arial" w:hAnsi="Arial"/>
          <w:sz w:val="17"/>
          <w:szCs w:val="17"/>
          <w:i w:val="1"/>
          <w:iCs w:val="1"/>
          <w:color w:val="auto"/>
        </w:rPr>
        <w:t>The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Option for Financial Assets and Financial Liabilities</w:t>
      </w:r>
      <w:r>
        <w:rPr>
          <w:rFonts w:ascii="Arial" w:cs="Arial" w:eastAsia="Arial" w:hAnsi="Arial"/>
          <w:sz w:val="17"/>
          <w:szCs w:val="17"/>
          <w:color w:val="auto"/>
        </w:rPr>
        <w:t>. SFAS 159 permits entities to choose to measure many financial instruments and certain other items at</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The objective is to improve financial reporting by providing entities with the opportunity to mitigate volatility in reported earnings caused by measuring related assets and liabilities differently without having to apply complex hedge accounting provisions. SFAS 159 is effective for financial statements issued for fiscal years beginning after November 15, 2007. We will be required to adopt SFAS 159 effective for the fiscal year beginning January 1, 2008. Our management is currently evaluating the potential impact of adopting SFAS 159 on our financial statements.</w:t>
      </w:r>
    </w:p>
    <w:p>
      <w:pPr>
        <w:spacing w:after="0" w:line="70"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 xml:space="preserve">In June 2007, the Emerging Issues Task Force issued Statement No. 07-3, </w:t>
      </w:r>
      <w:r>
        <w:rPr>
          <w:rFonts w:ascii="Arial" w:cs="Arial" w:eastAsia="Arial" w:hAnsi="Arial"/>
          <w:sz w:val="16"/>
          <w:szCs w:val="16"/>
          <w:i w:val="1"/>
          <w:iCs w:val="1"/>
          <w:color w:val="auto"/>
        </w:rPr>
        <w:t>Accounting for Non-refundable Advance Payments for Goods or Services to Be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Used in Future Research and Development Activities </w:t>
      </w:r>
      <w:r>
        <w:rPr>
          <w:rFonts w:ascii="Arial" w:cs="Arial" w:eastAsia="Arial" w:hAnsi="Arial"/>
          <w:sz w:val="16"/>
          <w:szCs w:val="16"/>
          <w:color w:val="auto"/>
        </w:rPr>
        <w:t>(EITF 07-3). EITF 07-3 addresses how entities involved in research and development activities should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for the non-refundable portion of an advance payment made for future research and development activities and requires that such payments be deferred and capitalized, and recognized as an expense when the goods are delivered or the related services are performed. EITF 07-3 is effective for fiscal years beginning after December 15, 2007, including interim periods within those fiscal years. We will be required to adopt EITF 07-3 effective for the fiscal year beginning January 1, 2008. Our management believes that the future adoption of EITF 07-3 will not have a material impact on our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Our earnings and cash flows are subject to fluctuations due to changes in interest rates primarily from our investment of available cash balances in investment grade corporate, asset-backed, and U.S. government securities. We do not believe we are materially exposed to changes in interest rates. Under our current policies we do not use interest rate derivative instruments to manage exposure to interest rate changes. We estimate that a one percent unfavorable change in interest rates would result in approximately a $2.2 million and $0.5 million decrease in the fair market value of our investment portfolio at September 30, 2007 and 2006, respectively. The increase in the potential impact of an interest rate change at September 30, 2007, compared to September 30, 2006, is due primarily to increases in our investment portfolio’s balance and duration at the end of September 2007 versus September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the third quarter of 2007, we recognized a $0.8 million charge related to securities that we considered to be other than temporarily impaired.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within the time periods specified in applicable rules and forms of the Securities and Exchange Commission, and is accumulated and communicated to our management, including our chief executive officer and chief financial officer, as appropriate to allow timely decisions regarding required disclosure.</w:t>
      </w:r>
    </w:p>
    <w:p>
      <w:pPr>
        <w:spacing w:after="0" w:line="70"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September 30, 2007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in our Annual Report on Form 10-K for the year ended December 31, 2006 and should be considered by our investors.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62"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From inception on January 8, 1988 through September 30, 2007, we had a cumulative loss of $780.1 million. If we continue to incur operating losses and fail to become a profitable company, we may be unable to continue our operations. We have no products that are available for sale and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do not know when we will have products available for sale, if ever. In the absence of revenue from the sale of products or other sources, the amount, timing, nature or source of which cannot be predicted, our losses will continue as we conduct our research and development activities.</w:t>
      </w:r>
    </w:p>
    <w:p>
      <w:pPr>
        <w:spacing w:after="0" w:line="14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62" w:lineRule="exact"/>
        <w:rPr>
          <w:sz w:val="20"/>
          <w:szCs w:val="20"/>
          <w:color w:val="auto"/>
        </w:rPr>
      </w:pPr>
    </w:p>
    <w:p>
      <w:pPr>
        <w:ind w:right="120" w:firstLine="222"/>
        <w:spacing w:after="0" w:line="289"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will enable us to meet operating needs through at least early 2010, without taking into consideration the $200.0 million aggregate principal amount of convertible senior subordinated notes, which mature in October 2008;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62"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79"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are studying our lead product candidates, aflibercept, VEGF Trap-Eye, and rilonacept, in a wide variety of indications. We are studying aflibercept in a variety of cancer settings, the VEGF Trap-Eye in different eye diseases and ophthalmologic indications, and rilonacept in a variety of systemic inflammatory disorders. Many of these current trials are exploratory studies designed to identify what diseases and uses, if any, are best suited for our product candidates. It is likely that our product candidates will not demonstrate the requisite efficacy and/or safety profile to support continued development for most of the indications that are to be studied. In fact, our product candidates may not demonstrate the requisite efficacy and safety profile to support the continued development for any of the indications or uses.</w:t>
      </w:r>
    </w:p>
    <w:p>
      <w:pPr>
        <w:spacing w:after="0" w:line="19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16"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 For example, we are studying higher doses of rilonacept in different diseases after a Phase 2 trial using lower doses of rilonacept in subjects with rheumatoid arthritis failed to achieve its primary endpoint.</w:t>
      </w:r>
    </w:p>
    <w:p>
      <w:pPr>
        <w:spacing w:after="0" w:line="70"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the product candidate(s), and our business, financial condition, and results of operations may be materially harmed.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data from the Phase 3 clinical program for rilonacept in CAPS (Cryopyrin-Associated Periodic Syndromes) may be inadequate to support regulatory approval for commercialization of rilonacept.</w:t>
      </w:r>
    </w:p>
    <w:p>
      <w:pPr>
        <w:spacing w:after="0" w:line="62"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We recently submitted a BLA to the FDA for rilonacept in CAPS. However, the efficacy and safety data from the Phase 3 clinical program included in the BLA may be inadequate to support approval for commercialization of rilonacept. The FDA and other regulatory agencies may have varying interpretations of our clinical trial data, which could delay, limit, or prevent regulatory approval or clearance.</w:t>
      </w:r>
    </w:p>
    <w:p>
      <w:pPr>
        <w:spacing w:after="0" w:line="73"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Further, before a product candidate is approved for marketing, our manufacturing facilities must be inspected by the FDA and the FDA will not approve the product for marketing if we or our third party manufacturers are not in compliance with current good manufacturing practices. Even if the FDA and similar foreign regulatory authorities do grant marketing approval for rilonacept, they may pose restrictions on the use or marketing of the product, or may require us to conduct additional post-marketing trials. These restrictions and requirements would likely result in increased expenditures and lower revenues and may restrict our ability to commercialize rilonacept profitably.</w:t>
      </w:r>
    </w:p>
    <w:p>
      <w:pPr>
        <w:spacing w:after="0" w:line="8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addition to the FDA and other regulatory agency regulations in the United States, we are subject to a variety of foreign regulatory requirements governing human clinical trials, marketing and approval for drugs, and commercial sales and distribution of drugs in foreign countries. The foreign regulatory approval process includes all of the risks associated with FDA approval as well as country-specific regulations. Whether or not we obtain FDA approval for a product in the United States, we must obtain approval by the comparable regulatory authorities of foreign countries before we can commence clinical trials or marketing of rilonacept in those countries.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62"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conducted to date,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58"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Our aflibercept (VEGF Trap) is being studied for the potential treatment of certain types of cancer and our VEGF Trap-Eye candidate is being studied in diseases of the eye. There are many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potential safety concerns associated with significant blockade of vascular endothelial growth factor, or VEGF. These serious and potentially life-threatening risks, based on the clinical and preclinical experience of systemically delivered VEGF inhibitors, including the systemic delivery of the VEGF Trap, include bleeding, hypertension, and proteinuria. These serious side effects and other serious side effects have been reported in our systemic VEGF Trap studies in cancer and diseases of the eye. In addition, patients given infusions of any protein, including the VEGF Trap delivered through intravenous administration, may develop severe hypersensitivity reactions or infusion reactions. Other VEGF blockers have reported side effects that became evident only after large scale trials or after marketing approval and large number of patients were treated. These include side effects that we have not yet seen in our trials such as heart attack and stroke. These and other complications or side effects could harm the development of aflibercept for the treatment of cancer or the VEGF Trap-Eye for the treatment of diseases of the eye.</w:t>
      </w:r>
    </w:p>
    <w:p>
      <w:pPr>
        <w:spacing w:after="0" w:line="71"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It is possible that safety or tolerability concerns may arise as we continue to test rilonacept in patients with inflammatory diseases and disorders. Like cytokine antagonists such as Kineret</w:t>
      </w:r>
      <w:r>
        <w:rPr>
          <w:rFonts w:ascii="Arial" w:cs="Arial" w:eastAsia="Arial" w:hAnsi="Arial"/>
          <w:sz w:val="13"/>
          <w:szCs w:val="13"/>
          <w:color w:val="auto"/>
        </w:rPr>
        <w:t>®</w:t>
      </w:r>
      <w:r>
        <w:rPr>
          <w:rFonts w:ascii="Arial" w:cs="Arial" w:eastAsia="Arial" w:hAnsi="Arial"/>
          <w:sz w:val="16"/>
          <w:szCs w:val="16"/>
          <w:color w:val="auto"/>
        </w:rPr>
        <w:t xml:space="preserve"> (Amgen Inc.), Enbrel</w:t>
      </w:r>
      <w:r>
        <w:rPr>
          <w:rFonts w:ascii="Arial" w:cs="Arial" w:eastAsia="Arial" w:hAnsi="Arial"/>
          <w:sz w:val="13"/>
          <w:szCs w:val="13"/>
          <w:color w:val="auto"/>
        </w:rPr>
        <w:t>Ò</w:t>
      </w:r>
      <w:r>
        <w:rPr>
          <w:rFonts w:ascii="Arial" w:cs="Arial" w:eastAsia="Arial" w:hAnsi="Arial"/>
          <w:sz w:val="16"/>
          <w:szCs w:val="16"/>
          <w:color w:val="auto"/>
        </w:rPr>
        <w:t xml:space="preserve"> (Immunex Corporation), and Remicade</w:t>
      </w:r>
      <w:r>
        <w:rPr>
          <w:rFonts w:ascii="Arial" w:cs="Arial" w:eastAsia="Arial" w:hAnsi="Arial"/>
          <w:sz w:val="13"/>
          <w:szCs w:val="13"/>
          <w:color w:val="auto"/>
        </w:rPr>
        <w:t>Ò</w:t>
      </w:r>
      <w:r>
        <w:rPr>
          <w:rFonts w:ascii="Arial" w:cs="Arial" w:eastAsia="Arial" w:hAnsi="Arial"/>
          <w:sz w:val="16"/>
          <w:szCs w:val="16"/>
          <w:color w:val="auto"/>
        </w:rPr>
        <w:t xml:space="preserve"> (Centocor, Inc.), rilonacept affects the immune defense system of the body by blocking some of its functions. Therefore, rilonacept may interfere with the body’s ability to fight infections. Treatment with Kineret</w:t>
      </w:r>
      <w:r>
        <w:rPr>
          <w:rFonts w:ascii="Arial" w:cs="Arial" w:eastAsia="Arial" w:hAnsi="Arial"/>
          <w:sz w:val="13"/>
          <w:szCs w:val="13"/>
          <w:color w:val="auto"/>
        </w:rPr>
        <w:t>®</w:t>
      </w:r>
      <w:r>
        <w:rPr>
          <w:rFonts w:ascii="Arial" w:cs="Arial" w:eastAsia="Arial" w:hAnsi="Arial"/>
          <w:sz w:val="16"/>
          <w:szCs w:val="16"/>
          <w:color w:val="auto"/>
        </w:rPr>
        <w:t xml:space="preserve"> (Amgen), a medication that works through the inhibition of IL-1, has been associated with an increased risk of serious infections, and serious infections have been reported in patients taking rilonacept. One subject with adult Still’s diseases in a study of rilonacept developed an infection in his elbow with mycobacterium intracellulare. The patient was on chronic glucocorticoid treatment for Still’s disease. The infection occurred after an intraarticular glucocorticoid injection into the elbow and subsequent local exposure to a suspected source of mycobacteria. One patient with polymayalgia rheumatica in another study developed bronchitis/sinusitis, which resulted in hospitalization. One patient in an open-label study of rilonacept in CAPS developed sinusitis and streptococcus pneumoniae meningitis and subsequently died. In addition, patients given infusions of rilonacept have developed hypersensitivity reactions or infusion reactions. These or other complications or side effects could impede or result in us abandoning the development of rilonacept.</w:t>
      </w:r>
    </w:p>
    <w:p>
      <w:pPr>
        <w:spacing w:after="0" w:line="16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62"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 in some cases even after pivotal clinical trials have been completed. Of the clinical study subjects who received rilonacept for rheumatoid arthritis and other indications, fewer than 5% of patients developed antibodies and no side effects related to antibodies were observed. Using a very sensitive test, approximately 40% of the patients in the CAPS pivotal study tested positive at least once for low levels of antibodies to rilonacept.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Again, no side effects related to antibodies were observed and there were no observed effects on drug efficacy or drug levels. However, it is possible that as we continue to test aflibercept and VEGF Trap-Eye with more sensitive assays in different patient populations and larger clinical trials, we will find that subjects given aflibercept and VEGF Trap-Eye develop antibodies to these product candidates, and may also experience side effects related to the antibodies, which could adversely impact the development of such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Changes in product formulations and manufacturing processes may be required as product candidates progress in clinical development and are ultimately commercialized. For example, we are currently testing a new formulation of the VEGF Trap-Eye. If we are unable to develop suitable product formulations or manufacturing processes to support large scale clinical testing of our product candidates, including aflibercept, VEGF Trap-Eye, and rilonacept,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6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Our commercial success depends significantly on our ability to operate without infringing the patents and other proprietary rights of third parties. Other parties may allege that they have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 xml:space="preserve">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either because of the way the antibodies are discovered or produced or because of a proprietary position covering an antibody or the antibody’s target.</w:t>
      </w:r>
    </w:p>
    <w:p>
      <w:pPr>
        <w:spacing w:after="0" w:line="3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are aware of patents and pending applications owned by Genentech that claim certain chimeric VEGF receptor compositions. Although we do not believe that aflibercept or the VEGF Trap-Eye infringes any valid claim in these patents or patent applications, Genentech could initiate a lawsuit for patent infringement and assert its patents are valid and cover aflibercept or the VEGF Trap-Eye. Genentech may be motivated to initiate such a lawsuit at some point in an effort to impair our ability to develop and sell aflibercept or the VEGF Trap-Eye, which represents a potential competitive threat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aflibercept or the VEGF Trap-Eye or in a damage award.</w:t>
      </w:r>
    </w:p>
    <w:p>
      <w:pPr>
        <w:spacing w:after="0" w:line="81" w:lineRule="exact"/>
        <w:rPr>
          <w:sz w:val="20"/>
          <w:szCs w:val="20"/>
          <w:color w:val="auto"/>
        </w:rPr>
      </w:pPr>
    </w:p>
    <w:p>
      <w:pPr>
        <w:ind w:right="40" w:firstLine="215"/>
        <w:spacing w:after="0" w:line="257"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80"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117"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testing or use of our products harms people, we could be subject to costly and damaging product liability claims.</w:t>
      </w:r>
    </w:p>
    <w:p>
      <w:pPr>
        <w:spacing w:after="0" w:line="117"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62" w:lineRule="exact"/>
        <w:rPr>
          <w:sz w:val="20"/>
          <w:szCs w:val="20"/>
          <w:color w:val="auto"/>
        </w:rPr>
      </w:pPr>
    </w:p>
    <w:p>
      <w:pPr>
        <w:ind w:right="80" w:firstLine="215"/>
        <w:spacing w:after="0" w:line="276" w:lineRule="auto"/>
        <w:rPr>
          <w:sz w:val="20"/>
          <w:szCs w:val="20"/>
          <w:color w:val="auto"/>
        </w:rPr>
      </w:pPr>
      <w:r>
        <w:rPr>
          <w:rFonts w:ascii="Arial" w:cs="Arial" w:eastAsia="Arial" w:hAnsi="Arial"/>
          <w:sz w:val="17"/>
          <w:szCs w:val="17"/>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securities laws and regulations have increased, and are likely to continue to increase, our costs.</w:t>
      </w:r>
    </w:p>
    <w:p>
      <w:pPr>
        <w:spacing w:after="0" w:line="117"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new rules and listing standards covering a variety of subjects. Compliance with these new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members of our board of directors, particularly independent directors, or qualified executive officers.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In future years, if we or our independent registered public accounting firm are unable to conclude that our internal control over financial reporting is effective, the market value of our common stock could be adversely affected.</w:t>
      </w:r>
    </w:p>
    <w:p>
      <w:pPr>
        <w:spacing w:after="0" w:line="62" w:lineRule="exact"/>
        <w:rPr>
          <w:sz w:val="20"/>
          <w:szCs w:val="20"/>
          <w:color w:val="auto"/>
        </w:rPr>
      </w:pPr>
    </w:p>
    <w:p>
      <w:pPr>
        <w:ind w:right="20" w:firstLine="215"/>
        <w:spacing w:after="0" w:line="269" w:lineRule="auto"/>
        <w:rPr>
          <w:sz w:val="20"/>
          <w:szCs w:val="20"/>
          <w:color w:val="auto"/>
        </w:rPr>
      </w:pPr>
      <w:r>
        <w:rPr>
          <w:rFonts w:ascii="Arial" w:cs="Arial" w:eastAsia="Arial" w:hAnsi="Arial"/>
          <w:sz w:val="17"/>
          <w:szCs w:val="17"/>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management’s assessment and on the effectiveness of our internal control over financial reporting. Our independent registered public accounting firm provided us with an unqualified report as to our assessment and the effectiveness of our internal control over financial reporting as of December 31, 2006, which report was included in our Annual Report on Form 10-K. However, we cannot assure you that management or our independent registered public accounting firm will be able to provide such an assessment or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collaboration with sanofi-aventis for aflibercept (VEGF Trap) is terminated, our business operations and our ability to develop, manufacture, and commercialize aflibercept in the time expected, or at all, would be harmed.</w:t>
      </w:r>
    </w:p>
    <w:p>
      <w:pPr>
        <w:spacing w:after="0" w:line="62"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We rely heavily on sanofi-aventis to assist with the development of the aflibercept program. Sanofi-aventis funds all of the development expenses incurred by both companies in connection with the aflibercept program. If the aflibercept program continues, we will rely on sanofi-aventis to assist with funding the aflibercept program, provide commercial manufacturing capacity, enroll and monitor clinical trials, obtain regulatory approval, particularly outside the United States, and provide sales and marketing support. While we cannot assure you that aflibercept will ever be successfully developed and commercialized, if sanofi-aventis does not perform its obligations in a timely manner, or at all, our ability to develop, manufacture, and commercialize aflibercept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cause significant delays in the development and/or manufacture of aflibercept and result in substantial additional costs to us. We have no sales, marketing, or distribution capabilities and would have to develop or outsource these capabilities. Termination of the sanofi-aventis collaboration agreement would create substantial new and additional risks to the successful development of the aflibercept program.</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collaboration with Bayer HealthCare for the VEGF Trap-Eye is terminated, our business operations and our ability to develop, manufacture, and commercialize the VEGF Trap-Eye in the time expected, or at all, would be harmed.</w:t>
      </w:r>
    </w:p>
    <w:p>
      <w:pPr>
        <w:spacing w:after="0" w:line="62" w:lineRule="exact"/>
        <w:rPr>
          <w:sz w:val="20"/>
          <w:szCs w:val="20"/>
          <w:color w:val="auto"/>
        </w:rPr>
      </w:pPr>
    </w:p>
    <w:p>
      <w:pPr>
        <w:ind w:right="20" w:firstLine="222"/>
        <w:spacing w:after="0" w:line="268" w:lineRule="auto"/>
        <w:rPr>
          <w:sz w:val="20"/>
          <w:szCs w:val="20"/>
          <w:color w:val="auto"/>
        </w:rPr>
      </w:pPr>
      <w:r>
        <w:rPr>
          <w:rFonts w:ascii="Arial" w:cs="Arial" w:eastAsia="Arial" w:hAnsi="Arial"/>
          <w:sz w:val="17"/>
          <w:szCs w:val="17"/>
          <w:color w:val="auto"/>
        </w:rPr>
        <w:t>We rely heavily on Bayer HealthCare to assist with the development of the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provide assistance with the enrollment and monitoring of clinical trials conducted outside the United States, obtaining regulatory approval outside the United States, and provide sales, marketing and commercial support for the product outside the United States. In particular, Bayer HealthCare has responsibility for selling VEGF Trap-Eye outside the United States using its sales force. While we cannot assure you that the VEGF Trap-Eye will ever be successfully developed and commercialized, if Bayer HealthCare does not perform its obligations in a timely manner, or at all, our ability to develop, manufacture, and commercialize the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cause significant delays in the development and/or commercialization of the VEGF Trap-Eye outside the United States and result in substantial additional costs to us. We have no sales, marketing, or distribution capabilities and would have to develop or outsource these capabilities outside the United States. Termination of the Bayer HealthCare collaboration agreement would create substantial new and additional risks to the successful development of the VEGF Trap-Eye development program.</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w:t>
      </w:r>
    </w:p>
    <w:p>
      <w:pPr>
        <w:spacing w:after="0" w:line="6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development or ultimate commercialization of our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117" w:lineRule="exact"/>
        <w:rPr>
          <w:sz w:val="20"/>
          <w:szCs w:val="20"/>
          <w:color w:val="auto"/>
        </w:rPr>
      </w:pPr>
    </w:p>
    <w:p>
      <w:pPr>
        <w:ind w:right="300" w:firstLine="225"/>
        <w:spacing w:after="0" w:line="308" w:lineRule="auto"/>
        <w:rPr>
          <w:sz w:val="20"/>
          <w:szCs w:val="20"/>
          <w:color w:val="auto"/>
        </w:rPr>
      </w:pPr>
      <w:r>
        <w:rPr>
          <w:rFonts w:ascii="Arial" w:cs="Arial" w:eastAsia="Arial" w:hAnsi="Arial"/>
          <w:sz w:val="17"/>
          <w:szCs w:val="17"/>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79"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85" w:lineRule="exact"/>
        <w:rPr>
          <w:sz w:val="20"/>
          <w:szCs w:val="20"/>
          <w:color w:val="auto"/>
        </w:rPr>
      </w:pPr>
    </w:p>
    <w:p>
      <w:pPr>
        <w:ind w:right="260" w:firstLine="222"/>
        <w:spacing w:after="0" w:line="286" w:lineRule="auto"/>
        <w:rPr>
          <w:sz w:val="20"/>
          <w:szCs w:val="20"/>
          <w:color w:val="auto"/>
        </w:rPr>
      </w:pPr>
      <w:r>
        <w:rPr>
          <w:rFonts w:ascii="Arial" w:cs="Arial" w:eastAsia="Arial" w:hAnsi="Arial"/>
          <w:sz w:val="17"/>
          <w:szCs w:val="17"/>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117"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We have large-scale manufacturing operations in Rensselaer, New York. We use our facilities to produce bulk product for clinical and preclinical candidates for ourselves and our collaborations. If our clinical candidates are discontinued, we will have to absorb one hundred percent of related overhead costs and inefficiencies.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of our raw materials are single-sourced from third parties; third-party supply failures could adversely affect our ability to supply our products.</w:t>
      </w:r>
    </w:p>
    <w:p>
      <w:pPr>
        <w:spacing w:after="0" w:line="140" w:lineRule="exact"/>
        <w:rPr>
          <w:sz w:val="20"/>
          <w:szCs w:val="20"/>
          <w:color w:val="auto"/>
        </w:rPr>
      </w:pPr>
    </w:p>
    <w:p>
      <w:pPr>
        <w:ind w:right="220" w:firstLine="225"/>
        <w:spacing w:after="0" w:line="297" w:lineRule="auto"/>
        <w:rPr>
          <w:sz w:val="20"/>
          <w:szCs w:val="20"/>
          <w:color w:val="auto"/>
        </w:rPr>
      </w:pPr>
      <w:r>
        <w:rPr>
          <w:rFonts w:ascii="Arial" w:cs="Arial" w:eastAsia="Arial" w:hAnsi="Arial"/>
          <w:sz w:val="16"/>
          <w:szCs w:val="16"/>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business and future prospects.</w:t>
      </w:r>
    </w:p>
    <w:p>
      <w:pPr>
        <w:spacing w:after="0" w:line="50" w:lineRule="exact"/>
        <w:rPr>
          <w:sz w:val="20"/>
          <w:szCs w:val="20"/>
          <w:color w:val="auto"/>
        </w:rPr>
      </w:pPr>
    </w:p>
    <w:p>
      <w:pPr>
        <w:ind w:right="220" w:firstLine="215"/>
        <w:spacing w:after="0" w:line="264"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with European regulatory requirements, our clinical development activities may be delayed or interrupted.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62" w:lineRule="exact"/>
        <w:rPr>
          <w:sz w:val="20"/>
          <w:szCs w:val="20"/>
          <w:color w:val="auto"/>
        </w:rPr>
      </w:pPr>
    </w:p>
    <w:p>
      <w:pPr>
        <w:ind w:right="100" w:firstLine="222"/>
        <w:spacing w:after="0" w:line="270" w:lineRule="auto"/>
        <w:rPr>
          <w:sz w:val="20"/>
          <w:szCs w:val="20"/>
          <w:color w:val="auto"/>
        </w:rPr>
      </w:pPr>
      <w:r>
        <w:rPr>
          <w:rFonts w:ascii="Arial" w:cs="Arial" w:eastAsia="Arial" w:hAnsi="Arial"/>
          <w:sz w:val="17"/>
          <w:szCs w:val="17"/>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obtain regulatory approval for and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aflibercept in cancer indications, should it be approved in the future by regulatory authorities for marketing. We will have to rely on a third party or devote significant resources to develop our own sales, marketing, and distribution capabilities for our other product candidates, including the VEGF Trap-Eye in the United States, and we may be unsuccessful in developing our own sales, marketing, and distribution organization.</w:t>
      </w:r>
    </w:p>
    <w:p>
      <w:pPr>
        <w:spacing w:after="0" w:line="18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Even if our product candidates are approved for marketing, their commercial success is highly uncertain because our competitors have received approval for products with the same mechanism of action, and competitors may get to the marketplace before we do with better or lower cost drugs or the market for our product candidates may be too small to support commercialization or sufficient profitability.</w:t>
      </w:r>
    </w:p>
    <w:p>
      <w:pPr>
        <w:spacing w:after="0" w:line="5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64" w:lineRule="exact"/>
        <w:rPr>
          <w:sz w:val="20"/>
          <w:szCs w:val="20"/>
          <w:color w:val="auto"/>
        </w:rPr>
      </w:pPr>
    </w:p>
    <w:p>
      <w:pPr>
        <w:ind w:right="260" w:firstLine="225"/>
        <w:spacing w:after="0" w:line="273" w:lineRule="auto"/>
        <w:rPr>
          <w:sz w:val="20"/>
          <w:szCs w:val="20"/>
          <w:color w:val="auto"/>
        </w:rPr>
      </w:pPr>
      <w:r>
        <w:rPr>
          <w:rFonts w:ascii="Arial" w:cs="Arial" w:eastAsia="Arial" w:hAnsi="Arial"/>
          <w:sz w:val="17"/>
          <w:szCs w:val="17"/>
          <w:color w:val="auto"/>
        </w:rPr>
        <w:t>Genentech has an approved VEGF antagonist, Avastin</w:t>
      </w:r>
      <w:r>
        <w:rPr>
          <w:rFonts w:ascii="Arial" w:cs="Arial" w:eastAsia="Arial" w:hAnsi="Arial"/>
          <w:sz w:val="14"/>
          <w:szCs w:val="14"/>
          <w:color w:val="auto"/>
        </w:rPr>
        <w:t>®</w:t>
      </w:r>
      <w:r>
        <w:rPr>
          <w:rFonts w:ascii="Arial" w:cs="Arial" w:eastAsia="Arial" w:hAnsi="Arial"/>
          <w:sz w:val="17"/>
          <w:szCs w:val="17"/>
          <w:color w:val="auto"/>
        </w:rPr>
        <w:t xml:space="preserve"> (Genentech), on the market for treating certain cancers and many different pharmaceutical and biotechnology companies are working to develop competing VEGF antagonists, including Novartis, OSI Pharmaceuticals, and Pfizer. Many of these molecules are farther along in development than aflibercept and may offer competitive advantages over our molecule</w:t>
      </w:r>
      <w:r>
        <w:rPr>
          <w:rFonts w:ascii="Arial" w:cs="Arial" w:eastAsia="Arial" w:hAnsi="Arial"/>
          <w:sz w:val="17"/>
          <w:szCs w:val="17"/>
          <w:b w:val="1"/>
          <w:bCs w:val="1"/>
          <w:color w:val="auto"/>
        </w:rPr>
        <w:t>.</w:t>
      </w:r>
      <w:r>
        <w:rPr>
          <w:rFonts w:ascii="Arial" w:cs="Arial" w:eastAsia="Arial" w:hAnsi="Arial"/>
          <w:sz w:val="17"/>
          <w:szCs w:val="17"/>
          <w:color w:val="auto"/>
        </w:rPr>
        <w:t xml:space="preserve"> Novartis has an ongoing Phase 3 clinical development program evaluating an orally delivered VEGF tyrosine kinase inhibitor in different cancer settings. Each of Pfizer and Onyx Pharmaceuticals (together with its partner Bayer HealthCare) has received approval from the FDA to market and sell an oral medication that targets tumor cell growth and new vasculature formation that fuels the growth of tumors. The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marketing approvals for Genentech’s VEGF antagonist, Avastin</w:t>
      </w:r>
      <w:r>
        <w:rPr>
          <w:rFonts w:ascii="Arial" w:cs="Arial" w:eastAsia="Arial" w:hAnsi="Arial"/>
          <w:sz w:val="13"/>
          <w:szCs w:val="13"/>
          <w:color w:val="auto"/>
        </w:rPr>
        <w:t>®</w:t>
      </w:r>
      <w:r>
        <w:rPr>
          <w:rFonts w:ascii="Arial" w:cs="Arial" w:eastAsia="Arial" w:hAnsi="Arial"/>
          <w:sz w:val="16"/>
          <w:szCs w:val="16"/>
          <w:color w:val="auto"/>
        </w:rPr>
        <w:t xml:space="preserve"> (Genentech), and their extensive, ongoing clinical development plan for Avastin</w:t>
      </w:r>
      <w:r>
        <w:rPr>
          <w:rFonts w:ascii="Arial" w:cs="Arial" w:eastAsia="Arial" w:hAnsi="Arial"/>
          <w:sz w:val="13"/>
          <w:szCs w:val="13"/>
          <w:color w:val="auto"/>
        </w:rPr>
        <w:t>®</w:t>
      </w:r>
      <w:r>
        <w:rPr>
          <w:rFonts w:ascii="Arial" w:cs="Arial" w:eastAsia="Arial" w:hAnsi="Arial"/>
          <w:sz w:val="16"/>
          <w:szCs w:val="16"/>
          <w:color w:val="auto"/>
        </w:rPr>
        <w:t xml:space="preserve"> (Genentech) in other cancer indications, may make it more difficult for us to enroll patients in clinical trials to support aflibercept and to obtain regulatory approval of aflibercept in these cancer settings. This may delay or impair our ability to successfully develop and commercialize aflibercept. In addition, even if aflibercept is ever approved for sale for the treatment of certain cancers, it will be difficult for our drug to compete against Avastin</w:t>
      </w:r>
      <w:r>
        <w:rPr>
          <w:rFonts w:ascii="Arial" w:cs="Arial" w:eastAsia="Arial" w:hAnsi="Arial"/>
          <w:sz w:val="13"/>
          <w:szCs w:val="13"/>
          <w:color w:val="auto"/>
        </w:rPr>
        <w:t>®</w:t>
      </w:r>
      <w:r>
        <w:rPr>
          <w:rFonts w:ascii="Arial" w:cs="Arial" w:eastAsia="Arial" w:hAnsi="Arial"/>
          <w:sz w:val="16"/>
          <w:szCs w:val="16"/>
          <w:color w:val="auto"/>
        </w:rPr>
        <w:t xml:space="preserve"> (Genentech)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57"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13"/>
          <w:szCs w:val="13"/>
          <w:color w:val="auto"/>
        </w:rPr>
        <w:t>®</w:t>
      </w:r>
      <w:r>
        <w:rPr>
          <w:rFonts w:ascii="Arial" w:cs="Arial" w:eastAsia="Arial" w:hAnsi="Arial"/>
          <w:sz w:val="16"/>
          <w:szCs w:val="16"/>
          <w:color w:val="auto"/>
        </w:rPr>
        <w:t>) for the treatment of age-related macular degeneration (wet AMD) and other eye indications that was approved by the FDA in June 2006. OSI Pharmaceuticals and Pfizer are marketing an approved VEGF inhibitor for wet AMD. Many other companies are working on the development of product candidates for the potential treatment of wet AMD that act by blocking VEGF, VEGF receptors, and through the use of soluble ribonucleic acids (sRNAs) that modulate gene expression. In addition, ophthalmologists are using off-label a third-party reformatted version of Genentech’s approved VEGF antagonist, Avastin</w:t>
      </w:r>
      <w:r>
        <w:rPr>
          <w:rFonts w:ascii="Arial" w:cs="Arial" w:eastAsia="Arial" w:hAnsi="Arial"/>
          <w:sz w:val="13"/>
          <w:szCs w:val="13"/>
          <w:color w:val="auto"/>
        </w:rPr>
        <w:t>®</w:t>
      </w:r>
      <w:r>
        <w:rPr>
          <w:rFonts w:ascii="Arial" w:cs="Arial" w:eastAsia="Arial" w:hAnsi="Arial"/>
          <w:sz w:val="16"/>
          <w:szCs w:val="16"/>
          <w:color w:val="auto"/>
        </w:rPr>
        <w:t>, with success for the treatment of wet AMD. The National Eye Institute recently has received funding for a Phase 3 trial to compare Lucentis</w:t>
      </w:r>
      <w:r>
        <w:rPr>
          <w:rFonts w:ascii="Arial" w:cs="Arial" w:eastAsia="Arial" w:hAnsi="Arial"/>
          <w:sz w:val="13"/>
          <w:szCs w:val="13"/>
          <w:color w:val="auto"/>
        </w:rPr>
        <w:t>®</w:t>
      </w:r>
      <w:r>
        <w:rPr>
          <w:rFonts w:ascii="Arial" w:cs="Arial" w:eastAsia="Arial" w:hAnsi="Arial"/>
          <w:sz w:val="16"/>
          <w:szCs w:val="16"/>
          <w:color w:val="auto"/>
        </w:rPr>
        <w:t xml:space="preserve"> (Genentech) to Avastin</w:t>
      </w:r>
      <w:r>
        <w:rPr>
          <w:rFonts w:ascii="Arial" w:cs="Arial" w:eastAsia="Arial" w:hAnsi="Arial"/>
          <w:sz w:val="13"/>
          <w:szCs w:val="13"/>
          <w:color w:val="auto"/>
        </w:rPr>
        <w:t>®</w:t>
      </w:r>
      <w:r>
        <w:rPr>
          <w:rFonts w:ascii="Arial" w:cs="Arial" w:eastAsia="Arial" w:hAnsi="Arial"/>
          <w:sz w:val="16"/>
          <w:szCs w:val="16"/>
          <w:color w:val="auto"/>
        </w:rPr>
        <w:t xml:space="preserve"> (Genentech) in the treatment of wet AMD. The marketing approval of Lucentis</w:t>
      </w:r>
      <w:r>
        <w:rPr>
          <w:rFonts w:ascii="Arial" w:cs="Arial" w:eastAsia="Arial" w:hAnsi="Arial"/>
          <w:sz w:val="13"/>
          <w:szCs w:val="13"/>
          <w:color w:val="auto"/>
        </w:rPr>
        <w:t>®</w:t>
      </w:r>
      <w:r>
        <w:rPr>
          <w:rFonts w:ascii="Arial" w:cs="Arial" w:eastAsia="Arial" w:hAnsi="Arial"/>
          <w:sz w:val="16"/>
          <w:szCs w:val="16"/>
          <w:color w:val="auto"/>
        </w:rPr>
        <w:t xml:space="preserve"> (Genentech) and the potential off-label use of Avastin</w:t>
      </w:r>
      <w:r>
        <w:rPr>
          <w:rFonts w:ascii="Arial" w:cs="Arial" w:eastAsia="Arial" w:hAnsi="Arial"/>
          <w:sz w:val="13"/>
          <w:szCs w:val="13"/>
          <w:color w:val="auto"/>
        </w:rPr>
        <w:t>®</w:t>
      </w:r>
      <w:r>
        <w:rPr>
          <w:rFonts w:ascii="Arial" w:cs="Arial" w:eastAsia="Arial" w:hAnsi="Arial"/>
          <w:sz w:val="16"/>
          <w:szCs w:val="16"/>
          <w:color w:val="auto"/>
        </w:rPr>
        <w:t xml:space="preserve"> (Genentech) make it more difficult for us to enroll patients in our clinical trials and successfully develop the VEGF Trap-Eye. Even if the VEGF Trap-Eye is ever approved for sale for the treatment of eye diseases, it may be difficult for our drug to compete against Lucentis</w:t>
      </w:r>
      <w:r>
        <w:rPr>
          <w:rFonts w:ascii="Arial" w:cs="Arial" w:eastAsia="Arial" w:hAnsi="Arial"/>
          <w:sz w:val="13"/>
          <w:szCs w:val="13"/>
          <w:color w:val="auto"/>
        </w:rPr>
        <w:t>®</w:t>
      </w:r>
      <w:r>
        <w:rPr>
          <w:rFonts w:ascii="Arial" w:cs="Arial" w:eastAsia="Arial" w:hAnsi="Arial"/>
          <w:sz w:val="16"/>
          <w:szCs w:val="16"/>
          <w:color w:val="auto"/>
        </w:rPr>
        <w:t xml:space="preserve"> (Genentech), because doctors and patients will have significant experience using this medicine. Moreover, the relatively low cost of therapy with Avastin</w:t>
      </w:r>
      <w:r>
        <w:rPr>
          <w:rFonts w:ascii="Arial" w:cs="Arial" w:eastAsia="Arial" w:hAnsi="Arial"/>
          <w:sz w:val="13"/>
          <w:szCs w:val="13"/>
          <w:color w:val="auto"/>
        </w:rPr>
        <w:t>®</w:t>
      </w:r>
      <w:r>
        <w:rPr>
          <w:rFonts w:ascii="Arial" w:cs="Arial" w:eastAsia="Arial" w:hAnsi="Arial"/>
          <w:sz w:val="16"/>
          <w:szCs w:val="16"/>
          <w:color w:val="auto"/>
        </w:rPr>
        <w:t xml:space="preserve"> (Genentech) in patients with wet AMD presents a further competitive challenge in this indication.</w:t>
      </w:r>
    </w:p>
    <w:p>
      <w:pPr>
        <w:spacing w:after="0" w:line="65" w:lineRule="exact"/>
        <w:rPr>
          <w:sz w:val="20"/>
          <w:szCs w:val="20"/>
          <w:color w:val="auto"/>
        </w:rPr>
      </w:pPr>
    </w:p>
    <w:p>
      <w:pPr>
        <w:ind w:right="240" w:firstLine="222"/>
        <w:spacing w:after="0" w:line="273" w:lineRule="auto"/>
        <w:rPr>
          <w:sz w:val="20"/>
          <w:szCs w:val="20"/>
          <w:color w:val="auto"/>
        </w:rPr>
      </w:pPr>
      <w:r>
        <w:rPr>
          <w:rFonts w:ascii="Arial" w:cs="Arial" w:eastAsia="Arial" w:hAnsi="Arial"/>
          <w:sz w:val="17"/>
          <w:szCs w:val="17"/>
          <w:color w:val="auto"/>
        </w:rPr>
        <w:t>The availability of highly effective FDA approved TNF-antagonists such as Enbrel</w:t>
      </w:r>
      <w:r>
        <w:rPr>
          <w:rFonts w:ascii="Arial" w:cs="Arial" w:eastAsia="Arial" w:hAnsi="Arial"/>
          <w:sz w:val="14"/>
          <w:szCs w:val="14"/>
          <w:color w:val="auto"/>
        </w:rPr>
        <w:t>®</w:t>
      </w:r>
      <w:r>
        <w:rPr>
          <w:rFonts w:ascii="Arial" w:cs="Arial" w:eastAsia="Arial" w:hAnsi="Arial"/>
          <w:sz w:val="17"/>
          <w:szCs w:val="17"/>
          <w:color w:val="auto"/>
        </w:rPr>
        <w:t xml:space="preserve"> (Immunex), Remicade</w:t>
      </w:r>
      <w:r>
        <w:rPr>
          <w:rFonts w:ascii="Arial" w:cs="Arial" w:eastAsia="Arial" w:hAnsi="Arial"/>
          <w:sz w:val="14"/>
          <w:szCs w:val="14"/>
          <w:color w:val="auto"/>
        </w:rPr>
        <w:t>®</w:t>
      </w:r>
      <w:r>
        <w:rPr>
          <w:rFonts w:ascii="Arial" w:cs="Arial" w:eastAsia="Arial" w:hAnsi="Arial"/>
          <w:sz w:val="17"/>
          <w:szCs w:val="17"/>
          <w:color w:val="auto"/>
        </w:rPr>
        <w:t xml:space="preserve"> (Centocor), and Humira</w:t>
      </w:r>
      <w:r>
        <w:rPr>
          <w:rFonts w:ascii="Arial" w:cs="Arial" w:eastAsia="Arial" w:hAnsi="Arial"/>
          <w:sz w:val="14"/>
          <w:szCs w:val="14"/>
          <w:color w:val="auto"/>
        </w:rPr>
        <w:t>®</w:t>
      </w:r>
      <w:r>
        <w:rPr>
          <w:rFonts w:ascii="Arial" w:cs="Arial" w:eastAsia="Arial" w:hAnsi="Arial"/>
          <w:sz w:val="17"/>
          <w:szCs w:val="17"/>
          <w:color w:val="auto"/>
        </w:rPr>
        <w:t xml:space="preserve"> (Abbott Biotechnology Ltd.), and the IL-1 receptor antagonist Kineret</w:t>
      </w:r>
      <w:r>
        <w:rPr>
          <w:rFonts w:ascii="Arial" w:cs="Arial" w:eastAsia="Arial" w:hAnsi="Arial"/>
          <w:sz w:val="14"/>
          <w:szCs w:val="14"/>
          <w:color w:val="auto"/>
        </w:rPr>
        <w:t>®</w:t>
      </w:r>
      <w:r>
        <w:rPr>
          <w:rFonts w:ascii="Arial" w:cs="Arial" w:eastAsia="Arial" w:hAnsi="Arial"/>
          <w:sz w:val="17"/>
          <w:szCs w:val="17"/>
          <w:color w:val="auto"/>
        </w:rPr>
        <w:t xml:space="preserve"> (Amgen), and other marketed therapies makes it more difficult to successfully develop and commercialize rilonacept. This is one of the reasons we discontinued the development of rilonacept in adult rheumatoid arthritis. In addition, even if rilonacept is ever approved for sale, it will be difficult for our drug to compete against these FDA approved TNF-antagonists in indications where both are useful because doctors and patients will have significant experience using these effective medicines. Moreover, in such indications these approved therapeutics may offer competitive advantages over rilonacept, such as requiring fewer injections.</w:t>
      </w:r>
    </w:p>
    <w:p>
      <w:pPr>
        <w:spacing w:after="0" w:line="70"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There are both small molecules and antibodies in development by third parties that are designed to block the synthesis of interleukin-1 or inhibit the signaling of interleukin-1. For example, Eli Lilly and Company and Novartis are each developing antibodies to interleukin-1 and Amgen is developing an antibody to the interleukin-1 receptor. It has been reported that Novartis has commenced advanced clinical testing of its IL-1 antibody in Muckle-Wells Syndrome, which is part of the group of rare genetic diseases called CAPS. Novartis’ IL-1 antibody and these other drug candidates could offer competitive advantages over rilonacept.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The successful development of these competing molecules could delay or impair our ability to successfully develop and commercialize rilonacept. For example, we may find it difficult to enroll patients in clinical trials for rilonacept if the companies developing these competing interleukin-1 inhibitors commence clinical trials in the same indications.</w:t>
      </w:r>
    </w:p>
    <w:p>
      <w:pPr>
        <w:spacing w:after="0" w:line="73"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 xml:space="preserve">We are developing rilonacept for the treatment of a group of rare diseases associated with mutations in the </w:t>
      </w:r>
      <w:r>
        <w:rPr>
          <w:rFonts w:ascii="Arial" w:cs="Arial" w:eastAsia="Arial" w:hAnsi="Arial"/>
          <w:sz w:val="18"/>
          <w:szCs w:val="18"/>
          <w:i w:val="1"/>
          <w:iCs w:val="1"/>
          <w:color w:val="auto"/>
        </w:rPr>
        <w:t>CIAS</w:t>
      </w:r>
      <w:r>
        <w:rPr>
          <w:rFonts w:ascii="Arial" w:cs="Arial" w:eastAsia="Arial" w:hAnsi="Arial"/>
          <w:sz w:val="18"/>
          <w:szCs w:val="18"/>
          <w:color w:val="auto"/>
        </w:rPr>
        <w:t>1 gene. These rare genetic disorders affect a small group of people, estimated to be between several hundred and a few thousand. There may be too few patients with these genetic disorders to profitably commercialize rilonacept in this indication.</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on obtaining coverage and reimbursement for use of these products from third-party payers and these payers may not agree to cover or reimburse for use of our products.</w:t>
      </w:r>
    </w:p>
    <w:p>
      <w:pPr>
        <w:spacing w:after="0" w:line="62"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Our products, if commercialized, may be significantly more expensive than traditional drug treatments. Our future revenues and profitability will be adversely 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70"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We are seeking approval to market rilonacept for the treatment of a group of rare genetic disorders called CAPS. There may be too few patients with CAPS to profitably commercialize rilonacept. Physicians may not prescribe rilonacept and CAPS patients may not be able to afford rilonacept if third party payers do not agree to reimburse the cost of rilonacept therapy and this would adversely affect our ability to commercialize rilonacept profitably.</w:t>
      </w:r>
    </w:p>
    <w:p>
      <w:pPr>
        <w:spacing w:after="0" w:line="5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addition to potential restrictions on coverage, the amount of reimbursement for our products may also reduce our profitability. In the United States, there have been, and we expect will continue to be, actions and proposals to control and reduce healthcare costs. Government and other third-party payers are challenging the prices charged for healthcare products and increasingly limiting, and attempting to limit, both coverage and level of reimbursement for prescription drugs.</w:t>
      </w:r>
    </w:p>
    <w:p>
      <w:pPr>
        <w:spacing w:after="0" w:line="7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Since our products, including rilonacept,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7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may be unable to negotiate coverage, pricing,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62"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17" w:lineRule="exact"/>
        <w:rPr>
          <w:sz w:val="20"/>
          <w:szCs w:val="20"/>
          <w:color w:val="auto"/>
        </w:rPr>
      </w:pPr>
    </w:p>
    <w:p>
      <w:pPr>
        <w:ind w:right="380" w:firstLine="222"/>
        <w:spacing w:after="0" w:line="308"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38"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progress, delays, or adverse results in clinical trials;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announcement of technological innovations or product candidates by us or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fluctuations in our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public concern as to the safety or effectiveness of our product candidates;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developments in our relationship with collaborative partners;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developments in the biotechnology industry or in government regulation of healthcare;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large sales of our common stock by our executive officers, directors, or significant shareholders;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arrivals and departures of key personnel;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general market conditions.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62" w:lineRule="exact"/>
        <w:rPr>
          <w:sz w:val="20"/>
          <w:szCs w:val="20"/>
          <w:color w:val="auto"/>
        </w:rPr>
      </w:pPr>
    </w:p>
    <w:p>
      <w:pPr>
        <w:ind w:right="20" w:firstLine="215"/>
        <w:spacing w:after="0" w:line="270"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September 30, 2007, our seven largest shareholders beneficially owned 42.3%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September 30, 2007. As of September 30, 2007, sanofi-aventis owned 2,799,552 shares of Common Stock, representing approximately 4.4% of the shares of Common Stock then outstanding. Under our stock purchase agreement with sanofi-aventis, sanofi-aventis may sell no more than 500,000 of these shares in any calendar quarter.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September 30, 2007, holders of Class A Stock held 26.2% of the combined voting power of all of Common Stock and Class A Stock then outstanding.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 corporate actions that you may not consider to be in your best interest and may affect the price of our Common Stock. As of September 30, 2007:</w:t>
      </w:r>
    </w:p>
    <w:p>
      <w:pPr>
        <w:spacing w:after="0" w:line="70" w:lineRule="exact"/>
        <w:rPr>
          <w:sz w:val="20"/>
          <w:szCs w:val="20"/>
          <w:color w:val="auto"/>
        </w:rPr>
      </w:pPr>
    </w:p>
    <w:p>
      <w:pPr>
        <w:ind w:left="660" w:right="60" w:hanging="436"/>
        <w:spacing w:after="0" w:line="279" w:lineRule="auto"/>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our current executive officers and directors beneficially owned 12.9% of our outstanding shares of Common Stock, assuming conversion of their Class A Stock into Common Stock and the exercise of all options held by such persons which are exercisable within 60 days of September 30, 2007, and 30.2% of the combined voting power of our outstanding shares of Common Stock and Class A Stock, assuming the exercise of all options held by such persons which are exercisable within 60 days of September 30, 2007; and</w:t>
      </w:r>
    </w:p>
    <w:p>
      <w:pPr>
        <w:spacing w:after="0" w:line="76" w:lineRule="exact"/>
        <w:rPr>
          <w:rFonts w:ascii="Arial" w:cs="Arial" w:eastAsia="Arial" w:hAnsi="Arial"/>
          <w:sz w:val="17"/>
          <w:szCs w:val="17"/>
          <w:b w:val="1"/>
          <w:bCs w:val="1"/>
          <w:color w:val="auto"/>
        </w:rPr>
      </w:pPr>
    </w:p>
    <w:p>
      <w:pPr>
        <w:ind w:left="660" w:right="4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seven largest shareholders beneficially owned 42.3% of our outstanding shares of Common Stock, assuming, in the case of Leonard S. Schleifer, M.D., Ph.D., our Chief Executive Officer, and P. Roy Vagelos, M.D., our Chairman, the conversion of their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Class A Stock into Common Stock and the exercise of all options held by them which are exercisable within 60 days of September 30, 2007. In addition, these seven shareholders held 49.6% of the combined voting power of our outstanding shares of Common Stock and Class A Stock, assuming the exercise of all options held by our Chief Executive Officer and our Chairman which are exercisable within 60 days of September 30, 2007.</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could deter, delay, or prevent an acquisition or other “change in control” of us and could adversely affect the price of our common stock.</w:t>
      </w:r>
    </w:p>
    <w:p>
      <w:pPr>
        <w:spacing w:after="0" w:line="6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80" w:lineRule="exact"/>
        <w:rPr>
          <w:sz w:val="20"/>
          <w:szCs w:val="20"/>
          <w:color w:val="auto"/>
        </w:rPr>
      </w:pPr>
    </w:p>
    <w:p>
      <w:pPr>
        <w:ind w:left="660" w:right="18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130" w:lineRule="exact"/>
        <w:rPr>
          <w:rFonts w:ascii="Arial" w:cs="Arial" w:eastAsia="Arial" w:hAnsi="Arial"/>
          <w:sz w:val="18"/>
          <w:szCs w:val="18"/>
          <w:b w:val="1"/>
          <w:bCs w:val="1"/>
          <w:color w:val="auto"/>
        </w:rPr>
      </w:pPr>
    </w:p>
    <w:p>
      <w:pPr>
        <w:ind w:left="660" w:right="360" w:hanging="436"/>
        <w:spacing w:after="0" w:line="264"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86" w:lineRule="exact"/>
        <w:rPr>
          <w:rFonts w:ascii="Arial" w:cs="Arial" w:eastAsia="Arial" w:hAnsi="Arial"/>
          <w:sz w:val="18"/>
          <w:szCs w:val="18"/>
          <w:b w:val="1"/>
          <w:bCs w:val="1"/>
          <w:color w:val="auto"/>
        </w:rPr>
      </w:pPr>
    </w:p>
    <w:p>
      <w:pPr>
        <w:ind w:left="660" w:right="180" w:hanging="436"/>
        <w:spacing w:after="0" w:line="308" w:lineRule="auto"/>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51" w:lineRule="exact"/>
        <w:rPr>
          <w:rFonts w:ascii="Arial" w:cs="Arial" w:eastAsia="Arial" w:hAnsi="Arial"/>
          <w:sz w:val="17"/>
          <w:szCs w:val="17"/>
          <w:b w:val="1"/>
          <w:bCs w:val="1"/>
          <w:color w:val="auto"/>
        </w:rPr>
      </w:pPr>
    </w:p>
    <w:p>
      <w:pPr>
        <w:ind w:left="660" w:right="10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75"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 xml:space="preserve">under the New York Business Corporation Law, a plan of merger or consolidation of the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influence over matters requiring shareholder approval.”</w:t>
      </w:r>
    </w:p>
    <w:p>
      <w:pPr>
        <w:spacing w:after="0" w:line="73"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2000 Long-Term Incentive Plan may become fully vested in connection with a “change in control” of our company, as defined in the plan.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 First Amendment to Lease, by and between BMR-Landmark at Eastview LLC and Regeneron Pharmaceuticals, Inc., effective as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October 24, 2007.</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 Statement re: computation of ratio of earnings to combined fixed charges.</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 Certification of CEO pursuant to Rule 13a-14(a) under the Securities Exchange Act of 1934.</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 Certification of CFO pursuant to Rule 13a-14(a) under the Securities Exchange Act of 1934.</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 Certification of CEO and CFO pursuant to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8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6160" w:type="dxa"/>
            <w:vAlign w:val="bottom"/>
            <w:gridSpan w:val="2"/>
          </w:tcPr>
          <w:p>
            <w:pPr>
              <w:ind w:left="178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November 7, 2007</w:t>
            </w:r>
          </w:p>
        </w:tc>
        <w:tc>
          <w:tcPr>
            <w:tcW w:w="6160" w:type="dxa"/>
            <w:vAlign w:val="bottom"/>
            <w:gridSpan w:val="2"/>
          </w:tcPr>
          <w:p>
            <w:pPr>
              <w:ind w:left="1780"/>
              <w:spacing w:after="0"/>
              <w:rPr>
                <w:sz w:val="20"/>
                <w:szCs w:val="20"/>
                <w:color w:val="auto"/>
              </w:rPr>
            </w:pPr>
            <w:r>
              <w:rPr>
                <w:rFonts w:ascii="Arial" w:cs="Arial" w:eastAsia="Arial" w:hAnsi="Arial"/>
                <w:sz w:val="18"/>
                <w:szCs w:val="18"/>
                <w:color w:val="auto"/>
              </w:rPr>
              <w:t>By: /s/ Murray A. Goldberg</w:t>
            </w:r>
          </w:p>
        </w:tc>
      </w:tr>
      <w:tr>
        <w:trPr>
          <w:trHeight w:val="195"/>
        </w:trPr>
        <w:tc>
          <w:tcPr>
            <w:tcW w:w="3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Murray A. Goldberg</w:t>
            </w:r>
          </w:p>
        </w:tc>
      </w:tr>
      <w:tr>
        <w:trPr>
          <w:trHeight w:val="216"/>
        </w:trPr>
        <w:tc>
          <w:tcPr>
            <w:tcW w:w="3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Senior Vice President, Finance &amp; Administration, Chief</w:t>
            </w:r>
          </w:p>
        </w:tc>
      </w:tr>
      <w:tr>
        <w:trPr>
          <w:trHeight w:val="216"/>
        </w:trPr>
        <w:tc>
          <w:tcPr>
            <w:tcW w:w="3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Officer, Treasurer, and</w:t>
            </w:r>
          </w:p>
        </w:tc>
      </w:tr>
      <w:tr>
        <w:trPr>
          <w:trHeight w:val="216"/>
        </w:trPr>
        <w:tc>
          <w:tcPr>
            <w:tcW w:w="3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216"/>
        </w:trPr>
        <w:tc>
          <w:tcPr>
            <w:tcW w:w="3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3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621"/>
        </w:trPr>
        <w:tc>
          <w:tcPr>
            <w:tcW w:w="3580" w:type="dxa"/>
            <w:vAlign w:val="bottom"/>
          </w:tcPr>
          <w:p>
            <w:pPr>
              <w:spacing w:after="0"/>
              <w:rPr>
                <w:sz w:val="24"/>
                <w:szCs w:val="24"/>
                <w:color w:val="auto"/>
              </w:rPr>
            </w:pPr>
          </w:p>
        </w:tc>
        <w:tc>
          <w:tcPr>
            <w:tcW w:w="6160" w:type="dxa"/>
            <w:vAlign w:val="bottom"/>
            <w:gridSpan w:val="2"/>
          </w:tcPr>
          <w:p>
            <w:pPr>
              <w:jc w:val="right"/>
              <w:ind w:right="385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280"/>
          </w:cols>
          <w:pgMar w:left="240" w:top="419" w:right="37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Confidential Materials Omitted And Filed Separately With The Securities And Exchange Commission. Asterisks Denote Omissions.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LEASE</w:t>
      </w:r>
    </w:p>
    <w:p>
      <w:pPr>
        <w:spacing w:after="0" w:line="117" w:lineRule="exact"/>
        <w:rPr>
          <w:sz w:val="20"/>
          <w:szCs w:val="20"/>
          <w:color w:val="auto"/>
        </w:rPr>
      </w:pPr>
    </w:p>
    <w:p>
      <w:pPr>
        <w:ind w:right="100" w:firstLine="222"/>
        <w:spacing w:after="0" w:line="347"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First Amendment to Lease</w:t>
      </w:r>
      <w:r>
        <w:rPr>
          <w:rFonts w:ascii="Arial" w:cs="Arial" w:eastAsia="Arial" w:hAnsi="Arial"/>
          <w:sz w:val="16"/>
          <w:szCs w:val="16"/>
          <w:color w:val="auto"/>
        </w:rPr>
        <w:t xml:space="preserve"> (this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as of September 14, 2007 (the “</w:t>
      </w:r>
      <w:r>
        <w:rPr>
          <w:rFonts w:ascii="Arial" w:cs="Arial" w:eastAsia="Arial" w:hAnsi="Arial"/>
          <w:sz w:val="16"/>
          <w:szCs w:val="16"/>
          <w:b w:val="1"/>
          <w:bCs w:val="1"/>
          <w:color w:val="auto"/>
        </w:rPr>
        <w:t>First Amendment Date</w:t>
      </w:r>
      <w:r>
        <w:rPr>
          <w:rFonts w:ascii="Arial" w:cs="Arial" w:eastAsia="Arial" w:hAnsi="Arial"/>
          <w:sz w:val="16"/>
          <w:szCs w:val="16"/>
          <w:color w:val="auto"/>
        </w:rPr>
        <w:t>”) by and between BMR-Landmark at Eastview LLC,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 Regeneron Pharmaceuticals, Inc., a New York corporation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17" w:lineRule="exact"/>
        <w:rPr>
          <w:sz w:val="20"/>
          <w:szCs w:val="20"/>
          <w:color w:val="auto"/>
        </w:rPr>
      </w:pPr>
    </w:p>
    <w:p>
      <w:pPr>
        <w:jc w:val="both"/>
        <w:ind w:right="20" w:firstLine="233"/>
        <w:spacing w:after="0" w:line="314"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Landlord and Tenant are parties to that certain Lease (the “</w:t>
      </w:r>
      <w:r>
        <w:rPr>
          <w:rFonts w:ascii="Arial" w:cs="Arial" w:eastAsia="Arial" w:hAnsi="Arial"/>
          <w:sz w:val="16"/>
          <w:szCs w:val="16"/>
          <w:b w:val="1"/>
          <w:bCs w:val="1"/>
          <w:color w:val="auto"/>
        </w:rPr>
        <w:t>Lease</w:t>
      </w:r>
      <w:r>
        <w:rPr>
          <w:rFonts w:ascii="Arial" w:cs="Arial" w:eastAsia="Arial" w:hAnsi="Arial"/>
          <w:sz w:val="16"/>
          <w:szCs w:val="16"/>
          <w:color w:val="auto"/>
        </w:rPr>
        <w:t>”) dated as of December 21, 2006, pursuant to which Landlord (a) leases the Premises (as defined in the Lease) to Tenant and (b) has provided Tenant an option (the “</w:t>
      </w:r>
      <w:r>
        <w:rPr>
          <w:rFonts w:ascii="Arial" w:cs="Arial" w:eastAsia="Arial" w:hAnsi="Arial"/>
          <w:sz w:val="16"/>
          <w:szCs w:val="16"/>
          <w:b w:val="1"/>
          <w:bCs w:val="1"/>
          <w:color w:val="auto"/>
        </w:rPr>
        <w:t>Expansion Option</w:t>
      </w:r>
      <w:r>
        <w:rPr>
          <w:rFonts w:ascii="Arial" w:cs="Arial" w:eastAsia="Arial" w:hAnsi="Arial"/>
          <w:sz w:val="16"/>
          <w:szCs w:val="16"/>
          <w:color w:val="auto"/>
        </w:rPr>
        <w:t>”) to expand the Premises and take occupancy of the entire New Multiple Tenant Building. All capitalized terms used but not otherwise defined herein shall have the meanings given such terms in the Lease.</w:t>
      </w:r>
    </w:p>
    <w:p>
      <w:pPr>
        <w:spacing w:after="0" w:line="38" w:lineRule="exact"/>
        <w:rPr>
          <w:rFonts w:ascii="Arial" w:cs="Arial" w:eastAsia="Arial" w:hAnsi="Arial"/>
          <w:sz w:val="16"/>
          <w:szCs w:val="16"/>
          <w:color w:val="auto"/>
        </w:rPr>
      </w:pPr>
    </w:p>
    <w:p>
      <w:pPr>
        <w:ind w:left="520" w:hanging="287"/>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Tenant has delivered to Landlord the Expansion Notice.</w:t>
      </w:r>
    </w:p>
    <w:p>
      <w:pPr>
        <w:spacing w:after="0" w:line="117" w:lineRule="exact"/>
        <w:rPr>
          <w:rFonts w:ascii="Arial" w:cs="Arial" w:eastAsia="Arial" w:hAnsi="Arial"/>
          <w:sz w:val="18"/>
          <w:szCs w:val="18"/>
          <w:color w:val="auto"/>
        </w:rPr>
      </w:pPr>
    </w:p>
    <w:p>
      <w:pPr>
        <w:ind w:right="300" w:firstLine="233"/>
        <w:spacing w:after="0" w:line="277" w:lineRule="auto"/>
        <w:tabs>
          <w:tab w:leader="none" w:pos="5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Landlord and Tenant desire to amend certain terms of the Lease, as set forth below, to reflect their understanding with respect to such terms and the addition of the Expansion Space (as defined below) to the Premises.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2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66"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p>
    <w:p>
      <w:pPr>
        <w:spacing w:after="0" w:line="121" w:lineRule="exact"/>
        <w:rPr>
          <w:rFonts w:ascii="Arial" w:cs="Arial" w:eastAsia="Arial" w:hAnsi="Arial"/>
          <w:sz w:val="18"/>
          <w:szCs w:val="18"/>
          <w:b w:val="1"/>
          <w:bCs w:val="1"/>
          <w:color w:val="auto"/>
        </w:rPr>
      </w:pPr>
    </w:p>
    <w:p>
      <w:pPr>
        <w:ind w:right="120" w:firstLine="233"/>
        <w:spacing w:after="0" w:line="253" w:lineRule="auto"/>
        <w:tabs>
          <w:tab w:leader="none" w:pos="405"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Expansion Space</w:t>
      </w:r>
      <w:r>
        <w:rPr>
          <w:rFonts w:ascii="Arial" w:cs="Arial" w:eastAsia="Arial" w:hAnsi="Arial"/>
          <w:sz w:val="18"/>
          <w:szCs w:val="18"/>
          <w:color w:val="auto"/>
        </w:rPr>
        <w:t xml:space="preserve">. The Lease is hereby amended to include the first floor of the New Multiple Tenant Building, as depicted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to the Lease (the “</w:t>
      </w:r>
      <w:r>
        <w:rPr>
          <w:rFonts w:ascii="Arial" w:cs="Arial" w:eastAsia="Arial" w:hAnsi="Arial"/>
          <w:sz w:val="18"/>
          <w:szCs w:val="18"/>
          <w:b w:val="1"/>
          <w:bCs w:val="1"/>
          <w:color w:val="auto"/>
        </w:rPr>
        <w:t>Expansion Space</w:t>
      </w:r>
      <w:r>
        <w:rPr>
          <w:rFonts w:ascii="Arial" w:cs="Arial" w:eastAsia="Arial" w:hAnsi="Arial"/>
          <w:sz w:val="18"/>
          <w:szCs w:val="18"/>
          <w:color w:val="auto"/>
        </w:rPr>
        <w:t xml:space="preserve">”), so that such space constitutes a part of, and is included within the meaning of, the “New Multiple Tenant Building Premises”, the “New Premises” and the “Premises”, as such terms are used in the Lease. The Expansion Space shall be delivered to Tenant together with the rest of the New Multiple Tenant Building Premises in accordance with the terms of the Lease, so that the entire New Multiple Tenant Building will be leased to Tenant. Except as specifically provided otherwise herein or in the Lease, all of the terms and conditions set forth herein and in the Lease shall apply to the Expansion Space. The description of the Expansion Space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is hereby added to the description of the New Multiple Tenant Building Premises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the Lease. The mere exercise by Tenant of the Expansion Option and any additional Landlord Work required to be performed to deliver possession of the Expansion Premises in the condition and on the date provided in the Lease, shall not constitute a Tenant Delay under this Lease.</w:t>
      </w:r>
    </w:p>
    <w:p>
      <w:pPr>
        <w:spacing w:after="0" w:line="89" w:lineRule="exact"/>
        <w:rPr>
          <w:rFonts w:ascii="Arial" w:cs="Arial" w:eastAsia="Arial" w:hAnsi="Arial"/>
          <w:sz w:val="18"/>
          <w:szCs w:val="18"/>
          <w:color w:val="auto"/>
        </w:rPr>
      </w:pPr>
    </w:p>
    <w:p>
      <w:pPr>
        <w:ind w:right="420" w:firstLine="233"/>
        <w:spacing w:after="0" w:line="277" w:lineRule="auto"/>
        <w:tabs>
          <w:tab w:leader="none" w:pos="405"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Estimated Term Commencement Date</w:t>
      </w:r>
      <w:r>
        <w:rPr>
          <w:rFonts w:ascii="Arial" w:cs="Arial" w:eastAsia="Arial" w:hAnsi="Arial"/>
          <w:sz w:val="18"/>
          <w:szCs w:val="18"/>
          <w:color w:val="auto"/>
        </w:rPr>
        <w:t>. Section 2.6 of the Lease is hereby amended by replacing the date “March 6, 2008” where such date appears therein with the date “June 20,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0" w:name="page61"/>
    <w:bookmarkEnd w:id="60"/>
    <w:p>
      <w:pPr>
        <w:ind w:firstLine="233"/>
        <w:spacing w:after="0" w:line="264" w:lineRule="auto"/>
        <w:tabs>
          <w:tab w:leader="none" w:pos="405"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Exhibit F</w:t>
      </w:r>
      <w:r>
        <w:rPr>
          <w:rFonts w:ascii="Arial" w:cs="Arial" w:eastAsia="Arial" w:hAnsi="Arial"/>
          <w:sz w:val="18"/>
          <w:szCs w:val="18"/>
          <w:color w:val="auto"/>
        </w:rPr>
        <w:t>. Exhibit F to the Lease is hereby amended by (i) replacing the value “$68,107,092”, where such value appears in the letter therein, dated December 12, 2006, from David Surette to Steve Marshall, with the value “68,159,687” and (ii) replacing the Schedule of Values therein with the Schedule of Values attached hereto as Exhibit B.</w:t>
      </w:r>
    </w:p>
    <w:p>
      <w:pPr>
        <w:spacing w:after="0" w:line="17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Miscellaneous</w:t>
      </w:r>
    </w:p>
    <w:p>
      <w:pPr>
        <w:spacing w:after="0" w:line="121" w:lineRule="exact"/>
        <w:rPr>
          <w:rFonts w:ascii="Arial" w:cs="Arial" w:eastAsia="Arial" w:hAnsi="Arial"/>
          <w:sz w:val="18"/>
          <w:szCs w:val="18"/>
          <w:color w:val="auto"/>
        </w:rPr>
      </w:pPr>
    </w:p>
    <w:p>
      <w:pPr>
        <w:ind w:right="440" w:firstLine="233"/>
        <w:spacing w:after="0" w:line="277" w:lineRule="auto"/>
        <w:tabs>
          <w:tab w:leader="none" w:pos="40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This Amendment shall be governed by, construed and enforced in accordance with the laws of the state in which the Premises are located, without regard to such state’s conflict of law principles.</w:t>
      </w:r>
    </w:p>
    <w:p>
      <w:pPr>
        <w:spacing w:after="0" w:line="62" w:lineRule="exact"/>
        <w:rPr>
          <w:rFonts w:ascii="Arial" w:cs="Arial" w:eastAsia="Arial" w:hAnsi="Arial"/>
          <w:sz w:val="18"/>
          <w:szCs w:val="18"/>
          <w:color w:val="auto"/>
        </w:rPr>
      </w:pPr>
    </w:p>
    <w:p>
      <w:pPr>
        <w:ind w:right="40" w:firstLine="233"/>
        <w:spacing w:after="0" w:line="259" w:lineRule="auto"/>
        <w:tabs>
          <w:tab w:leader="none" w:pos="40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Tenant and Landlord each represents and warrants to the other that it has had no dealings with any real estate broker or agent in connection with the negotiation of this Amendment other than Studley, Inc. (“Broker”), and that it knows of no other real estate broker or agent that is or might be entitled to a commission in connection with this Amendment. Landlord shall compensate Broker in relation to this Amendment pursuant to a separate agreement between Landlord and Broker</w:t>
      </w:r>
    </w:p>
    <w:p>
      <w:pPr>
        <w:spacing w:after="0" w:line="78" w:lineRule="exact"/>
        <w:rPr>
          <w:rFonts w:ascii="Arial" w:cs="Arial" w:eastAsia="Arial" w:hAnsi="Arial"/>
          <w:sz w:val="18"/>
          <w:szCs w:val="18"/>
          <w:color w:val="auto"/>
        </w:rPr>
      </w:pPr>
    </w:p>
    <w:p>
      <w:pPr>
        <w:jc w:val="both"/>
        <w:ind w:right="20" w:firstLine="233"/>
        <w:spacing w:after="0" w:line="259" w:lineRule="auto"/>
        <w:tabs>
          <w:tab w:leader="none" w:pos="405" w:val="left"/>
        </w:tabs>
        <w:numPr>
          <w:ilvl w:val="1"/>
          <w:numId w:val="19"/>
        </w:numPr>
        <w:rPr>
          <w:rFonts w:ascii="Arial" w:cs="Arial" w:eastAsia="Arial" w:hAnsi="Arial"/>
          <w:sz w:val="18"/>
          <w:szCs w:val="18"/>
          <w:color w:val="auto"/>
        </w:rPr>
      </w:pPr>
      <w:r>
        <w:rPr>
          <w:rFonts w:ascii="Arial" w:cs="Arial" w:eastAsia="Arial" w:hAnsi="Arial"/>
          <w:sz w:val="18"/>
          <w:szCs w:val="18"/>
          <w:color w:val="auto"/>
        </w:rPr>
        <w:t>Each of Landlord and Tenant represents that, except as amended hereby, the Lease has not been modified and remains in full force and effect and the individual or those individuals signing this Amendment on behalf of Landlord or Tenant (respectively) have the power, authority and legal capacity to sign this Amendment on behalf of and to bind all entities, corporations, partnerships, limited liability companies, joint venturers or other organizations and entities on whose behalf said individual or individuals have signed.</w:t>
      </w:r>
    </w:p>
    <w:p>
      <w:pPr>
        <w:spacing w:after="0" w:line="78" w:lineRule="exact"/>
        <w:rPr>
          <w:rFonts w:ascii="Arial" w:cs="Arial" w:eastAsia="Arial" w:hAnsi="Arial"/>
          <w:sz w:val="18"/>
          <w:szCs w:val="18"/>
          <w:color w:val="auto"/>
        </w:rPr>
      </w:pPr>
    </w:p>
    <w:p>
      <w:pPr>
        <w:ind w:left="400" w:hanging="167"/>
        <w:spacing w:after="0"/>
        <w:tabs>
          <w:tab w:leader="none" w:pos="4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This Amendment may be executed in one or more counterparts, each of which, when taken together, shall constitute one and the same document.</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IN WITNESS WHEREOF, the parties hereto have executed this Amendment as of the date first above written.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u w:val="single" w:color="auto"/>
          <w:color w:val="auto"/>
        </w:rPr>
        <w:t>LANDLORD:</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BMR-Landmark at Eastview LLC,</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43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G. McDevitt</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spacing w:after="0"/>
              <w:rPr>
                <w:sz w:val="20"/>
                <w:szCs w:val="20"/>
                <w:color w:val="auto"/>
              </w:rPr>
            </w:pPr>
            <w:r>
              <w:rPr>
                <w:rFonts w:ascii="Arial" w:cs="Arial" w:eastAsia="Arial" w:hAnsi="Arial"/>
                <w:sz w:val="18"/>
                <w:szCs w:val="18"/>
                <w:color w:val="auto"/>
              </w:rPr>
              <w:t>Matthew G. McDevitt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Regional Executive Vice President</w:t>
            </w:r>
          </w:p>
        </w:tc>
      </w:tr>
    </w:tbl>
    <w:p>
      <w:pPr>
        <w:spacing w:after="0" w:line="202" w:lineRule="exact"/>
        <w:rPr>
          <w:sz w:val="20"/>
          <w:szCs w:val="20"/>
          <w:color w:val="auto"/>
        </w:rPr>
      </w:pPr>
    </w:p>
    <w:p>
      <w:pPr>
        <w:ind w:left="4380"/>
        <w:spacing w:after="0"/>
        <w:rPr>
          <w:sz w:val="20"/>
          <w:szCs w:val="20"/>
          <w:color w:val="auto"/>
        </w:rPr>
      </w:pPr>
      <w:r>
        <w:rPr>
          <w:rFonts w:ascii="Arial" w:cs="Arial" w:eastAsia="Arial" w:hAnsi="Arial"/>
          <w:sz w:val="18"/>
          <w:szCs w:val="18"/>
          <w:u w:val="single" w:color="auto"/>
          <w:color w:val="auto"/>
        </w:rPr>
        <w:t>TENANT:</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 New York corporation</w:t>
      </w:r>
    </w:p>
    <w:p>
      <w:pPr>
        <w:spacing w:after="0" w:line="211" w:lineRule="exact"/>
        <w:rPr>
          <w:sz w:val="20"/>
          <w:szCs w:val="20"/>
          <w:color w:val="auto"/>
        </w:rPr>
      </w:pPr>
    </w:p>
    <w:tbl>
      <w:tblPr>
        <w:tblLayout w:type="fixed"/>
        <w:tblInd w:w="43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Murray A. Goldberg</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spacing w:after="0"/>
              <w:rPr>
                <w:sz w:val="20"/>
                <w:szCs w:val="20"/>
                <w:color w:val="auto"/>
              </w:rPr>
            </w:pPr>
            <w:r>
              <w:rPr>
                <w:rFonts w:ascii="Arial" w:cs="Arial" w:eastAsia="Arial" w:hAnsi="Arial"/>
                <w:sz w:val="18"/>
                <w:szCs w:val="18"/>
                <w:color w:val="auto"/>
              </w:rPr>
              <w:t>Murray A. Goldberg</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Senior Vice President, Finance &amp;</w:t>
            </w:r>
          </w:p>
        </w:tc>
      </w:tr>
    </w:tbl>
    <w:p>
      <w:pPr>
        <w:ind w:left="4380"/>
        <w:spacing w:after="0"/>
        <w:rPr>
          <w:sz w:val="20"/>
          <w:szCs w:val="20"/>
          <w:color w:val="auto"/>
        </w:rPr>
      </w:pPr>
      <w:r>
        <w:rPr>
          <w:rFonts w:ascii="Arial" w:cs="Arial" w:eastAsia="Arial" w:hAnsi="Arial"/>
          <w:sz w:val="18"/>
          <w:szCs w:val="18"/>
          <w:color w:val="auto"/>
        </w:rPr>
        <w:t>Administration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398145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6" w:right="1440" w:bottom="1440" w:gutter="0" w:footer="0" w:header="0"/>
        </w:sectPr>
      </w:pPr>
    </w:p>
    <w:bookmarkStart w:id="62" w:name="page63"/>
    <w:bookmarkEnd w:id="62"/>
    <w:p>
      <w:pPr>
        <w:jc w:val="center"/>
        <w:ind w:right="-359"/>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EXPANSION SPACE</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EXPANSION SPACE DESCRIPTION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Expansion Space is the entire first floor of the New Multiple Tenant Building, along with the remaining portions of the basement and penthouse. The Rentable Area of the Expansion Space shall be defined as follows: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First floor= 33,169 square feet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Basement= 1,738 square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Penthouse= 849 square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Rentable Area of Expansion Space= 35,756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303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Lease incorrectly references total Rentable Area of Expansion Space as 35,755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958" w:right="59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SCHEDULE OF VALUES</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959"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Nine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vMerge w:val="restart"/>
          </w:tcPr>
          <w:p>
            <w:pPr>
              <w:ind w:left="40"/>
              <w:spacing w:after="0"/>
              <w:rPr>
                <w:sz w:val="20"/>
                <w:szCs w:val="20"/>
                <w:color w:val="auto"/>
              </w:rPr>
            </w:pPr>
            <w:r>
              <w:rPr>
                <w:rFonts w:ascii="Arial" w:cs="Arial" w:eastAsia="Arial" w:hAnsi="Arial"/>
                <w:sz w:val="14"/>
                <w:szCs w:val="14"/>
                <w:color w:val="auto"/>
              </w:rPr>
              <w:t>Years ended December 31,</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4"/>
          </w:tcPr>
          <w:p>
            <w:pPr>
              <w:ind w:left="300"/>
              <w:spacing w:after="0" w:line="154"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2002</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2003</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2004</w:t>
            </w: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2005</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2006</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ind w:left="200"/>
              <w:spacing w:after="0" w:line="201" w:lineRule="exact"/>
              <w:rPr>
                <w:sz w:val="20"/>
                <w:szCs w:val="20"/>
                <w:color w:val="auto"/>
              </w:rPr>
            </w:pPr>
            <w:r>
              <w:rPr>
                <w:rFonts w:ascii="Arial" w:cs="Arial" w:eastAsia="Arial" w:hAnsi="Arial"/>
                <w:sz w:val="18"/>
                <w:szCs w:val="18"/>
                <w:color w:val="auto"/>
              </w:rPr>
              <w:t>Income (loss) from continuing</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00"/>
              <w:spacing w:after="0"/>
              <w:rPr>
                <w:sz w:val="20"/>
                <w:szCs w:val="20"/>
                <w:color w:val="auto"/>
              </w:rPr>
            </w:pPr>
            <w:r>
              <w:rPr>
                <w:rFonts w:ascii="Arial" w:cs="Arial" w:eastAsia="Arial" w:hAnsi="Arial"/>
                <w:sz w:val="18"/>
                <w:szCs w:val="18"/>
                <w:color w:val="auto"/>
              </w:rPr>
              <w:t>operations before income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400"/>
              <w:spacing w:after="0"/>
              <w:rPr>
                <w:sz w:val="20"/>
                <w:szCs w:val="20"/>
                <w:color w:val="auto"/>
              </w:rPr>
            </w:pPr>
            <w:r>
              <w:rPr>
                <w:rFonts w:ascii="Arial" w:cs="Arial" w:eastAsia="Arial" w:hAnsi="Arial"/>
                <w:sz w:val="18"/>
                <w:szCs w:val="18"/>
                <w:color w:val="auto"/>
              </w:rPr>
              <w:t>(loss) from equity investee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(124,350)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(107,395)</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41,565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(95,456)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(103,150)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14,108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14,060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13,687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Amortization of capitalized interest</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3620" w:type="dxa"/>
            <w:vAlign w:val="bottom"/>
            <w:gridSpan w:val="2"/>
          </w:tcPr>
          <w:p>
            <w:pPr>
              <w:spacing w:after="0"/>
              <w:rPr>
                <w:sz w:val="20"/>
                <w:szCs w:val="20"/>
                <w:color w:val="auto"/>
              </w:rPr>
            </w:pPr>
            <w:r>
              <w:rPr>
                <w:rFonts w:ascii="Arial" w:cs="Arial" w:eastAsia="Arial" w:hAnsi="Arial"/>
                <w:sz w:val="18"/>
                <w:szCs w:val="18"/>
                <w:color w:val="auto"/>
              </w:rPr>
              <w:t>Adjusted earnings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0"/>
              </w:rPr>
              <w:t>(110,887)</w:t>
            </w: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(93,530)</w:t>
            </w: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w w:val="94"/>
              </w:rPr>
              <w:t>55,703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89"/>
              </w:rPr>
              <w:t>(81,691)</w:t>
            </w: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(89,434)</w:t>
            </w:r>
          </w:p>
        </w:tc>
        <w:tc>
          <w:tcPr>
            <w:tcW w:w="4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(82,226)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11,859</w:t>
            </w:r>
          </w:p>
        </w:tc>
        <w:tc>
          <w:tcPr>
            <w:tcW w:w="3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11,932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12,175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12,046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12,043</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ind w:left="200"/>
              <w:spacing w:after="0" w:line="201" w:lineRule="exact"/>
              <w:rPr>
                <w:sz w:val="20"/>
                <w:szCs w:val="20"/>
                <w:color w:val="auto"/>
              </w:rPr>
            </w:pPr>
            <w:r>
              <w:rPr>
                <w:rFonts w:ascii="Arial" w:cs="Arial" w:eastAsia="Arial" w:hAnsi="Arial"/>
                <w:sz w:val="18"/>
                <w:szCs w:val="18"/>
                <w:color w:val="auto"/>
              </w:rPr>
              <w:t>Assumed interest component of rental</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400"/>
              <w:spacing w:after="0"/>
              <w:rPr>
                <w:sz w:val="20"/>
                <w:szCs w:val="20"/>
                <w:color w:val="auto"/>
              </w:rPr>
            </w:pPr>
            <w:r>
              <w:rPr>
                <w:rFonts w:ascii="Arial" w:cs="Arial" w:eastAsia="Arial" w:hAnsi="Arial"/>
                <w:sz w:val="18"/>
                <w:szCs w:val="18"/>
                <w:color w:val="auto"/>
              </w:rPr>
              <w:t>charges</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1,900</w:t>
            </w: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1,641</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1,600</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13,685</w:t>
            </w:r>
          </w:p>
        </w:tc>
        <w:tc>
          <w:tcPr>
            <w:tcW w:w="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14,108</w:t>
            </w: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14,060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13,687</w:t>
            </w:r>
          </w:p>
        </w:tc>
        <w:tc>
          <w:tcPr>
            <w:tcW w:w="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13,643</w:t>
            </w:r>
          </w:p>
        </w:tc>
        <w:tc>
          <w:tcPr>
            <w:tcW w:w="48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10,285</w:t>
            </w:r>
          </w:p>
        </w:tc>
        <w:tc>
          <w:tcPr>
            <w:tcW w:w="0" w:type="dxa"/>
            <w:vAlign w:val="bottom"/>
          </w:tcPr>
          <w:p>
            <w:pPr>
              <w:spacing w:after="0"/>
              <w:rPr>
                <w:sz w:val="1"/>
                <w:szCs w:val="1"/>
                <w:color w:val="auto"/>
              </w:rPr>
            </w:pPr>
          </w:p>
        </w:tc>
      </w:tr>
      <w:tr>
        <w:trPr>
          <w:trHeight w:val="20"/>
        </w:trPr>
        <w:tc>
          <w:tcPr>
            <w:tcW w:w="36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2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(A)</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(A)</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(A)</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(A)</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6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Due to the registrant’s losses for the years ended December 31, 2002, 2003, 2005, and 2006, and for the nine months ended September 30, 2007, the ratio coverage was less than 1:1. To achieve a coverage ratio of 1:1, the registrant must generate additional earnings of the amounts shown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4"/>
              </w:rPr>
              <w:t>Nine months</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3"/>
            <w:vMerge w:val="restart"/>
          </w:tcPr>
          <w:p>
            <w:pPr>
              <w:jc w:val="right"/>
              <w:ind w:right="450"/>
              <w:spacing w:after="0"/>
              <w:rPr>
                <w:sz w:val="20"/>
                <w:szCs w:val="20"/>
                <w:color w:val="auto"/>
              </w:rPr>
            </w:pPr>
            <w:r>
              <w:rPr>
                <w:rFonts w:ascii="Arial" w:cs="Arial" w:eastAsia="Arial" w:hAnsi="Arial"/>
                <w:sz w:val="14"/>
                <w:szCs w:val="14"/>
                <w:color w:val="auto"/>
              </w:rPr>
              <w:t>Years ended December 31,</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2"/>
              </w:rPr>
              <w:t>ended</w:t>
            </w:r>
          </w:p>
        </w:tc>
        <w:tc>
          <w:tcPr>
            <w:tcW w:w="0" w:type="dxa"/>
            <w:vAlign w:val="bottom"/>
          </w:tcPr>
          <w:p>
            <w:pPr>
              <w:spacing w:after="0"/>
              <w:rPr>
                <w:sz w:val="1"/>
                <w:szCs w:val="1"/>
                <w:color w:val="auto"/>
              </w:rPr>
            </w:pPr>
          </w:p>
        </w:tc>
      </w:tr>
      <w:tr>
        <w:trPr>
          <w:trHeight w:val="154"/>
        </w:trPr>
        <w:tc>
          <w:tcPr>
            <w:tcW w:w="400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3"/>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jc w:val="center"/>
              <w:spacing w:after="0" w:line="154" w:lineRule="exact"/>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42"/>
        </w:trPr>
        <w:tc>
          <w:tcPr>
            <w:tcW w:w="4000" w:type="dxa"/>
            <w:vAlign w:val="bottom"/>
            <w:vMerge w:val="restart"/>
          </w:tcPr>
          <w:p>
            <w:pPr>
              <w:spacing w:after="0"/>
              <w:rPr>
                <w:sz w:val="20"/>
                <w:szCs w:val="20"/>
                <w:color w:val="auto"/>
              </w:rPr>
            </w:pPr>
            <w:r>
              <w:rPr>
                <w:rFonts w:ascii="Arial" w:cs="Arial" w:eastAsia="Arial" w:hAnsi="Arial"/>
                <w:sz w:val="18"/>
                <w:szCs w:val="18"/>
                <w:color w:val="auto"/>
              </w:rPr>
              <w:t>Coverage deficiency</w:t>
            </w:r>
          </w:p>
        </w:tc>
        <w:tc>
          <w:tcPr>
            <w:tcW w:w="1120" w:type="dxa"/>
            <w:vAlign w:val="bottom"/>
          </w:tcPr>
          <w:p>
            <w:pPr>
              <w:jc w:val="right"/>
              <w:ind w:right="339"/>
              <w:spacing w:after="0" w:line="142" w:lineRule="exact"/>
              <w:rPr>
                <w:sz w:val="20"/>
                <w:szCs w:val="20"/>
                <w:color w:val="auto"/>
              </w:rPr>
            </w:pPr>
            <w:r>
              <w:rPr>
                <w:rFonts w:ascii="Arial" w:cs="Arial" w:eastAsia="Arial" w:hAnsi="Arial"/>
                <w:sz w:val="14"/>
                <w:szCs w:val="14"/>
                <w:color w:val="auto"/>
              </w:rPr>
              <w:t>2002</w:t>
            </w:r>
          </w:p>
        </w:tc>
        <w:tc>
          <w:tcPr>
            <w:tcW w:w="1580" w:type="dxa"/>
            <w:vAlign w:val="bottom"/>
            <w:gridSpan w:val="2"/>
          </w:tcPr>
          <w:p>
            <w:pPr>
              <w:jc w:val="right"/>
              <w:ind w:right="339"/>
              <w:spacing w:after="0" w:line="142" w:lineRule="exact"/>
              <w:rPr>
                <w:sz w:val="20"/>
                <w:szCs w:val="20"/>
                <w:color w:val="auto"/>
              </w:rPr>
            </w:pPr>
            <w:r>
              <w:rPr>
                <w:rFonts w:ascii="Arial" w:cs="Arial" w:eastAsia="Arial" w:hAnsi="Arial"/>
                <w:sz w:val="14"/>
                <w:szCs w:val="14"/>
                <w:color w:val="auto"/>
              </w:rPr>
              <w:t>2003</w:t>
            </w:r>
          </w:p>
        </w:tc>
        <w:tc>
          <w:tcPr>
            <w:tcW w:w="1500" w:type="dxa"/>
            <w:vAlign w:val="bottom"/>
            <w:gridSpan w:val="2"/>
          </w:tcPr>
          <w:p>
            <w:pPr>
              <w:jc w:val="right"/>
              <w:ind w:right="310"/>
              <w:spacing w:after="0" w:line="142" w:lineRule="exact"/>
              <w:rPr>
                <w:sz w:val="20"/>
                <w:szCs w:val="20"/>
                <w:color w:val="auto"/>
              </w:rPr>
            </w:pPr>
            <w:r>
              <w:rPr>
                <w:rFonts w:ascii="Arial" w:cs="Arial" w:eastAsia="Arial" w:hAnsi="Arial"/>
                <w:sz w:val="14"/>
                <w:szCs w:val="14"/>
                <w:color w:val="auto"/>
              </w:rPr>
              <w:t>2005</w:t>
            </w:r>
          </w:p>
        </w:tc>
        <w:tc>
          <w:tcPr>
            <w:tcW w:w="1580" w:type="dxa"/>
            <w:vAlign w:val="bottom"/>
            <w:gridSpan w:val="2"/>
          </w:tcPr>
          <w:p>
            <w:pPr>
              <w:jc w:val="right"/>
              <w:ind w:right="350"/>
              <w:spacing w:after="0" w:line="142" w:lineRule="exact"/>
              <w:rPr>
                <w:sz w:val="20"/>
                <w:szCs w:val="20"/>
                <w:color w:val="auto"/>
              </w:rPr>
            </w:pPr>
            <w:r>
              <w:rPr>
                <w:rFonts w:ascii="Arial" w:cs="Arial" w:eastAsia="Arial" w:hAnsi="Arial"/>
                <w:sz w:val="14"/>
                <w:szCs w:val="14"/>
                <w:color w:val="auto"/>
              </w:rPr>
              <w:t>2006</w:t>
            </w:r>
          </w:p>
        </w:tc>
        <w:tc>
          <w:tcPr>
            <w:tcW w:w="1640" w:type="dxa"/>
            <w:vAlign w:val="bottom"/>
            <w:gridSpan w:val="2"/>
          </w:tcPr>
          <w:p>
            <w:pPr>
              <w:jc w:val="center"/>
              <w:ind w:left="368"/>
              <w:spacing w:after="0" w:line="142" w:lineRule="exact"/>
              <w:rPr>
                <w:sz w:val="20"/>
                <w:szCs w:val="20"/>
                <w:color w:val="auto"/>
              </w:rPr>
            </w:pPr>
            <w:r>
              <w:rPr>
                <w:rFonts w:ascii="Arial" w:cs="Arial" w:eastAsia="Arial" w:hAnsi="Arial"/>
                <w:sz w:val="14"/>
                <w:szCs w:val="14"/>
                <w:color w:val="auto"/>
                <w:w w:val="89"/>
              </w:rPr>
              <w:t>2007</w:t>
            </w:r>
          </w:p>
        </w:tc>
        <w:tc>
          <w:tcPr>
            <w:tcW w:w="0" w:type="dxa"/>
            <w:vAlign w:val="bottom"/>
          </w:tcPr>
          <w:p>
            <w:pPr>
              <w:spacing w:after="0"/>
              <w:rPr>
                <w:sz w:val="1"/>
                <w:szCs w:val="1"/>
                <w:color w:val="auto"/>
              </w:rPr>
            </w:pPr>
          </w:p>
        </w:tc>
      </w:tr>
      <w:tr>
        <w:trPr>
          <w:trHeight w:val="224"/>
        </w:trPr>
        <w:tc>
          <w:tcPr>
            <w:tcW w:w="4000" w:type="dxa"/>
            <w:vAlign w:val="bottom"/>
            <w:vMerge w:val="continue"/>
          </w:tcPr>
          <w:p>
            <w:pPr>
              <w:spacing w:after="0"/>
              <w:rPr>
                <w:sz w:val="19"/>
                <w:szCs w:val="19"/>
                <w:color w:val="auto"/>
              </w:rPr>
            </w:pPr>
          </w:p>
        </w:tc>
        <w:tc>
          <w:tcPr>
            <w:tcW w:w="112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$124,572</w:t>
            </w:r>
          </w:p>
        </w:tc>
        <w:tc>
          <w:tcPr>
            <w:tcW w:w="440" w:type="dxa"/>
            <w:vAlign w:val="bottom"/>
          </w:tcPr>
          <w:p>
            <w:pPr>
              <w:spacing w:after="0"/>
              <w:rPr>
                <w:sz w:val="19"/>
                <w:szCs w:val="19"/>
                <w:color w:val="auto"/>
              </w:rPr>
            </w:pPr>
          </w:p>
        </w:tc>
        <w:tc>
          <w:tcPr>
            <w:tcW w:w="114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$107,638</w:t>
            </w:r>
          </w:p>
        </w:tc>
        <w:tc>
          <w:tcPr>
            <w:tcW w:w="440" w:type="dxa"/>
            <w:vAlign w:val="bottom"/>
          </w:tcPr>
          <w:p>
            <w:pPr>
              <w:spacing w:after="0"/>
              <w:rPr>
                <w:sz w:val="19"/>
                <w:szCs w:val="19"/>
                <w:color w:val="auto"/>
              </w:rPr>
            </w:pPr>
          </w:p>
        </w:tc>
        <w:tc>
          <w:tcPr>
            <w:tcW w:w="10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$95,378</w:t>
            </w:r>
          </w:p>
        </w:tc>
        <w:tc>
          <w:tcPr>
            <w:tcW w:w="420" w:type="dxa"/>
            <w:vAlign w:val="bottom"/>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$103,077</w:t>
            </w:r>
          </w:p>
        </w:tc>
        <w:tc>
          <w:tcPr>
            <w:tcW w:w="440" w:type="dxa"/>
            <w:vAlign w:val="bottom"/>
          </w:tcPr>
          <w:p>
            <w:pPr>
              <w:spacing w:after="0"/>
              <w:rPr>
                <w:sz w:val="19"/>
                <w:szCs w:val="19"/>
                <w:color w:val="auto"/>
              </w:rPr>
            </w:pPr>
          </w:p>
        </w:tc>
        <w:tc>
          <w:tcPr>
            <w:tcW w:w="1200" w:type="dxa"/>
            <w:vAlign w:val="bottom"/>
            <w:tcBorders>
              <w:top w:val="single" w:sz="8" w:color="auto"/>
            </w:tcBorders>
          </w:tcPr>
          <w:p>
            <w:pPr>
              <w:jc w:val="right"/>
              <w:ind w:right="284"/>
              <w:spacing w:after="0"/>
              <w:rPr>
                <w:sz w:val="20"/>
                <w:szCs w:val="20"/>
                <w:color w:val="auto"/>
              </w:rPr>
            </w:pPr>
            <w:r>
              <w:rPr>
                <w:rFonts w:ascii="Arial" w:cs="Arial" w:eastAsia="Arial" w:hAnsi="Arial"/>
                <w:sz w:val="18"/>
                <w:szCs w:val="18"/>
                <w:color w:val="auto"/>
              </w:rPr>
              <w:t>$92,511</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1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240" w:hanging="447"/>
        <w:spacing w:after="0" w:line="264" w:lineRule="auto"/>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ind w:left="1360" w:hanging="447"/>
        <w:spacing w:after="0" w:line="264" w:lineRule="auto"/>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40" w:hanging="452"/>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40" w:hanging="447"/>
        <w:spacing w:after="0" w:line="342" w:lineRule="auto"/>
        <w:tabs>
          <w:tab w:leader="none" w:pos="13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60" w:right="220" w:hanging="447"/>
        <w:spacing w:after="0" w:line="277" w:lineRule="auto"/>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November 7, 2007</w:t>
      </w:r>
      <w:r>
        <w:rPr>
          <w:sz w:val="20"/>
          <w:szCs w:val="20"/>
          <w:color w:val="auto"/>
        </w:rPr>
        <w:tab/>
      </w:r>
      <w:r>
        <w:rPr>
          <w:rFonts w:ascii="Arial" w:cs="Arial" w:eastAsia="Arial" w:hAnsi="Arial"/>
          <w:sz w:val="16"/>
          <w:szCs w:val="16"/>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935" w:right="27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11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240" w:hanging="447"/>
        <w:spacing w:after="0" w:line="264" w:lineRule="auto"/>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ind w:left="1360" w:hanging="447"/>
        <w:spacing w:after="0" w:line="264" w:lineRule="auto"/>
        <w:tabs>
          <w:tab w:leader="none" w:pos="13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4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40" w:hanging="447"/>
        <w:spacing w:after="0" w:line="342" w:lineRule="auto"/>
        <w:tabs>
          <w:tab w:leader="none" w:pos="13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60" w:right="220" w:hanging="447"/>
        <w:spacing w:after="0" w:line="277" w:lineRule="auto"/>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November 7, 2007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Murray A. Goldberg</w:t>
            </w:r>
          </w:p>
        </w:tc>
      </w:tr>
      <w:tr>
        <w:trPr>
          <w:trHeight w:val="195"/>
        </w:trPr>
        <w:tc>
          <w:tcPr>
            <w:tcW w:w="492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Murray A. Goldberg</w:t>
            </w:r>
          </w:p>
        </w:tc>
      </w:tr>
      <w:tr>
        <w:trPr>
          <w:trHeight w:val="216"/>
        </w:trPr>
        <w:tc>
          <w:tcPr>
            <w:tcW w:w="4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Finance &amp;</w:t>
            </w:r>
          </w:p>
        </w:tc>
      </w:tr>
      <w:tr>
        <w:trPr>
          <w:trHeight w:val="216"/>
        </w:trPr>
        <w:tc>
          <w:tcPr>
            <w:tcW w:w="4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Administration, Chief Financial Officer,</w:t>
            </w:r>
          </w:p>
        </w:tc>
      </w:tr>
      <w:tr>
        <w:trPr>
          <w:trHeight w:val="230"/>
        </w:trPr>
        <w:tc>
          <w:tcPr>
            <w:tcW w:w="49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Treasurer, and Assistant Secretary</w:t>
            </w:r>
          </w:p>
        </w:tc>
      </w:tr>
    </w:tbl>
    <w:p>
      <w:pPr>
        <w:sectPr>
          <w:pgSz w:w="11900" w:h="16838" w:orient="portrait"/>
          <w:cols w:equalWidth="0" w:num="1">
            <w:col w:w="11380"/>
          </w:cols>
          <w:pgMar w:left="240" w:top="936" w:right="27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September 30, 2007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79" w:lineRule="exact"/>
        <w:rPr>
          <w:sz w:val="20"/>
          <w:szCs w:val="20"/>
          <w:color w:val="auto"/>
        </w:rPr>
      </w:pPr>
    </w:p>
    <w:p>
      <w:pPr>
        <w:ind w:left="480" w:hanging="247"/>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7, 2007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7, 2007</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1."/>
      <w:numFmt w:val="decimal"/>
      <w:start w:val="3"/>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lowerRoman"/>
      <w:start w:val="1"/>
    </w:lvl>
  </w:abstractNum>
  <w:abstractNum w:abstractNumId="9">
    <w:nsid w:val="7C83E458"/>
    <w:multiLevelType w:val="hybridMultilevel"/>
    <w:lvl w:ilvl="0">
      <w:lvlJc w:val="left"/>
      <w:lvlText w:val="(%1)"/>
      <w:numFmt w:val="lowerRoman"/>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upperLetter"/>
      <w:start w:val="1"/>
    </w:lvl>
  </w:abstractNum>
  <w:abstractNum w:abstractNumId="16">
    <w:nsid w:val="2443A858"/>
    <w:multiLevelType w:val="hybridMultilevel"/>
    <w:lvl w:ilvl="0">
      <w:lvlJc w:val="left"/>
      <w:lvlText w:val="%1."/>
      <w:numFmt w:val="upperLetter"/>
      <w:start w:val="1"/>
    </w:lvl>
    <w:lvl w:ilvl="1">
      <w:lvlJc w:val="left"/>
      <w:lvlText w:val="%2."/>
      <w:numFmt w:val="decimal"/>
      <w:start w:val="1"/>
    </w:lvl>
  </w:abstractNum>
  <w:abstractNum w:abstractNumId="17">
    <w:nsid w:val="2D1D5AE9"/>
    <w:multiLevelType w:val="hybridMultilevel"/>
    <w:lvl w:ilvl="0">
      <w:lvlJc w:val="left"/>
      <w:lvlText w:val="%1"/>
      <w:numFmt w:val="upperLetter"/>
      <w:start w:val="1"/>
    </w:lvl>
    <w:lvl w:ilvl="1">
      <w:lvlJc w:val="left"/>
      <w:lvlText w:val="%2."/>
      <w:numFmt w:val="decimal"/>
      <w:start w:val="3"/>
    </w:lvl>
  </w:abstractNum>
  <w:abstractNum w:abstractNumId="18">
    <w:nsid w:val="6763845E"/>
    <w:multiLevelType w:val="hybridMultilevel"/>
    <w:lvl w:ilvl="0">
      <w:lvlJc w:val="left"/>
      <w:lvlText w:val="%1"/>
      <w:numFmt w:val="upperLetter"/>
      <w:start w:val="1"/>
    </w:lvl>
    <w:lvl w:ilvl="1">
      <w:lvlJc w:val="left"/>
      <w:lvlText w:val="%2."/>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upperLetter"/>
      <w:start w:val="1"/>
    </w:lvl>
  </w:abstractNum>
  <w:abstractNum w:abstractNumId="21">
    <w:nsid w:val="79838CB2"/>
    <w:multiLevelType w:val="hybridMultilevel"/>
    <w:lvl w:ilvl="0">
      <w:lvlJc w:val="left"/>
      <w:lvlText w:val="%1."/>
      <w:numFmt w:val="decimal"/>
      <w:start w:val="1"/>
    </w:lvl>
    <w:lvl w:ilvl="1">
      <w:lvlJc w:val="left"/>
      <w:lvlText w:val="%2)"/>
      <w:numFmt w:val="lowerLetter"/>
      <w:start w:val="1"/>
    </w:lvl>
  </w:abstractNum>
  <w:abstractNum w:abstractNumId="22">
    <w:nsid w:val="4353D0CD"/>
    <w:multiLevelType w:val="hybridMultilevel"/>
    <w:lvl w:ilvl="0">
      <w:lvlJc w:val="left"/>
      <w:lvlText w:val="%1"/>
      <w:numFmt w:val="decimal"/>
      <w:start w:val="1"/>
    </w:lvl>
    <w:lvl w:ilvl="1">
      <w:lvlJc w:val="left"/>
      <w:lvlText w:val="%2)"/>
      <w:numFmt w:val="lowerLetter"/>
      <w:start w:val="4"/>
    </w:lvl>
  </w:abstractNum>
  <w:abstractNum w:abstractNumId="23">
    <w:nsid w:val="B03E0C6"/>
    <w:multiLevelType w:val="hybridMultilevel"/>
    <w:lvl w:ilvl="0">
      <w:lvlJc w:val="left"/>
      <w:lvlText w:val="%1."/>
      <w:numFmt w:val="decimal"/>
      <w:start w:val="5"/>
    </w:lvl>
    <w:lvl w:ilvl="1">
      <w:lvlJc w:val="left"/>
      <w:lvlText w:val="%2)"/>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4"/>
    </w:lvl>
  </w:abstractNum>
  <w:abstractNum w:abstractNumId="26">
    <w:nsid w:val="71F32454"/>
    <w:multiLevelType w:val="hybridMultilevel"/>
    <w:lvl w:ilvl="0">
      <w:lvlJc w:val="left"/>
      <w:lvlText w:val="%1."/>
      <w:numFmt w:val="decimal"/>
      <w:start w:val="5"/>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2019-12-20T02:54:05Z</dcterms:created>
  <dcterms:modified xsi:type="dcterms:W3CDTF">2019-12-20T02:54:05Z</dcterms:modified>
</cp:coreProperties>
</file>