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SCHEDULE 13D</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13d-101)</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265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265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265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Karen Linehan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Executive Vice President, Legal Affairs and General Counsel</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Sanofi</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54, rue La Boétie, 75008</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Paris, France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Telephone: +33 1 53 77 40 00</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Copy to:</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Michael J. Aiello, Esq.</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Weil, Gotshal &amp; Manges LLP</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767 Fifth Avenue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New York, New York 10153</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7265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Authorized to Receive Notices and Communications)</w:t>
      </w:r>
    </w:p>
    <w:p>
      <w:pPr>
        <w:spacing w:after="0" w:line="200" w:lineRule="exact"/>
        <w:rPr>
          <w:sz w:val="24"/>
          <w:szCs w:val="24"/>
          <w:color w:val="auto"/>
        </w:rPr>
      </w:pP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January 27,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265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8" w:lineRule="exact"/>
        <w:rPr>
          <w:sz w:val="24"/>
          <w:szCs w:val="24"/>
          <w:color w:val="auto"/>
        </w:rPr>
      </w:pPr>
    </w:p>
    <w:p>
      <w:pPr>
        <w:ind w:right="480"/>
        <w:spacing w:after="0" w:line="271"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Arial" w:cs="Arial" w:eastAsia="Arial" w:hAnsi="Arial"/>
          <w:sz w:val="21"/>
          <w:szCs w:val="21"/>
          <w:color w:val="auto"/>
        </w:rPr>
        <w:t>x</w:t>
      </w:r>
    </w:p>
    <w:p>
      <w:pPr>
        <w:spacing w:after="0" w:line="189" w:lineRule="exact"/>
        <w:rPr>
          <w:sz w:val="24"/>
          <w:szCs w:val="24"/>
          <w:color w:val="auto"/>
        </w:rPr>
      </w:pPr>
    </w:p>
    <w:p>
      <w:pPr>
        <w:ind w:right="40"/>
        <w:spacing w:after="0" w:line="271"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202"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40"/>
        <w:spacing w:after="0" w:line="335"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7252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69"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color w:val="auto"/>
        </w:rPr>
        <w:t>13D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60" w:type="dxa"/>
            <w:vAlign w:val="bottom"/>
            <w:tcBorders>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24"/>
                <w:szCs w:val="24"/>
                <w:color w:val="auto"/>
              </w:rPr>
            </w:pPr>
          </w:p>
        </w:tc>
        <w:tc>
          <w:tcPr>
            <w:tcW w:w="570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44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7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Sanofi</w:t>
            </w:r>
          </w:p>
        </w:tc>
        <w:tc>
          <w:tcPr>
            <w:tcW w:w="1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70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8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SEC USE ONLY</w:t>
            </w:r>
          </w:p>
        </w:tc>
        <w:tc>
          <w:tcPr>
            <w:tcW w:w="1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SOURCE OF FUNDS</w:t>
            </w:r>
          </w:p>
        </w:tc>
        <w:tc>
          <w:tcPr>
            <w:tcW w:w="35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WC</w:t>
            </w:r>
          </w:p>
        </w:tc>
        <w:tc>
          <w:tcPr>
            <w:tcW w:w="4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0" w:type="dxa"/>
            <w:vAlign w:val="bottom"/>
            <w:tcBorders>
              <w:right w:val="single" w:sz="8" w:color="auto"/>
            </w:tcBorders>
            <w:shd w:val="clear" w:color="auto" w:fill="000000"/>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20" w:type="dxa"/>
            <w:vAlign w:val="bottom"/>
            <w:gridSpan w:val="6"/>
          </w:tcPr>
          <w:p>
            <w:pPr>
              <w:ind w:left="80"/>
              <w:spacing w:after="0" w:line="200" w:lineRule="exact"/>
              <w:rPr>
                <w:sz w:val="20"/>
                <w:szCs w:val="20"/>
                <w:color w:val="auto"/>
              </w:rPr>
            </w:pPr>
            <w:r>
              <w:rPr>
                <w:rFonts w:ascii="Arial" w:cs="Arial" w:eastAsia="Arial" w:hAnsi="Arial"/>
                <w:sz w:val="18"/>
                <w:szCs w:val="18"/>
                <w:color w:val="auto"/>
                <w:w w:val="95"/>
              </w:rPr>
              <w:t>CHECK BOX IF DISCLOSURE OF LEGAL PROCEEDINGS IS REQUIRED PURSUANT TO ITEM 2(d) or</w:t>
            </w:r>
          </w:p>
        </w:tc>
        <w:tc>
          <w:tcPr>
            <w:tcW w:w="1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2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2(e)</w:t>
            </w:r>
          </w:p>
        </w:tc>
        <w:tc>
          <w:tcPr>
            <w:tcW w:w="1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70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The Republic of France</w:t>
            </w:r>
          </w:p>
        </w:tc>
        <w:tc>
          <w:tcPr>
            <w:tcW w:w="1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w:t>
            </w:r>
          </w:p>
        </w:tc>
        <w:tc>
          <w:tcPr>
            <w:tcW w:w="12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198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0" w:type="dxa"/>
            <w:vAlign w:val="bottom"/>
            <w:tcBorders>
              <w:right w:val="single" w:sz="8" w:color="auto"/>
            </w:tcBorders>
            <w:shd w:val="clear" w:color="auto" w:fill="000000"/>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8"/>
                <w:szCs w:val="18"/>
                <w:color w:val="auto"/>
              </w:rPr>
              <w:t>8.</w:t>
            </w:r>
          </w:p>
        </w:tc>
        <w:tc>
          <w:tcPr>
            <w:tcW w:w="1280" w:type="dxa"/>
            <w:vAlign w:val="bottom"/>
            <w:tcBorders>
              <w:right w:val="single" w:sz="8" w:color="auto"/>
            </w:tcBorders>
          </w:tcPr>
          <w:p>
            <w:pPr>
              <w:spacing w:after="0"/>
              <w:rPr>
                <w:sz w:val="18"/>
                <w:szCs w:val="18"/>
                <w:color w:val="auto"/>
              </w:rPr>
            </w:pPr>
          </w:p>
        </w:tc>
        <w:tc>
          <w:tcPr>
            <w:tcW w:w="2300" w:type="dxa"/>
            <w:vAlign w:val="bottom"/>
            <w:vMerge w:val="restart"/>
          </w:tcPr>
          <w:p>
            <w:pPr>
              <w:ind w:left="160"/>
              <w:spacing w:after="0"/>
              <w:rPr>
                <w:sz w:val="20"/>
                <w:szCs w:val="20"/>
                <w:color w:val="auto"/>
              </w:rPr>
            </w:pPr>
            <w:r>
              <w:rPr>
                <w:rFonts w:ascii="Arial" w:cs="Arial" w:eastAsia="Arial" w:hAnsi="Arial"/>
                <w:sz w:val="18"/>
                <w:szCs w:val="18"/>
                <w:color w:val="auto"/>
                <w:w w:val="95"/>
              </w:rPr>
              <w:t>SHARED VOTING POWER</w:t>
            </w:r>
          </w:p>
        </w:tc>
        <w:tc>
          <w:tcPr>
            <w:tcW w:w="2420" w:type="dxa"/>
            <w:vAlign w:val="bottom"/>
            <w:gridSpan w:val="2"/>
            <w:vMerge w:val="restart"/>
          </w:tcPr>
          <w:p>
            <w:pPr>
              <w:ind w:left="100"/>
              <w:spacing w:after="0"/>
              <w:rPr>
                <w:sz w:val="20"/>
                <w:szCs w:val="20"/>
                <w:color w:val="auto"/>
              </w:rPr>
            </w:pPr>
            <w:r>
              <w:rPr>
                <w:rFonts w:ascii="Arial" w:cs="Arial" w:eastAsia="Arial" w:hAnsi="Arial"/>
                <w:sz w:val="18"/>
                <w:szCs w:val="18"/>
                <w:color w:val="auto"/>
              </w:rPr>
              <w:t>15,974,873 (1)</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tcBorders>
            <w:vMerge w:val="continue"/>
          </w:tcPr>
          <w:p>
            <w:pPr>
              <w:spacing w:after="0"/>
              <w:rPr>
                <w:sz w:val="19"/>
                <w:szCs w:val="19"/>
                <w:color w:val="auto"/>
              </w:rPr>
            </w:pPr>
          </w:p>
        </w:tc>
        <w:tc>
          <w:tcPr>
            <w:tcW w:w="2420" w:type="dxa"/>
            <w:vAlign w:val="bottom"/>
            <w:tcBorders>
              <w:bottom w:val="single" w:sz="8" w:color="auto"/>
            </w:tcBorders>
            <w:gridSpan w:val="2"/>
            <w:vMerge w:val="continue"/>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shd w:val="clear" w:color="auto" w:fill="000000"/>
          </w:tcPr>
          <w:p>
            <w:pPr>
              <w:spacing w:after="0"/>
              <w:rPr>
                <w:sz w:val="16"/>
                <w:szCs w:val="16"/>
                <w:color w:val="auto"/>
              </w:rPr>
            </w:pPr>
          </w:p>
        </w:tc>
        <w:tc>
          <w:tcPr>
            <w:tcW w:w="2240" w:type="dxa"/>
            <w:vAlign w:val="bottom"/>
            <w:tcBorders>
              <w:right w:val="single" w:sz="8" w:color="auto"/>
            </w:tcBorders>
            <w:gridSpan w:val="3"/>
          </w:tcPr>
          <w:p>
            <w:pPr>
              <w:ind w:left="140"/>
              <w:spacing w:after="0" w:line="187" w:lineRule="exact"/>
              <w:rPr>
                <w:sz w:val="20"/>
                <w:szCs w:val="20"/>
                <w:color w:val="auto"/>
              </w:rPr>
            </w:pPr>
            <w:r>
              <w:rPr>
                <w:rFonts w:ascii="Arial" w:cs="Arial" w:eastAsia="Arial" w:hAnsi="Arial"/>
                <w:sz w:val="18"/>
                <w:szCs w:val="18"/>
                <w:color w:val="auto"/>
              </w:rPr>
              <w:t>OWNED BY EACH</w:t>
            </w:r>
          </w:p>
        </w:tc>
        <w:tc>
          <w:tcPr>
            <w:tcW w:w="134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2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shd w:val="clear" w:color="auto" w:fill="000000"/>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REPORTING</w:t>
            </w: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9.</w:t>
            </w:r>
          </w:p>
        </w:tc>
        <w:tc>
          <w:tcPr>
            <w:tcW w:w="1280" w:type="dxa"/>
            <w:vAlign w:val="bottom"/>
            <w:tcBorders>
              <w:right w:val="single" w:sz="8" w:color="auto"/>
            </w:tcBorders>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SOLE DISPOSITIVE POWER</w:t>
            </w:r>
          </w:p>
        </w:tc>
        <w:tc>
          <w:tcPr>
            <w:tcW w:w="1980" w:type="dxa"/>
            <w:vAlign w:val="bottom"/>
          </w:tcPr>
          <w:p>
            <w:pPr>
              <w:ind w:left="60"/>
              <w:spacing w:after="0"/>
              <w:rPr>
                <w:sz w:val="20"/>
                <w:szCs w:val="20"/>
                <w:color w:val="auto"/>
              </w:rPr>
            </w:pPr>
            <w:r>
              <w:rPr>
                <w:rFonts w:ascii="Arial" w:cs="Arial" w:eastAsia="Arial" w:hAnsi="Arial"/>
                <w:sz w:val="18"/>
                <w:szCs w:val="18"/>
                <w:color w:val="auto"/>
              </w:rPr>
              <w:t>-0-</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360" w:type="dxa"/>
            <w:vAlign w:val="bottom"/>
            <w:vMerge w:val="restart"/>
          </w:tcPr>
          <w:p>
            <w:pPr>
              <w:ind w:left="140"/>
              <w:spacing w:after="0"/>
              <w:rPr>
                <w:sz w:val="20"/>
                <w:szCs w:val="20"/>
                <w:color w:val="auto"/>
              </w:rPr>
            </w:pPr>
            <w:r>
              <w:rPr>
                <w:rFonts w:ascii="Arial" w:cs="Arial" w:eastAsia="Arial" w:hAnsi="Arial"/>
                <w:sz w:val="18"/>
                <w:szCs w:val="18"/>
                <w:color w:val="auto"/>
                <w:w w:val="92"/>
              </w:rPr>
              <w:t>PERSON WITH</w:t>
            </w:r>
          </w:p>
        </w:tc>
        <w:tc>
          <w:tcPr>
            <w:tcW w:w="10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0" w:type="dxa"/>
            <w:vAlign w:val="bottom"/>
            <w:tcBorders>
              <w:right w:val="single" w:sz="8" w:color="auto"/>
            </w:tcBorders>
            <w:shd w:val="clear" w:color="auto" w:fill="000000"/>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340" w:type="dxa"/>
            <w:vAlign w:val="bottom"/>
            <w:vMerge w:val="restart"/>
          </w:tcPr>
          <w:p>
            <w:pPr>
              <w:ind w:left="160"/>
              <w:spacing w:after="0"/>
              <w:rPr>
                <w:sz w:val="20"/>
                <w:szCs w:val="20"/>
                <w:color w:val="auto"/>
              </w:rPr>
            </w:pPr>
            <w:r>
              <w:rPr>
                <w:rFonts w:ascii="Arial" w:cs="Arial" w:eastAsia="Arial" w:hAnsi="Arial"/>
                <w:sz w:val="18"/>
                <w:szCs w:val="18"/>
                <w:color w:val="auto"/>
              </w:rPr>
              <w:t>10.</w:t>
            </w:r>
          </w:p>
        </w:tc>
        <w:tc>
          <w:tcPr>
            <w:tcW w:w="1280" w:type="dxa"/>
            <w:vAlign w:val="bottom"/>
            <w:tcBorders>
              <w:right w:val="single" w:sz="8" w:color="auto"/>
            </w:tcBorders>
          </w:tcPr>
          <w:p>
            <w:pPr>
              <w:spacing w:after="0"/>
              <w:rPr>
                <w:sz w:val="14"/>
                <w:szCs w:val="14"/>
                <w:color w:val="auto"/>
              </w:rPr>
            </w:pPr>
          </w:p>
        </w:tc>
        <w:tc>
          <w:tcPr>
            <w:tcW w:w="2740" w:type="dxa"/>
            <w:vAlign w:val="bottom"/>
            <w:gridSpan w:val="2"/>
            <w:vMerge w:val="restart"/>
          </w:tcPr>
          <w:p>
            <w:pPr>
              <w:ind w:left="160"/>
              <w:spacing w:after="0"/>
              <w:rPr>
                <w:sz w:val="20"/>
                <w:szCs w:val="20"/>
                <w:color w:val="auto"/>
              </w:rPr>
            </w:pPr>
            <w:r>
              <w:rPr>
                <w:rFonts w:ascii="Arial" w:cs="Arial" w:eastAsia="Arial" w:hAnsi="Arial"/>
                <w:sz w:val="18"/>
                <w:szCs w:val="18"/>
                <w:color w:val="auto"/>
                <w:w w:val="96"/>
              </w:rPr>
              <w:t>SHARED DISPOSITIVE POWER</w:t>
            </w:r>
          </w:p>
        </w:tc>
        <w:tc>
          <w:tcPr>
            <w:tcW w:w="1980" w:type="dxa"/>
            <w:vAlign w:val="bottom"/>
            <w:vMerge w:val="restart"/>
          </w:tcPr>
          <w:p>
            <w:pPr>
              <w:ind w:left="60"/>
              <w:spacing w:after="0"/>
              <w:rPr>
                <w:sz w:val="20"/>
                <w:szCs w:val="20"/>
                <w:color w:val="auto"/>
              </w:rPr>
            </w:pPr>
            <w:r>
              <w:rPr>
                <w:rFonts w:ascii="Arial" w:cs="Arial" w:eastAsia="Arial" w:hAnsi="Arial"/>
                <w:sz w:val="18"/>
                <w:szCs w:val="18"/>
                <w:color w:val="auto"/>
              </w:rPr>
              <w:t>15,974,873 (1)</w:t>
            </w: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auto"/>
              <w:right w:val="single" w:sz="8" w:color="auto"/>
            </w:tcBorders>
            <w:shd w:val="clear" w:color="auto" w:fill="000000"/>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2740" w:type="dxa"/>
            <w:vAlign w:val="bottom"/>
            <w:tcBorders>
              <w:bottom w:val="single" w:sz="8" w:color="auto"/>
            </w:tcBorders>
            <w:gridSpan w:val="2"/>
            <w:vMerge w:val="continue"/>
          </w:tcPr>
          <w:p>
            <w:pPr>
              <w:spacing w:after="0"/>
              <w:rPr>
                <w:sz w:val="22"/>
                <w:szCs w:val="22"/>
                <w:color w:val="auto"/>
              </w:rPr>
            </w:pPr>
          </w:p>
        </w:tc>
        <w:tc>
          <w:tcPr>
            <w:tcW w:w="1980" w:type="dxa"/>
            <w:vAlign w:val="bottom"/>
            <w:tcBorders>
              <w:bottom w:val="single" w:sz="8" w:color="auto"/>
            </w:tcBorders>
            <w:vMerge w:val="continue"/>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8120" w:type="dxa"/>
            <w:vAlign w:val="bottom"/>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15,974,873 (1)</w:t>
            </w:r>
          </w:p>
        </w:tc>
        <w:tc>
          <w:tcPr>
            <w:tcW w:w="1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2420" w:type="dxa"/>
            <w:vAlign w:val="bottom"/>
            <w:tcBorders>
              <w:bottom w:val="single" w:sz="8" w:color="auto"/>
            </w:tcBorders>
            <w:gridSpan w:val="2"/>
          </w:tcPr>
          <w:p>
            <w:pPr>
              <w:jc w:val="right"/>
              <w:ind w:right="1591"/>
              <w:spacing w:after="0"/>
              <w:rPr>
                <w:sz w:val="20"/>
                <w:szCs w:val="20"/>
                <w:color w:val="auto"/>
              </w:rPr>
            </w:pPr>
            <w:r>
              <w:rPr>
                <w:rFonts w:ascii="Arial" w:cs="Arial" w:eastAsia="Arial" w:hAnsi="Arial"/>
                <w:sz w:val="18"/>
                <w:szCs w:val="18"/>
                <w:color w:val="auto"/>
                <w:w w:val="92"/>
              </w:rPr>
              <w:t>16.4% (2)</w:t>
            </w: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TYPE OF REPORTING PERSON</w:t>
            </w:r>
          </w:p>
        </w:tc>
        <w:tc>
          <w:tcPr>
            <w:tcW w:w="24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CO</w:t>
            </w: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40" w:firstLine="7"/>
        <w:spacing w:after="0" w:line="252"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13,175,321 shares of Common Stock are held directly by sanofi-aventis Amérique du Nord (“</w:t>
      </w:r>
      <w:r>
        <w:rPr>
          <w:rFonts w:ascii="Arial" w:cs="Arial" w:eastAsia="Arial" w:hAnsi="Arial"/>
          <w:sz w:val="18"/>
          <w:szCs w:val="18"/>
          <w:u w:val="single" w:color="auto"/>
          <w:color w:val="auto"/>
        </w:rPr>
        <w:t>SAAN</w:t>
      </w:r>
      <w:r>
        <w:rPr>
          <w:rFonts w:ascii="Arial" w:cs="Arial" w:eastAsia="Arial" w:hAnsi="Arial"/>
          <w:sz w:val="18"/>
          <w:szCs w:val="18"/>
          <w:color w:val="auto"/>
        </w:rPr>
        <w:t>”) and 2,799,552 of the shares of Common Stock are held directly by Aventis Pharmaceuticals Inc. (“</w:t>
      </w:r>
      <w:r>
        <w:rPr>
          <w:rFonts w:ascii="Arial" w:cs="Arial" w:eastAsia="Arial" w:hAnsi="Arial"/>
          <w:sz w:val="18"/>
          <w:szCs w:val="18"/>
          <w:u w:val="single" w:color="auto"/>
          <w:color w:val="auto"/>
        </w:rPr>
        <w:t>Aventis</w:t>
      </w:r>
      <w:r>
        <w:rPr>
          <w:rFonts w:ascii="Arial" w:cs="Arial" w:eastAsia="Arial" w:hAnsi="Arial"/>
          <w:sz w:val="18"/>
          <w:szCs w:val="18"/>
          <w:color w:val="auto"/>
        </w:rPr>
        <w:t>”). SAAN is a direct, wholly-owned subsidiary of Sanofi. Aventis is an indirect, wholly-owned subsidiary of SAAN. See Item 5 of the Schedule 13D. Pursuant to the Amended and Restated Investor Agreement, dated as of January 11, 2014, by and among Sanofi, SAAN, sanofi-aventis US LLC, Aventis (collectively, the “</w:t>
      </w:r>
      <w:r>
        <w:rPr>
          <w:rFonts w:ascii="Arial" w:cs="Arial" w:eastAsia="Arial" w:hAnsi="Arial"/>
          <w:sz w:val="18"/>
          <w:szCs w:val="18"/>
          <w:u w:val="single" w:color="auto"/>
          <w:color w:val="auto"/>
        </w:rPr>
        <w:t>Sanofi Parties</w:t>
      </w:r>
      <w:r>
        <w:rPr>
          <w:rFonts w:ascii="Arial" w:cs="Arial" w:eastAsia="Arial" w:hAnsi="Arial"/>
          <w:sz w:val="18"/>
          <w:szCs w:val="18"/>
          <w:color w:val="auto"/>
        </w:rPr>
        <w:t>”) and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Sanofi Parties have agreed to vote their respective shares of the Company, subject to specified exceptions, in accordance with the recommendation of the Company’s Board of Directors.</w:t>
      </w:r>
    </w:p>
    <w:p>
      <w:pPr>
        <w:spacing w:after="0" w:line="221" w:lineRule="exact"/>
        <w:rPr>
          <w:rFonts w:ascii="Arial" w:cs="Arial" w:eastAsia="Arial" w:hAnsi="Arial"/>
          <w:sz w:val="18"/>
          <w:szCs w:val="18"/>
          <w:color w:val="auto"/>
        </w:rPr>
      </w:pPr>
    </w:p>
    <w:p>
      <w:pPr>
        <w:ind w:right="320" w:firstLine="7"/>
        <w:spacing w:after="0" w:line="271"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Calculation based on 97,389,765 shares of Common Stock outstanding as of October 28, 2013, as reported in the Company’s Quarterly Report on Form 10-Q filed with the Securities and Exchange Commission on November 5,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 w:name="page3"/>
    <w:bookmarkEnd w:id="2"/>
    <w:p>
      <w:pPr>
        <w:ind w:right="20"/>
        <w:spacing w:after="0" w:line="247" w:lineRule="auto"/>
        <w:rPr>
          <w:sz w:val="20"/>
          <w:szCs w:val="20"/>
          <w:color w:val="auto"/>
        </w:rPr>
      </w:pPr>
      <w:r>
        <w:rPr>
          <w:rFonts w:ascii="Arial" w:cs="Arial" w:eastAsia="Arial" w:hAnsi="Arial"/>
          <w:sz w:val="21"/>
          <w:szCs w:val="21"/>
          <w:color w:val="auto"/>
        </w:rPr>
        <w:t>This Amendment No. 1 (this “</w:t>
      </w:r>
      <w:r>
        <w:rPr>
          <w:rFonts w:ascii="Arial" w:cs="Arial" w:eastAsia="Arial" w:hAnsi="Arial"/>
          <w:sz w:val="21"/>
          <w:szCs w:val="21"/>
          <w:u w:val="single" w:color="auto"/>
          <w:color w:val="auto"/>
        </w:rPr>
        <w:t>Amendment No. 1</w:t>
      </w:r>
      <w:r>
        <w:rPr>
          <w:rFonts w:ascii="Arial" w:cs="Arial" w:eastAsia="Arial" w:hAnsi="Arial"/>
          <w:sz w:val="21"/>
          <w:szCs w:val="21"/>
          <w:color w:val="auto"/>
        </w:rPr>
        <w:t>”) amends the Statement on Schedule 13D first filed with the Securities and Exchange Commission on January 14, 2014 (the “</w:t>
      </w:r>
      <w:r>
        <w:rPr>
          <w:rFonts w:ascii="Arial" w:cs="Arial" w:eastAsia="Arial" w:hAnsi="Arial"/>
          <w:sz w:val="21"/>
          <w:szCs w:val="21"/>
          <w:u w:val="single" w:color="auto"/>
          <w:color w:val="auto"/>
        </w:rPr>
        <w:t>Schedule 13D</w:t>
      </w:r>
      <w:r>
        <w:rPr>
          <w:rFonts w:ascii="Arial" w:cs="Arial" w:eastAsia="Arial" w:hAnsi="Arial"/>
          <w:sz w:val="21"/>
          <w:szCs w:val="21"/>
          <w:color w:val="auto"/>
        </w:rPr>
        <w:t>”), and is filed by Sanofi (“</w:t>
      </w:r>
      <w:r>
        <w:rPr>
          <w:rFonts w:ascii="Arial" w:cs="Arial" w:eastAsia="Arial" w:hAnsi="Arial"/>
          <w:sz w:val="21"/>
          <w:szCs w:val="21"/>
          <w:u w:val="single" w:color="auto"/>
          <w:color w:val="auto"/>
        </w:rPr>
        <w:t>Sanofi</w:t>
      </w:r>
      <w:r>
        <w:rPr>
          <w:rFonts w:ascii="Arial" w:cs="Arial" w:eastAsia="Arial" w:hAnsi="Arial"/>
          <w:sz w:val="21"/>
          <w:szCs w:val="21"/>
          <w:color w:val="auto"/>
        </w:rPr>
        <w:t>” or the “</w:t>
      </w:r>
      <w:r>
        <w:rPr>
          <w:rFonts w:ascii="Arial" w:cs="Arial" w:eastAsia="Arial" w:hAnsi="Arial"/>
          <w:sz w:val="21"/>
          <w:szCs w:val="21"/>
          <w:u w:val="single" w:color="auto"/>
          <w:color w:val="auto"/>
        </w:rPr>
        <w:t>Reporting Person</w:t>
      </w:r>
      <w:r>
        <w:rPr>
          <w:rFonts w:ascii="Arial" w:cs="Arial" w:eastAsia="Arial" w:hAnsi="Arial"/>
          <w:sz w:val="21"/>
          <w:szCs w:val="21"/>
          <w:color w:val="auto"/>
        </w:rPr>
        <w:t>”) with respect to the common stock, $0.001 par value per share (the “</w:t>
      </w:r>
      <w:r>
        <w:rPr>
          <w:rFonts w:ascii="Arial" w:cs="Arial" w:eastAsia="Arial" w:hAnsi="Arial"/>
          <w:sz w:val="21"/>
          <w:szCs w:val="21"/>
          <w:u w:val="single" w:color="auto"/>
          <w:color w:val="auto"/>
        </w:rPr>
        <w:t>Common Stock</w:t>
      </w:r>
      <w:r>
        <w:rPr>
          <w:rFonts w:ascii="Arial" w:cs="Arial" w:eastAsia="Arial" w:hAnsi="Arial"/>
          <w:sz w:val="21"/>
          <w:szCs w:val="21"/>
          <w:color w:val="auto"/>
        </w:rPr>
        <w:t>”), of Regeneron Pharmaceuticals, Inc. (the “</w:t>
      </w:r>
      <w:r>
        <w:rPr>
          <w:rFonts w:ascii="Arial" w:cs="Arial" w:eastAsia="Arial" w:hAnsi="Arial"/>
          <w:sz w:val="21"/>
          <w:szCs w:val="21"/>
          <w:u w:val="single" w:color="auto"/>
          <w:color w:val="auto"/>
        </w:rPr>
        <w:t>Issuer</w:t>
      </w:r>
      <w:r>
        <w:rPr>
          <w:rFonts w:ascii="Arial" w:cs="Arial" w:eastAsia="Arial" w:hAnsi="Arial"/>
          <w:sz w:val="21"/>
          <w:szCs w:val="21"/>
          <w:color w:val="auto"/>
        </w:rPr>
        <w:t>” or the “</w:t>
      </w:r>
      <w:r>
        <w:rPr>
          <w:rFonts w:ascii="Arial" w:cs="Arial" w:eastAsia="Arial" w:hAnsi="Arial"/>
          <w:sz w:val="21"/>
          <w:szCs w:val="21"/>
          <w:u w:val="single" w:color="auto"/>
          <w:color w:val="auto"/>
        </w:rPr>
        <w:t>Company</w:t>
      </w:r>
      <w:r>
        <w:rPr>
          <w:rFonts w:ascii="Arial" w:cs="Arial" w:eastAsia="Arial" w:hAnsi="Arial"/>
          <w:sz w:val="21"/>
          <w:szCs w:val="21"/>
          <w:color w:val="auto"/>
        </w:rPr>
        <w:t>”). Capitalized terms used herein but not otherwise defined herein have the meanings given to them in the Schedule 13D.</w:t>
      </w:r>
    </w:p>
    <w:p>
      <w:pPr>
        <w:spacing w:after="0" w:line="200" w:lineRule="exact"/>
        <w:rPr>
          <w:sz w:val="20"/>
          <w:szCs w:val="20"/>
          <w:color w:val="auto"/>
        </w:rPr>
      </w:pPr>
    </w:p>
    <w:p>
      <w:pPr>
        <w:spacing w:after="0" w:line="237"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Item 3.</w:t>
      </w:r>
      <w:r>
        <w:rPr>
          <w:sz w:val="20"/>
          <w:szCs w:val="20"/>
          <w:color w:val="auto"/>
        </w:rPr>
        <w:tab/>
      </w:r>
      <w:r>
        <w:rPr>
          <w:rFonts w:ascii="Arial" w:cs="Arial" w:eastAsia="Arial" w:hAnsi="Arial"/>
          <w:sz w:val="19"/>
          <w:szCs w:val="19"/>
          <w:b w:val="1"/>
          <w:bCs w:val="1"/>
          <w:color w:val="auto"/>
        </w:rPr>
        <w:t>Source and Amount of Funds or Other Consideration.</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Item 3 of the Schedule 13D is supplemented as follows:</w:t>
      </w:r>
    </w:p>
    <w:p>
      <w:pPr>
        <w:spacing w:after="0" w:line="240"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For the purchases it made as disclosed in Item 5(c) of this Amendment No. 1, SAAN paid an aggregate of $43,570,358.53, excluding brokerage commission and fees. The source of such funds was working capital.</w:t>
      </w:r>
    </w:p>
    <w:p>
      <w:pPr>
        <w:spacing w:after="0" w:line="173"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Item 4.</w:t>
      </w:r>
      <w:r>
        <w:rPr>
          <w:sz w:val="20"/>
          <w:szCs w:val="20"/>
          <w:color w:val="auto"/>
        </w:rPr>
        <w:tab/>
      </w:r>
      <w:r>
        <w:rPr>
          <w:rFonts w:ascii="Arial" w:cs="Arial" w:eastAsia="Arial" w:hAnsi="Arial"/>
          <w:sz w:val="19"/>
          <w:szCs w:val="19"/>
          <w:b w:val="1"/>
          <w:bCs w:val="1"/>
          <w:color w:val="auto"/>
        </w:rPr>
        <w:t>Purpose of Transaction.</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Item 4 of the Schedule 13D is supplemented as follows:</w:t>
      </w:r>
    </w:p>
    <w:p>
      <w:pPr>
        <w:spacing w:after="0" w:line="240" w:lineRule="exact"/>
        <w:rPr>
          <w:sz w:val="20"/>
          <w:szCs w:val="20"/>
          <w:color w:val="auto"/>
        </w:rPr>
      </w:pPr>
    </w:p>
    <w:p>
      <w:pPr>
        <w:ind w:right="760"/>
        <w:spacing w:after="0" w:line="270" w:lineRule="auto"/>
        <w:rPr>
          <w:sz w:val="20"/>
          <w:szCs w:val="20"/>
          <w:color w:val="auto"/>
        </w:rPr>
      </w:pPr>
      <w:r>
        <w:rPr>
          <w:rFonts w:ascii="Arial" w:cs="Arial" w:eastAsia="Arial" w:hAnsi="Arial"/>
          <w:sz w:val="21"/>
          <w:szCs w:val="21"/>
          <w:color w:val="auto"/>
        </w:rPr>
        <w:t>The Reporting Person purchased, through its subsidiary SAAN, an aggregate of 157,920 shares of Common Stock in market transactions, as disclosed in Item 5(c) of this Amendment No. 1.</w:t>
      </w:r>
    </w:p>
    <w:p>
      <w:pPr>
        <w:spacing w:after="0" w:line="17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Reporting Person has determined to purchase, directly or through its subsidiaries, additional shares of Common Stock to increase its beneficial ownership to approximately 20.5% of the Common Stock outstanding. The Reporting Person intends to acquire these additional shares in market or private transactions or through derivatives subject to market conditions and legal and regulatory requirements, at prices and other terms acceptable to the Reporting Person. The Reporting Person makes no commitment in terms of the timing of such transactions, which will depend on market conditions including the price and availability of shares of Common Stock, and on such other factors considered relevant to the Reporting Person.</w:t>
      </w:r>
    </w:p>
    <w:p>
      <w:pPr>
        <w:spacing w:after="0" w:line="185"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Item 5.</w:t>
      </w:r>
      <w:r>
        <w:rPr>
          <w:sz w:val="20"/>
          <w:szCs w:val="20"/>
          <w:color w:val="auto"/>
        </w:rPr>
        <w:tab/>
      </w:r>
      <w:r>
        <w:rPr>
          <w:rFonts w:ascii="Arial" w:cs="Arial" w:eastAsia="Arial" w:hAnsi="Arial"/>
          <w:sz w:val="18"/>
          <w:szCs w:val="18"/>
          <w:b w:val="1"/>
          <w:bCs w:val="1"/>
          <w:color w:val="auto"/>
        </w:rPr>
        <w:t>Interests in the Securities of the Issuer.</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Item 5 of the Schedule 13D is supplemented as follows:</w:t>
      </w:r>
    </w:p>
    <w:p>
      <w:pPr>
        <w:spacing w:after="0" w:line="240" w:lineRule="exact"/>
        <w:rPr>
          <w:sz w:val="20"/>
          <w:szCs w:val="20"/>
          <w:color w:val="auto"/>
        </w:rPr>
      </w:pPr>
    </w:p>
    <w:p>
      <w:pPr>
        <w:ind w:right="160" w:firstLine="970"/>
        <w:spacing w:after="0" w:line="258" w:lineRule="auto"/>
        <w:tabs>
          <w:tab w:leader="none" w:pos="1255" w:val="left"/>
        </w:tabs>
        <w:numPr>
          <w:ilvl w:val="0"/>
          <w:numId w:val="2"/>
        </w:numPr>
        <w:rPr>
          <w:rFonts w:ascii="Arial" w:cs="Arial" w:eastAsia="Arial" w:hAnsi="Arial"/>
          <w:sz w:val="20"/>
          <w:szCs w:val="20"/>
          <w:color w:val="auto"/>
        </w:rPr>
      </w:pPr>
      <w:r>
        <w:rPr>
          <w:rFonts w:ascii="Arial" w:cs="Arial" w:eastAsia="Arial" w:hAnsi="Arial"/>
          <w:sz w:val="20"/>
          <w:szCs w:val="20"/>
          <w:color w:val="auto"/>
        </w:rPr>
        <w:t>and (b) The responses of the Reporting Person to Rows (7) through (13) of the cover page of this Amendment No. 1 as of the close of business on January 28, 2014, are incorporated herein by reference. As of the close of business on January 28, 2014, the Reporting Person beneficially owned 15,974,873 shares of Common Stock, representing approximately 16.4% of the shares of Common Stock outstanding (based on 97,389,765 shares of Common Stock outstanding as of October 28, 2013, as reported in the Company’s Quarterly Report on Form 10-Q filed with the Securities and Exchange Commission on November 5, 2013). The Reporting Person may be deemed to have shared voting and dispositive power with respect to the shares of Common Stock directly owned by SAAN and Aventis, its subsidiaries.</w:t>
      </w:r>
    </w:p>
    <w:p>
      <w:pPr>
        <w:spacing w:after="0" w:line="196" w:lineRule="exact"/>
        <w:rPr>
          <w:sz w:val="20"/>
          <w:szCs w:val="20"/>
          <w:color w:val="auto"/>
        </w:rPr>
      </w:pPr>
    </w:p>
    <w:p>
      <w:pPr>
        <w:ind w:right="580" w:firstLine="963"/>
        <w:spacing w:after="0" w:line="270" w:lineRule="auto"/>
        <w:rPr>
          <w:sz w:val="20"/>
          <w:szCs w:val="20"/>
          <w:color w:val="auto"/>
        </w:rPr>
      </w:pPr>
      <w:r>
        <w:rPr>
          <w:rFonts w:ascii="Arial" w:cs="Arial" w:eastAsia="Arial" w:hAnsi="Arial"/>
          <w:sz w:val="21"/>
          <w:szCs w:val="21"/>
          <w:color w:val="auto"/>
        </w:rPr>
        <w:t>To the Reporting Person’s knowledge, none of the directors or executive officers of the Reporting Persons listed on Schedule I to the Schedule 13D beneficially owns any shares of Common Stock as of January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 w:name="page4"/>
    <w:bookmarkEnd w:id="3"/>
    <w:p>
      <w:pPr>
        <w:ind w:right="160" w:firstLine="970"/>
        <w:spacing w:after="0" w:line="270" w:lineRule="auto"/>
        <w:tabs>
          <w:tab w:leader="none" w:pos="1308" w:val="left"/>
        </w:tabs>
        <w:numPr>
          <w:ilvl w:val="0"/>
          <w:numId w:val="3"/>
        </w:numPr>
        <w:rPr>
          <w:rFonts w:ascii="Arial" w:cs="Arial" w:eastAsia="Arial" w:hAnsi="Arial"/>
          <w:sz w:val="21"/>
          <w:szCs w:val="21"/>
          <w:color w:val="auto"/>
        </w:rPr>
      </w:pPr>
      <w:r>
        <w:rPr>
          <w:rFonts w:ascii="Arial" w:cs="Arial" w:eastAsia="Arial" w:hAnsi="Arial"/>
          <w:sz w:val="21"/>
          <w:szCs w:val="21"/>
          <w:color w:val="auto"/>
        </w:rPr>
        <w:t>Since January 14, 2014 (the date of the most recent filing of Schedule 13D) and through and including January 28, 2014, the following market transactions were effected in the Common Stock:</w:t>
      </w:r>
    </w:p>
    <w:p>
      <w:pPr>
        <w:spacing w:after="0" w:line="179" w:lineRule="exact"/>
        <w:rPr>
          <w:sz w:val="20"/>
          <w:szCs w:val="20"/>
          <w:color w:val="auto"/>
        </w:rPr>
      </w:pPr>
    </w:p>
    <w:tbl>
      <w:tblPr>
        <w:tblLayout w:type="fixed"/>
        <w:tblInd w:w="64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gridSpan w:val="3"/>
          </w:tcPr>
          <w:p>
            <w:pPr>
              <w:jc w:val="center"/>
              <w:spacing w:after="0"/>
              <w:rPr>
                <w:sz w:val="20"/>
                <w:szCs w:val="20"/>
                <w:color w:val="auto"/>
              </w:rPr>
            </w:pPr>
            <w:r>
              <w:rPr>
                <w:rFonts w:ascii="Arial" w:cs="Arial" w:eastAsia="Arial" w:hAnsi="Arial"/>
                <w:sz w:val="21"/>
                <w:szCs w:val="21"/>
                <w:color w:val="auto"/>
                <w:w w:val="93"/>
              </w:rPr>
              <w:t>Number of</w:t>
            </w: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center"/>
              <w:spacing w:after="0"/>
              <w:rPr>
                <w:sz w:val="20"/>
                <w:szCs w:val="20"/>
                <w:color w:val="auto"/>
              </w:rPr>
            </w:pPr>
            <w:r>
              <w:rPr>
                <w:rFonts w:ascii="Arial" w:cs="Arial" w:eastAsia="Arial" w:hAnsi="Arial"/>
                <w:sz w:val="21"/>
                <w:szCs w:val="21"/>
                <w:color w:val="auto"/>
                <w:w w:val="88"/>
              </w:rPr>
              <w:t>Shares of</w:t>
            </w: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21"/>
                <w:szCs w:val="21"/>
                <w:color w:val="auto"/>
                <w:w w:val="94"/>
              </w:rPr>
              <w:t>Date</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center"/>
              <w:spacing w:after="0"/>
              <w:rPr>
                <w:sz w:val="20"/>
                <w:szCs w:val="20"/>
                <w:color w:val="auto"/>
              </w:rPr>
            </w:pPr>
            <w:r>
              <w:rPr>
                <w:rFonts w:ascii="Arial" w:cs="Arial" w:eastAsia="Arial" w:hAnsi="Arial"/>
                <w:sz w:val="21"/>
                <w:szCs w:val="21"/>
                <w:color w:val="auto"/>
                <w:w w:val="93"/>
              </w:rPr>
              <w:t>Common</w:t>
            </w:r>
          </w:p>
        </w:tc>
        <w:tc>
          <w:tcPr>
            <w:tcW w:w="1900" w:type="dxa"/>
            <w:vAlign w:val="bottom"/>
            <w:gridSpan w:val="3"/>
          </w:tcPr>
          <w:p>
            <w:pPr>
              <w:jc w:val="center"/>
              <w:ind w:left="33"/>
              <w:spacing w:after="0"/>
              <w:rPr>
                <w:sz w:val="20"/>
                <w:szCs w:val="20"/>
                <w:color w:val="auto"/>
              </w:rPr>
            </w:pPr>
            <w:r>
              <w:rPr>
                <w:rFonts w:ascii="Arial" w:cs="Arial" w:eastAsia="Arial" w:hAnsi="Arial"/>
                <w:sz w:val="21"/>
                <w:szCs w:val="21"/>
                <w:color w:val="auto"/>
                <w:w w:val="90"/>
              </w:rPr>
              <w:t>Price per</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960" w:type="dxa"/>
            <w:vAlign w:val="bottom"/>
            <w:gridSpan w:val="2"/>
          </w:tcPr>
          <w:p>
            <w:pPr>
              <w:spacing w:after="0" w:line="222" w:lineRule="exact"/>
              <w:rPr>
                <w:sz w:val="20"/>
                <w:szCs w:val="20"/>
                <w:color w:val="auto"/>
              </w:rPr>
            </w:pPr>
            <w:r>
              <w:rPr>
                <w:rFonts w:ascii="Arial" w:cs="Arial" w:eastAsia="Arial" w:hAnsi="Arial"/>
                <w:sz w:val="21"/>
                <w:szCs w:val="21"/>
                <w:color w:val="auto"/>
              </w:rPr>
              <w:t>Entity</w:t>
            </w:r>
          </w:p>
        </w:tc>
        <w:tc>
          <w:tcPr>
            <w:tcW w:w="1500" w:type="dxa"/>
            <w:vAlign w:val="bottom"/>
            <w:gridSpan w:val="3"/>
          </w:tcPr>
          <w:p>
            <w:pPr>
              <w:jc w:val="center"/>
              <w:ind w:left="73"/>
              <w:spacing w:after="0" w:line="222" w:lineRule="exact"/>
              <w:rPr>
                <w:sz w:val="20"/>
                <w:szCs w:val="20"/>
                <w:color w:val="auto"/>
              </w:rPr>
            </w:pPr>
            <w:r>
              <w:rPr>
                <w:rFonts w:ascii="Arial" w:cs="Arial" w:eastAsia="Arial" w:hAnsi="Arial"/>
                <w:sz w:val="21"/>
                <w:szCs w:val="21"/>
                <w:color w:val="auto"/>
              </w:rPr>
              <w:t>(M/D/Y)</w:t>
            </w:r>
          </w:p>
        </w:tc>
        <w:tc>
          <w:tcPr>
            <w:tcW w:w="1560" w:type="dxa"/>
            <w:vAlign w:val="bottom"/>
            <w:gridSpan w:val="3"/>
          </w:tcPr>
          <w:p>
            <w:pPr>
              <w:jc w:val="center"/>
              <w:ind w:right="120"/>
              <w:spacing w:after="0" w:line="222" w:lineRule="exact"/>
              <w:rPr>
                <w:sz w:val="20"/>
                <w:szCs w:val="20"/>
                <w:color w:val="auto"/>
              </w:rPr>
            </w:pPr>
            <w:r>
              <w:rPr>
                <w:rFonts w:ascii="Arial" w:cs="Arial" w:eastAsia="Arial" w:hAnsi="Arial"/>
                <w:sz w:val="21"/>
                <w:szCs w:val="21"/>
                <w:color w:val="auto"/>
                <w:w w:val="91"/>
              </w:rPr>
              <w:t>Transaction</w:t>
            </w:r>
          </w:p>
        </w:tc>
        <w:tc>
          <w:tcPr>
            <w:tcW w:w="520" w:type="dxa"/>
            <w:vAlign w:val="bottom"/>
          </w:tcPr>
          <w:p>
            <w:pPr>
              <w:spacing w:after="0"/>
              <w:rPr>
                <w:sz w:val="19"/>
                <w:szCs w:val="19"/>
                <w:color w:val="auto"/>
              </w:rPr>
            </w:pPr>
          </w:p>
        </w:tc>
        <w:tc>
          <w:tcPr>
            <w:tcW w:w="1100" w:type="dxa"/>
            <w:vAlign w:val="bottom"/>
            <w:gridSpan w:val="2"/>
          </w:tcPr>
          <w:p>
            <w:pPr>
              <w:jc w:val="center"/>
              <w:ind w:right="500"/>
              <w:spacing w:after="0" w:line="222" w:lineRule="exact"/>
              <w:rPr>
                <w:sz w:val="20"/>
                <w:szCs w:val="20"/>
                <w:color w:val="auto"/>
              </w:rPr>
            </w:pPr>
            <w:r>
              <w:rPr>
                <w:rFonts w:ascii="Arial" w:cs="Arial" w:eastAsia="Arial" w:hAnsi="Arial"/>
                <w:sz w:val="21"/>
                <w:szCs w:val="21"/>
                <w:color w:val="auto"/>
                <w:w w:val="98"/>
              </w:rPr>
              <w:t>Stock*</w:t>
            </w:r>
          </w:p>
        </w:tc>
        <w:tc>
          <w:tcPr>
            <w:tcW w:w="1900" w:type="dxa"/>
            <w:vAlign w:val="bottom"/>
            <w:gridSpan w:val="3"/>
          </w:tcPr>
          <w:p>
            <w:pPr>
              <w:jc w:val="center"/>
              <w:ind w:left="33"/>
              <w:spacing w:after="0" w:line="222" w:lineRule="exact"/>
              <w:rPr>
                <w:sz w:val="20"/>
                <w:szCs w:val="20"/>
                <w:color w:val="auto"/>
              </w:rPr>
            </w:pPr>
            <w:r>
              <w:rPr>
                <w:rFonts w:ascii="Arial" w:cs="Arial" w:eastAsia="Arial" w:hAnsi="Arial"/>
                <w:sz w:val="21"/>
                <w:szCs w:val="21"/>
                <w:color w:val="auto"/>
                <w:w w:val="93"/>
              </w:rPr>
              <w:t>Share*</w:t>
            </w:r>
          </w:p>
        </w:tc>
        <w:tc>
          <w:tcPr>
            <w:tcW w:w="720" w:type="dxa"/>
            <w:vAlign w:val="bottom"/>
          </w:tcPr>
          <w:p>
            <w:pPr>
              <w:spacing w:after="0"/>
              <w:rPr>
                <w:sz w:val="19"/>
                <w:szCs w:val="19"/>
                <w:color w:val="auto"/>
              </w:rPr>
            </w:pPr>
          </w:p>
        </w:tc>
        <w:tc>
          <w:tcPr>
            <w:tcW w:w="1380" w:type="dxa"/>
            <w:vAlign w:val="bottom"/>
            <w:gridSpan w:val="3"/>
          </w:tcPr>
          <w:p>
            <w:pPr>
              <w:spacing w:after="0" w:line="222" w:lineRule="exact"/>
              <w:rPr>
                <w:sz w:val="20"/>
                <w:szCs w:val="20"/>
                <w:color w:val="auto"/>
              </w:rPr>
            </w:pPr>
            <w:r>
              <w:rPr>
                <w:rFonts w:ascii="Arial" w:cs="Arial" w:eastAsia="Arial" w:hAnsi="Arial"/>
                <w:sz w:val="21"/>
                <w:szCs w:val="21"/>
                <w:color w:val="auto"/>
              </w:rPr>
              <w:t>Price Range*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0"/>
        </w:trPr>
        <w:tc>
          <w:tcPr>
            <w:tcW w:w="980" w:type="dxa"/>
            <w:vAlign w:val="bottom"/>
            <w:gridSpan w:val="3"/>
          </w:tcPr>
          <w:p>
            <w:pPr>
              <w:spacing w:after="0" w:line="240" w:lineRule="exact"/>
              <w:rPr>
                <w:sz w:val="20"/>
                <w:szCs w:val="20"/>
                <w:color w:val="auto"/>
              </w:rPr>
            </w:pPr>
            <w:r>
              <w:rPr>
                <w:rFonts w:ascii="Arial" w:cs="Arial" w:eastAsia="Arial" w:hAnsi="Arial"/>
                <w:sz w:val="21"/>
                <w:szCs w:val="21"/>
                <w:color w:val="auto"/>
              </w:rPr>
              <w:t>SAAN</w:t>
            </w:r>
          </w:p>
        </w:tc>
        <w:tc>
          <w:tcPr>
            <w:tcW w:w="1500" w:type="dxa"/>
            <w:vAlign w:val="bottom"/>
            <w:gridSpan w:val="3"/>
          </w:tcPr>
          <w:p>
            <w:pPr>
              <w:jc w:val="center"/>
              <w:ind w:left="93"/>
              <w:spacing w:after="0" w:line="240" w:lineRule="exact"/>
              <w:rPr>
                <w:sz w:val="20"/>
                <w:szCs w:val="20"/>
                <w:color w:val="auto"/>
              </w:rPr>
            </w:pPr>
            <w:r>
              <w:rPr>
                <w:rFonts w:ascii="Arial" w:cs="Arial" w:eastAsia="Arial" w:hAnsi="Arial"/>
                <w:sz w:val="21"/>
                <w:szCs w:val="21"/>
                <w:color w:val="auto"/>
                <w:w w:val="92"/>
              </w:rPr>
              <w:t>1/27/2014</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line="240" w:lineRule="exact"/>
              <w:rPr>
                <w:sz w:val="20"/>
                <w:szCs w:val="20"/>
                <w:color w:val="auto"/>
              </w:rPr>
            </w:pPr>
            <w:r>
              <w:rPr>
                <w:rFonts w:ascii="Arial" w:cs="Arial" w:eastAsia="Arial" w:hAnsi="Arial"/>
                <w:sz w:val="21"/>
                <w:szCs w:val="21"/>
                <w:color w:val="auto"/>
                <w:w w:val="85"/>
              </w:rPr>
              <w:t>Purchase</w:t>
            </w:r>
          </w:p>
        </w:tc>
        <w:tc>
          <w:tcPr>
            <w:tcW w:w="1120" w:type="dxa"/>
            <w:vAlign w:val="bottom"/>
            <w:gridSpan w:val="2"/>
          </w:tcPr>
          <w:p>
            <w:pPr>
              <w:jc w:val="right"/>
              <w:spacing w:after="0" w:line="240" w:lineRule="exact"/>
              <w:rPr>
                <w:sz w:val="20"/>
                <w:szCs w:val="20"/>
                <w:color w:val="auto"/>
              </w:rPr>
            </w:pPr>
            <w:r>
              <w:rPr>
                <w:rFonts w:ascii="Arial" w:cs="Arial" w:eastAsia="Arial" w:hAnsi="Arial"/>
                <w:sz w:val="21"/>
                <w:szCs w:val="21"/>
                <w:color w:val="auto"/>
              </w:rPr>
              <w:t>1,600</w:t>
            </w:r>
          </w:p>
        </w:tc>
        <w:tc>
          <w:tcPr>
            <w:tcW w:w="500" w:type="dxa"/>
            <w:vAlign w:val="bottom"/>
          </w:tcPr>
          <w:p>
            <w:pPr>
              <w:spacing w:after="0"/>
              <w:rPr>
                <w:sz w:val="20"/>
                <w:szCs w:val="20"/>
                <w:color w:val="auto"/>
              </w:rPr>
            </w:pPr>
          </w:p>
        </w:tc>
        <w:tc>
          <w:tcPr>
            <w:tcW w:w="1320" w:type="dxa"/>
            <w:vAlign w:val="bottom"/>
            <w:gridSpan w:val="2"/>
          </w:tcPr>
          <w:p>
            <w:pPr>
              <w:jc w:val="right"/>
              <w:ind w:right="60"/>
              <w:spacing w:after="0" w:line="240" w:lineRule="exact"/>
              <w:rPr>
                <w:sz w:val="20"/>
                <w:szCs w:val="20"/>
                <w:color w:val="auto"/>
              </w:rPr>
            </w:pPr>
            <w:r>
              <w:rPr>
                <w:rFonts w:ascii="Arial" w:cs="Arial" w:eastAsia="Arial" w:hAnsi="Arial"/>
                <w:sz w:val="21"/>
                <w:szCs w:val="21"/>
                <w:color w:val="auto"/>
              </w:rPr>
              <w:t>$269.7675</w:t>
            </w:r>
          </w:p>
        </w:tc>
        <w:tc>
          <w:tcPr>
            <w:tcW w:w="580" w:type="dxa"/>
            <w:vAlign w:val="bottom"/>
          </w:tcPr>
          <w:p>
            <w:pPr>
              <w:spacing w:after="0"/>
              <w:rPr>
                <w:sz w:val="20"/>
                <w:szCs w:val="20"/>
                <w:color w:val="auto"/>
              </w:rPr>
            </w:pPr>
          </w:p>
        </w:tc>
        <w:tc>
          <w:tcPr>
            <w:tcW w:w="1280" w:type="dxa"/>
            <w:vAlign w:val="bottom"/>
            <w:gridSpan w:val="2"/>
          </w:tcPr>
          <w:p>
            <w:pPr>
              <w:jc w:val="right"/>
              <w:spacing w:after="0" w:line="240" w:lineRule="exact"/>
              <w:rPr>
                <w:sz w:val="20"/>
                <w:szCs w:val="20"/>
                <w:color w:val="auto"/>
              </w:rPr>
            </w:pPr>
            <w:r>
              <w:rPr>
                <w:rFonts w:ascii="Arial" w:cs="Arial" w:eastAsia="Arial" w:hAnsi="Arial"/>
                <w:sz w:val="21"/>
                <w:szCs w:val="21"/>
                <w:color w:val="auto"/>
              </w:rPr>
              <w:t>$269.14</w:t>
            </w:r>
          </w:p>
        </w:tc>
        <w:tc>
          <w:tcPr>
            <w:tcW w:w="820" w:type="dxa"/>
            <w:vAlign w:val="bottom"/>
            <w:gridSpan w:val="2"/>
          </w:tcPr>
          <w:p>
            <w:pPr>
              <w:ind w:left="120"/>
              <w:spacing w:after="0" w:line="240" w:lineRule="exact"/>
              <w:rPr>
                <w:sz w:val="20"/>
                <w:szCs w:val="20"/>
                <w:color w:val="auto"/>
              </w:rPr>
            </w:pPr>
            <w:r>
              <w:rPr>
                <w:rFonts w:ascii="Arial" w:cs="Arial" w:eastAsia="Arial" w:hAnsi="Arial"/>
                <w:sz w:val="21"/>
                <w:szCs w:val="21"/>
                <w:color w:val="auto"/>
                <w:w w:val="89"/>
              </w:rPr>
              <w:t>$270.11</w:t>
            </w:r>
          </w:p>
        </w:tc>
      </w:tr>
      <w:tr>
        <w:trPr>
          <w:trHeight w:val="241"/>
        </w:trPr>
        <w:tc>
          <w:tcPr>
            <w:tcW w:w="980" w:type="dxa"/>
            <w:vAlign w:val="bottom"/>
            <w:gridSpan w:val="3"/>
          </w:tcPr>
          <w:p>
            <w:pPr>
              <w:spacing w:after="0"/>
              <w:rPr>
                <w:sz w:val="20"/>
                <w:szCs w:val="20"/>
                <w:color w:val="auto"/>
              </w:rPr>
            </w:pPr>
            <w:r>
              <w:rPr>
                <w:rFonts w:ascii="Arial" w:cs="Arial" w:eastAsia="Arial" w:hAnsi="Arial"/>
                <w:sz w:val="21"/>
                <w:szCs w:val="21"/>
                <w:color w:val="auto"/>
              </w:rPr>
              <w:t>SAAN</w:t>
            </w:r>
          </w:p>
        </w:tc>
        <w:tc>
          <w:tcPr>
            <w:tcW w:w="1500" w:type="dxa"/>
            <w:vAlign w:val="bottom"/>
            <w:gridSpan w:val="3"/>
          </w:tcPr>
          <w:p>
            <w:pPr>
              <w:jc w:val="center"/>
              <w:ind w:left="93"/>
              <w:spacing w:after="0"/>
              <w:rPr>
                <w:sz w:val="20"/>
                <w:szCs w:val="20"/>
                <w:color w:val="auto"/>
              </w:rPr>
            </w:pPr>
            <w:r>
              <w:rPr>
                <w:rFonts w:ascii="Arial" w:cs="Arial" w:eastAsia="Arial" w:hAnsi="Arial"/>
                <w:sz w:val="21"/>
                <w:szCs w:val="21"/>
                <w:color w:val="auto"/>
                <w:w w:val="92"/>
              </w:rPr>
              <w:t>1/27/2014</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21"/>
                <w:szCs w:val="21"/>
                <w:color w:val="auto"/>
                <w:w w:val="85"/>
              </w:rPr>
              <w:t>Purchase</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7,869</w:t>
            </w:r>
          </w:p>
        </w:tc>
        <w:tc>
          <w:tcPr>
            <w:tcW w:w="5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21"/>
                <w:szCs w:val="21"/>
                <w:color w:val="auto"/>
              </w:rPr>
              <w:t>$270.6845</w:t>
            </w:r>
          </w:p>
        </w:tc>
        <w:tc>
          <w:tcPr>
            <w:tcW w:w="5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1"/>
                <w:szCs w:val="21"/>
                <w:color w:val="auto"/>
              </w:rPr>
              <w:t>$270.18</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9"/>
              </w:rPr>
              <w:t>$271.10</w:t>
            </w:r>
          </w:p>
        </w:tc>
      </w:tr>
      <w:tr>
        <w:trPr>
          <w:trHeight w:val="241"/>
        </w:trPr>
        <w:tc>
          <w:tcPr>
            <w:tcW w:w="980" w:type="dxa"/>
            <w:vAlign w:val="bottom"/>
            <w:gridSpan w:val="3"/>
          </w:tcPr>
          <w:p>
            <w:pPr>
              <w:spacing w:after="0"/>
              <w:rPr>
                <w:sz w:val="20"/>
                <w:szCs w:val="20"/>
                <w:color w:val="auto"/>
              </w:rPr>
            </w:pPr>
            <w:r>
              <w:rPr>
                <w:rFonts w:ascii="Arial" w:cs="Arial" w:eastAsia="Arial" w:hAnsi="Arial"/>
                <w:sz w:val="21"/>
                <w:szCs w:val="21"/>
                <w:color w:val="auto"/>
              </w:rPr>
              <w:t>SAAN</w:t>
            </w:r>
          </w:p>
        </w:tc>
        <w:tc>
          <w:tcPr>
            <w:tcW w:w="1500" w:type="dxa"/>
            <w:vAlign w:val="bottom"/>
            <w:gridSpan w:val="3"/>
          </w:tcPr>
          <w:p>
            <w:pPr>
              <w:jc w:val="center"/>
              <w:ind w:left="93"/>
              <w:spacing w:after="0"/>
              <w:rPr>
                <w:sz w:val="20"/>
                <w:szCs w:val="20"/>
                <w:color w:val="auto"/>
              </w:rPr>
            </w:pPr>
            <w:r>
              <w:rPr>
                <w:rFonts w:ascii="Arial" w:cs="Arial" w:eastAsia="Arial" w:hAnsi="Arial"/>
                <w:sz w:val="21"/>
                <w:szCs w:val="21"/>
                <w:color w:val="auto"/>
                <w:w w:val="92"/>
              </w:rPr>
              <w:t>1/27/2014</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21"/>
                <w:szCs w:val="21"/>
                <w:color w:val="auto"/>
                <w:w w:val="85"/>
              </w:rPr>
              <w:t>Purchase</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10,537</w:t>
            </w:r>
          </w:p>
        </w:tc>
        <w:tc>
          <w:tcPr>
            <w:tcW w:w="5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21"/>
                <w:szCs w:val="21"/>
                <w:color w:val="auto"/>
              </w:rPr>
              <w:t>$271.8194</w:t>
            </w:r>
          </w:p>
        </w:tc>
        <w:tc>
          <w:tcPr>
            <w:tcW w:w="5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1"/>
                <w:szCs w:val="21"/>
                <w:color w:val="auto"/>
              </w:rPr>
              <w:t>$271.21</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9"/>
              </w:rPr>
              <w:t>$272.18</w:t>
            </w:r>
          </w:p>
        </w:tc>
      </w:tr>
      <w:tr>
        <w:trPr>
          <w:trHeight w:val="241"/>
        </w:trPr>
        <w:tc>
          <w:tcPr>
            <w:tcW w:w="980" w:type="dxa"/>
            <w:vAlign w:val="bottom"/>
            <w:gridSpan w:val="3"/>
          </w:tcPr>
          <w:p>
            <w:pPr>
              <w:spacing w:after="0"/>
              <w:rPr>
                <w:sz w:val="20"/>
                <w:szCs w:val="20"/>
                <w:color w:val="auto"/>
              </w:rPr>
            </w:pPr>
            <w:r>
              <w:rPr>
                <w:rFonts w:ascii="Arial" w:cs="Arial" w:eastAsia="Arial" w:hAnsi="Arial"/>
                <w:sz w:val="21"/>
                <w:szCs w:val="21"/>
                <w:color w:val="auto"/>
              </w:rPr>
              <w:t>SAAN</w:t>
            </w:r>
          </w:p>
        </w:tc>
        <w:tc>
          <w:tcPr>
            <w:tcW w:w="1500" w:type="dxa"/>
            <w:vAlign w:val="bottom"/>
            <w:gridSpan w:val="3"/>
          </w:tcPr>
          <w:p>
            <w:pPr>
              <w:jc w:val="center"/>
              <w:ind w:left="93"/>
              <w:spacing w:after="0"/>
              <w:rPr>
                <w:sz w:val="20"/>
                <w:szCs w:val="20"/>
                <w:color w:val="auto"/>
              </w:rPr>
            </w:pPr>
            <w:r>
              <w:rPr>
                <w:rFonts w:ascii="Arial" w:cs="Arial" w:eastAsia="Arial" w:hAnsi="Arial"/>
                <w:sz w:val="21"/>
                <w:szCs w:val="21"/>
                <w:color w:val="auto"/>
                <w:w w:val="92"/>
              </w:rPr>
              <w:t>1/27/2014</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21"/>
                <w:szCs w:val="21"/>
                <w:color w:val="auto"/>
                <w:w w:val="85"/>
              </w:rPr>
              <w:t>Purchase</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18,728</w:t>
            </w:r>
          </w:p>
        </w:tc>
        <w:tc>
          <w:tcPr>
            <w:tcW w:w="5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21"/>
                <w:szCs w:val="21"/>
                <w:color w:val="auto"/>
              </w:rPr>
              <w:t>$272.8834</w:t>
            </w:r>
          </w:p>
        </w:tc>
        <w:tc>
          <w:tcPr>
            <w:tcW w:w="5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1"/>
                <w:szCs w:val="21"/>
                <w:color w:val="auto"/>
              </w:rPr>
              <w:t>$272.22</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9"/>
              </w:rPr>
              <w:t>$273.21</w:t>
            </w:r>
          </w:p>
        </w:tc>
      </w:tr>
      <w:tr>
        <w:trPr>
          <w:trHeight w:val="241"/>
        </w:trPr>
        <w:tc>
          <w:tcPr>
            <w:tcW w:w="980" w:type="dxa"/>
            <w:vAlign w:val="bottom"/>
            <w:gridSpan w:val="3"/>
          </w:tcPr>
          <w:p>
            <w:pPr>
              <w:spacing w:after="0"/>
              <w:rPr>
                <w:sz w:val="20"/>
                <w:szCs w:val="20"/>
                <w:color w:val="auto"/>
              </w:rPr>
            </w:pPr>
            <w:r>
              <w:rPr>
                <w:rFonts w:ascii="Arial" w:cs="Arial" w:eastAsia="Arial" w:hAnsi="Arial"/>
                <w:sz w:val="21"/>
                <w:szCs w:val="21"/>
                <w:color w:val="auto"/>
              </w:rPr>
              <w:t>SAAN</w:t>
            </w:r>
          </w:p>
        </w:tc>
        <w:tc>
          <w:tcPr>
            <w:tcW w:w="1500" w:type="dxa"/>
            <w:vAlign w:val="bottom"/>
            <w:gridSpan w:val="3"/>
          </w:tcPr>
          <w:p>
            <w:pPr>
              <w:jc w:val="center"/>
              <w:ind w:left="93"/>
              <w:spacing w:after="0"/>
              <w:rPr>
                <w:sz w:val="20"/>
                <w:szCs w:val="20"/>
                <w:color w:val="auto"/>
              </w:rPr>
            </w:pPr>
            <w:r>
              <w:rPr>
                <w:rFonts w:ascii="Arial" w:cs="Arial" w:eastAsia="Arial" w:hAnsi="Arial"/>
                <w:sz w:val="21"/>
                <w:szCs w:val="21"/>
                <w:color w:val="auto"/>
                <w:w w:val="92"/>
              </w:rPr>
              <w:t>1/27/2014</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21"/>
                <w:szCs w:val="21"/>
                <w:color w:val="auto"/>
                <w:w w:val="85"/>
              </w:rPr>
              <w:t>Purchase</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25,551</w:t>
            </w:r>
          </w:p>
        </w:tc>
        <w:tc>
          <w:tcPr>
            <w:tcW w:w="5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21"/>
                <w:szCs w:val="21"/>
                <w:color w:val="auto"/>
              </w:rPr>
              <w:t>$273.6575</w:t>
            </w:r>
          </w:p>
        </w:tc>
        <w:tc>
          <w:tcPr>
            <w:tcW w:w="5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1"/>
                <w:szCs w:val="21"/>
                <w:color w:val="auto"/>
              </w:rPr>
              <w:t>$273.22</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9"/>
              </w:rPr>
              <w:t>$274.20</w:t>
            </w:r>
          </w:p>
        </w:tc>
      </w:tr>
      <w:tr>
        <w:trPr>
          <w:trHeight w:val="241"/>
        </w:trPr>
        <w:tc>
          <w:tcPr>
            <w:tcW w:w="980" w:type="dxa"/>
            <w:vAlign w:val="bottom"/>
            <w:gridSpan w:val="3"/>
          </w:tcPr>
          <w:p>
            <w:pPr>
              <w:spacing w:after="0"/>
              <w:rPr>
                <w:sz w:val="20"/>
                <w:szCs w:val="20"/>
                <w:color w:val="auto"/>
              </w:rPr>
            </w:pPr>
            <w:r>
              <w:rPr>
                <w:rFonts w:ascii="Arial" w:cs="Arial" w:eastAsia="Arial" w:hAnsi="Arial"/>
                <w:sz w:val="21"/>
                <w:szCs w:val="21"/>
                <w:color w:val="auto"/>
              </w:rPr>
              <w:t>SAAN</w:t>
            </w:r>
          </w:p>
        </w:tc>
        <w:tc>
          <w:tcPr>
            <w:tcW w:w="1500" w:type="dxa"/>
            <w:vAlign w:val="bottom"/>
            <w:gridSpan w:val="3"/>
          </w:tcPr>
          <w:p>
            <w:pPr>
              <w:jc w:val="center"/>
              <w:ind w:left="93"/>
              <w:spacing w:after="0"/>
              <w:rPr>
                <w:sz w:val="20"/>
                <w:szCs w:val="20"/>
                <w:color w:val="auto"/>
              </w:rPr>
            </w:pPr>
            <w:r>
              <w:rPr>
                <w:rFonts w:ascii="Arial" w:cs="Arial" w:eastAsia="Arial" w:hAnsi="Arial"/>
                <w:sz w:val="21"/>
                <w:szCs w:val="21"/>
                <w:color w:val="auto"/>
                <w:w w:val="92"/>
              </w:rPr>
              <w:t>1/27/2014</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21"/>
                <w:szCs w:val="21"/>
                <w:color w:val="auto"/>
                <w:w w:val="85"/>
              </w:rPr>
              <w:t>Purchase</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8,900</w:t>
            </w:r>
          </w:p>
        </w:tc>
        <w:tc>
          <w:tcPr>
            <w:tcW w:w="5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21"/>
                <w:szCs w:val="21"/>
                <w:color w:val="auto"/>
              </w:rPr>
              <w:t>$274.6621</w:t>
            </w:r>
          </w:p>
        </w:tc>
        <w:tc>
          <w:tcPr>
            <w:tcW w:w="5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1"/>
                <w:szCs w:val="21"/>
                <w:color w:val="auto"/>
              </w:rPr>
              <w:t>$274.22</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9"/>
              </w:rPr>
              <w:t>$275.19</w:t>
            </w:r>
          </w:p>
        </w:tc>
      </w:tr>
      <w:tr>
        <w:trPr>
          <w:trHeight w:val="241"/>
        </w:trPr>
        <w:tc>
          <w:tcPr>
            <w:tcW w:w="980" w:type="dxa"/>
            <w:vAlign w:val="bottom"/>
            <w:gridSpan w:val="3"/>
          </w:tcPr>
          <w:p>
            <w:pPr>
              <w:spacing w:after="0"/>
              <w:rPr>
                <w:sz w:val="20"/>
                <w:szCs w:val="20"/>
                <w:color w:val="auto"/>
              </w:rPr>
            </w:pPr>
            <w:r>
              <w:rPr>
                <w:rFonts w:ascii="Arial" w:cs="Arial" w:eastAsia="Arial" w:hAnsi="Arial"/>
                <w:sz w:val="21"/>
                <w:szCs w:val="21"/>
                <w:color w:val="auto"/>
              </w:rPr>
              <w:t>SAAN</w:t>
            </w:r>
          </w:p>
        </w:tc>
        <w:tc>
          <w:tcPr>
            <w:tcW w:w="1500" w:type="dxa"/>
            <w:vAlign w:val="bottom"/>
            <w:gridSpan w:val="3"/>
          </w:tcPr>
          <w:p>
            <w:pPr>
              <w:jc w:val="center"/>
              <w:ind w:left="93"/>
              <w:spacing w:after="0"/>
              <w:rPr>
                <w:sz w:val="20"/>
                <w:szCs w:val="20"/>
                <w:color w:val="auto"/>
              </w:rPr>
            </w:pPr>
            <w:r>
              <w:rPr>
                <w:rFonts w:ascii="Arial" w:cs="Arial" w:eastAsia="Arial" w:hAnsi="Arial"/>
                <w:sz w:val="21"/>
                <w:szCs w:val="21"/>
                <w:color w:val="auto"/>
                <w:w w:val="92"/>
              </w:rPr>
              <w:t>1/27/2014</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21"/>
                <w:szCs w:val="21"/>
                <w:color w:val="auto"/>
                <w:w w:val="85"/>
              </w:rPr>
              <w:t>Purchase</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1,500</w:t>
            </w:r>
          </w:p>
        </w:tc>
        <w:tc>
          <w:tcPr>
            <w:tcW w:w="5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21"/>
                <w:szCs w:val="21"/>
                <w:color w:val="auto"/>
              </w:rPr>
              <w:t>$275.3087</w:t>
            </w:r>
          </w:p>
        </w:tc>
        <w:tc>
          <w:tcPr>
            <w:tcW w:w="5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1"/>
                <w:szCs w:val="21"/>
                <w:color w:val="auto"/>
              </w:rPr>
              <w:t>$275.25</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9"/>
              </w:rPr>
              <w:t>$275.32</w:t>
            </w:r>
          </w:p>
        </w:tc>
      </w:tr>
      <w:tr>
        <w:trPr>
          <w:trHeight w:val="241"/>
        </w:trPr>
        <w:tc>
          <w:tcPr>
            <w:tcW w:w="980" w:type="dxa"/>
            <w:vAlign w:val="bottom"/>
            <w:gridSpan w:val="3"/>
          </w:tcPr>
          <w:p>
            <w:pPr>
              <w:spacing w:after="0"/>
              <w:rPr>
                <w:sz w:val="20"/>
                <w:szCs w:val="20"/>
                <w:color w:val="auto"/>
              </w:rPr>
            </w:pPr>
            <w:r>
              <w:rPr>
                <w:rFonts w:ascii="Arial" w:cs="Arial" w:eastAsia="Arial" w:hAnsi="Arial"/>
                <w:sz w:val="21"/>
                <w:szCs w:val="21"/>
                <w:color w:val="auto"/>
              </w:rPr>
              <w:t>SAAN</w:t>
            </w:r>
          </w:p>
        </w:tc>
        <w:tc>
          <w:tcPr>
            <w:tcW w:w="1500" w:type="dxa"/>
            <w:vAlign w:val="bottom"/>
            <w:gridSpan w:val="3"/>
          </w:tcPr>
          <w:p>
            <w:pPr>
              <w:jc w:val="center"/>
              <w:ind w:left="93"/>
              <w:spacing w:after="0"/>
              <w:rPr>
                <w:sz w:val="20"/>
                <w:szCs w:val="20"/>
                <w:color w:val="auto"/>
              </w:rPr>
            </w:pPr>
            <w:r>
              <w:rPr>
                <w:rFonts w:ascii="Arial" w:cs="Arial" w:eastAsia="Arial" w:hAnsi="Arial"/>
                <w:sz w:val="21"/>
                <w:szCs w:val="21"/>
                <w:color w:val="auto"/>
                <w:w w:val="92"/>
              </w:rPr>
              <w:t>1/28/2014</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21"/>
                <w:szCs w:val="21"/>
                <w:color w:val="auto"/>
                <w:w w:val="85"/>
              </w:rPr>
              <w:t>Purchase</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100</w:t>
            </w:r>
          </w:p>
        </w:tc>
        <w:tc>
          <w:tcPr>
            <w:tcW w:w="5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21"/>
                <w:szCs w:val="21"/>
                <w:color w:val="auto"/>
              </w:rPr>
              <w:t>$273.4400</w:t>
            </w:r>
          </w:p>
        </w:tc>
        <w:tc>
          <w:tcPr>
            <w:tcW w:w="5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1"/>
                <w:szCs w:val="21"/>
                <w:color w:val="auto"/>
              </w:rPr>
              <w:t>$273.44</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9"/>
              </w:rPr>
              <w:t>$273.44</w:t>
            </w:r>
          </w:p>
        </w:tc>
      </w:tr>
      <w:tr>
        <w:trPr>
          <w:trHeight w:val="241"/>
        </w:trPr>
        <w:tc>
          <w:tcPr>
            <w:tcW w:w="980" w:type="dxa"/>
            <w:vAlign w:val="bottom"/>
            <w:gridSpan w:val="3"/>
          </w:tcPr>
          <w:p>
            <w:pPr>
              <w:spacing w:after="0"/>
              <w:rPr>
                <w:sz w:val="20"/>
                <w:szCs w:val="20"/>
                <w:color w:val="auto"/>
              </w:rPr>
            </w:pPr>
            <w:r>
              <w:rPr>
                <w:rFonts w:ascii="Arial" w:cs="Arial" w:eastAsia="Arial" w:hAnsi="Arial"/>
                <w:sz w:val="21"/>
                <w:szCs w:val="21"/>
                <w:color w:val="auto"/>
              </w:rPr>
              <w:t>SAAN</w:t>
            </w:r>
          </w:p>
        </w:tc>
        <w:tc>
          <w:tcPr>
            <w:tcW w:w="1500" w:type="dxa"/>
            <w:vAlign w:val="bottom"/>
            <w:gridSpan w:val="3"/>
          </w:tcPr>
          <w:p>
            <w:pPr>
              <w:jc w:val="center"/>
              <w:ind w:left="93"/>
              <w:spacing w:after="0"/>
              <w:rPr>
                <w:sz w:val="20"/>
                <w:szCs w:val="20"/>
                <w:color w:val="auto"/>
              </w:rPr>
            </w:pPr>
            <w:r>
              <w:rPr>
                <w:rFonts w:ascii="Arial" w:cs="Arial" w:eastAsia="Arial" w:hAnsi="Arial"/>
                <w:sz w:val="21"/>
                <w:szCs w:val="21"/>
                <w:color w:val="auto"/>
                <w:w w:val="92"/>
              </w:rPr>
              <w:t>1/28/2014</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21"/>
                <w:szCs w:val="21"/>
                <w:color w:val="auto"/>
                <w:w w:val="85"/>
              </w:rPr>
              <w:t>Purchase</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3,181</w:t>
            </w:r>
          </w:p>
        </w:tc>
        <w:tc>
          <w:tcPr>
            <w:tcW w:w="5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21"/>
                <w:szCs w:val="21"/>
                <w:color w:val="auto"/>
              </w:rPr>
              <w:t>$275.1738</w:t>
            </w:r>
          </w:p>
        </w:tc>
        <w:tc>
          <w:tcPr>
            <w:tcW w:w="5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1"/>
                <w:szCs w:val="21"/>
                <w:color w:val="auto"/>
              </w:rPr>
              <w:t>$274.57</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9"/>
              </w:rPr>
              <w:t>$275.55</w:t>
            </w:r>
          </w:p>
        </w:tc>
      </w:tr>
      <w:tr>
        <w:trPr>
          <w:trHeight w:val="241"/>
        </w:trPr>
        <w:tc>
          <w:tcPr>
            <w:tcW w:w="980" w:type="dxa"/>
            <w:vAlign w:val="bottom"/>
            <w:gridSpan w:val="3"/>
          </w:tcPr>
          <w:p>
            <w:pPr>
              <w:spacing w:after="0"/>
              <w:rPr>
                <w:sz w:val="20"/>
                <w:szCs w:val="20"/>
                <w:color w:val="auto"/>
              </w:rPr>
            </w:pPr>
            <w:r>
              <w:rPr>
                <w:rFonts w:ascii="Arial" w:cs="Arial" w:eastAsia="Arial" w:hAnsi="Arial"/>
                <w:sz w:val="21"/>
                <w:szCs w:val="21"/>
                <w:color w:val="auto"/>
              </w:rPr>
              <w:t>SAAN</w:t>
            </w:r>
          </w:p>
        </w:tc>
        <w:tc>
          <w:tcPr>
            <w:tcW w:w="1500" w:type="dxa"/>
            <w:vAlign w:val="bottom"/>
            <w:gridSpan w:val="3"/>
          </w:tcPr>
          <w:p>
            <w:pPr>
              <w:jc w:val="center"/>
              <w:ind w:left="93"/>
              <w:spacing w:after="0"/>
              <w:rPr>
                <w:sz w:val="20"/>
                <w:szCs w:val="20"/>
                <w:color w:val="auto"/>
              </w:rPr>
            </w:pPr>
            <w:r>
              <w:rPr>
                <w:rFonts w:ascii="Arial" w:cs="Arial" w:eastAsia="Arial" w:hAnsi="Arial"/>
                <w:sz w:val="21"/>
                <w:szCs w:val="21"/>
                <w:color w:val="auto"/>
                <w:w w:val="92"/>
              </w:rPr>
              <w:t>1/28/2014</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21"/>
                <w:szCs w:val="21"/>
                <w:color w:val="auto"/>
                <w:w w:val="85"/>
              </w:rPr>
              <w:t>Purchase</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3,141</w:t>
            </w:r>
          </w:p>
        </w:tc>
        <w:tc>
          <w:tcPr>
            <w:tcW w:w="5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21"/>
                <w:szCs w:val="21"/>
                <w:color w:val="auto"/>
              </w:rPr>
              <w:t>$276.2678</w:t>
            </w:r>
          </w:p>
        </w:tc>
        <w:tc>
          <w:tcPr>
            <w:tcW w:w="5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1"/>
                <w:szCs w:val="21"/>
                <w:color w:val="auto"/>
              </w:rPr>
              <w:t>$275.79</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9"/>
              </w:rPr>
              <w:t>$276.63</w:t>
            </w:r>
          </w:p>
        </w:tc>
      </w:tr>
      <w:tr>
        <w:trPr>
          <w:trHeight w:val="241"/>
        </w:trPr>
        <w:tc>
          <w:tcPr>
            <w:tcW w:w="980" w:type="dxa"/>
            <w:vAlign w:val="bottom"/>
            <w:gridSpan w:val="3"/>
          </w:tcPr>
          <w:p>
            <w:pPr>
              <w:spacing w:after="0"/>
              <w:rPr>
                <w:sz w:val="20"/>
                <w:szCs w:val="20"/>
                <w:color w:val="auto"/>
              </w:rPr>
            </w:pPr>
            <w:r>
              <w:rPr>
                <w:rFonts w:ascii="Arial" w:cs="Arial" w:eastAsia="Arial" w:hAnsi="Arial"/>
                <w:sz w:val="21"/>
                <w:szCs w:val="21"/>
                <w:color w:val="auto"/>
              </w:rPr>
              <w:t>SAAN</w:t>
            </w:r>
          </w:p>
        </w:tc>
        <w:tc>
          <w:tcPr>
            <w:tcW w:w="1500" w:type="dxa"/>
            <w:vAlign w:val="bottom"/>
            <w:gridSpan w:val="3"/>
          </w:tcPr>
          <w:p>
            <w:pPr>
              <w:jc w:val="center"/>
              <w:ind w:left="93"/>
              <w:spacing w:after="0"/>
              <w:rPr>
                <w:sz w:val="20"/>
                <w:szCs w:val="20"/>
                <w:color w:val="auto"/>
              </w:rPr>
            </w:pPr>
            <w:r>
              <w:rPr>
                <w:rFonts w:ascii="Arial" w:cs="Arial" w:eastAsia="Arial" w:hAnsi="Arial"/>
                <w:sz w:val="21"/>
                <w:szCs w:val="21"/>
                <w:color w:val="auto"/>
                <w:w w:val="92"/>
              </w:rPr>
              <w:t>1/28/2014</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21"/>
                <w:szCs w:val="21"/>
                <w:color w:val="auto"/>
                <w:w w:val="85"/>
              </w:rPr>
              <w:t>Purchase</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12,806</w:t>
            </w:r>
          </w:p>
        </w:tc>
        <w:tc>
          <w:tcPr>
            <w:tcW w:w="5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21"/>
                <w:szCs w:val="21"/>
                <w:color w:val="auto"/>
              </w:rPr>
              <w:t>$277.4508</w:t>
            </w:r>
          </w:p>
        </w:tc>
        <w:tc>
          <w:tcPr>
            <w:tcW w:w="5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1"/>
                <w:szCs w:val="21"/>
                <w:color w:val="auto"/>
              </w:rPr>
              <w:t>$276.79</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9"/>
              </w:rPr>
              <w:t>$277.77</w:t>
            </w:r>
          </w:p>
        </w:tc>
      </w:tr>
      <w:tr>
        <w:trPr>
          <w:trHeight w:val="241"/>
        </w:trPr>
        <w:tc>
          <w:tcPr>
            <w:tcW w:w="980" w:type="dxa"/>
            <w:vAlign w:val="bottom"/>
            <w:gridSpan w:val="3"/>
          </w:tcPr>
          <w:p>
            <w:pPr>
              <w:spacing w:after="0"/>
              <w:rPr>
                <w:sz w:val="20"/>
                <w:szCs w:val="20"/>
                <w:color w:val="auto"/>
              </w:rPr>
            </w:pPr>
            <w:r>
              <w:rPr>
                <w:rFonts w:ascii="Arial" w:cs="Arial" w:eastAsia="Arial" w:hAnsi="Arial"/>
                <w:sz w:val="21"/>
                <w:szCs w:val="21"/>
                <w:color w:val="auto"/>
              </w:rPr>
              <w:t>SAAN</w:t>
            </w:r>
          </w:p>
        </w:tc>
        <w:tc>
          <w:tcPr>
            <w:tcW w:w="1500" w:type="dxa"/>
            <w:vAlign w:val="bottom"/>
            <w:gridSpan w:val="3"/>
          </w:tcPr>
          <w:p>
            <w:pPr>
              <w:jc w:val="center"/>
              <w:ind w:left="93"/>
              <w:spacing w:after="0"/>
              <w:rPr>
                <w:sz w:val="20"/>
                <w:szCs w:val="20"/>
                <w:color w:val="auto"/>
              </w:rPr>
            </w:pPr>
            <w:r>
              <w:rPr>
                <w:rFonts w:ascii="Arial" w:cs="Arial" w:eastAsia="Arial" w:hAnsi="Arial"/>
                <w:sz w:val="21"/>
                <w:szCs w:val="21"/>
                <w:color w:val="auto"/>
                <w:w w:val="92"/>
              </w:rPr>
              <w:t>1/28/2014</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21"/>
                <w:szCs w:val="21"/>
                <w:color w:val="auto"/>
                <w:w w:val="85"/>
              </w:rPr>
              <w:t>Purchase</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18,379</w:t>
            </w:r>
          </w:p>
        </w:tc>
        <w:tc>
          <w:tcPr>
            <w:tcW w:w="5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21"/>
                <w:szCs w:val="21"/>
                <w:color w:val="auto"/>
              </w:rPr>
              <w:t>$278.5021</w:t>
            </w:r>
          </w:p>
        </w:tc>
        <w:tc>
          <w:tcPr>
            <w:tcW w:w="5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1"/>
                <w:szCs w:val="21"/>
                <w:color w:val="auto"/>
              </w:rPr>
              <w:t>$277.79</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9"/>
              </w:rPr>
              <w:t>$278.78</w:t>
            </w:r>
          </w:p>
        </w:tc>
      </w:tr>
      <w:tr>
        <w:trPr>
          <w:trHeight w:val="273"/>
        </w:trPr>
        <w:tc>
          <w:tcPr>
            <w:tcW w:w="980" w:type="dxa"/>
            <w:vAlign w:val="bottom"/>
            <w:gridSpan w:val="3"/>
          </w:tcPr>
          <w:p>
            <w:pPr>
              <w:spacing w:after="0"/>
              <w:rPr>
                <w:sz w:val="20"/>
                <w:szCs w:val="20"/>
                <w:color w:val="auto"/>
              </w:rPr>
            </w:pPr>
            <w:r>
              <w:rPr>
                <w:rFonts w:ascii="Arial" w:cs="Arial" w:eastAsia="Arial" w:hAnsi="Arial"/>
                <w:sz w:val="21"/>
                <w:szCs w:val="21"/>
                <w:color w:val="auto"/>
              </w:rPr>
              <w:t>SAAN</w:t>
            </w:r>
          </w:p>
        </w:tc>
        <w:tc>
          <w:tcPr>
            <w:tcW w:w="1500" w:type="dxa"/>
            <w:vAlign w:val="bottom"/>
            <w:gridSpan w:val="3"/>
          </w:tcPr>
          <w:p>
            <w:pPr>
              <w:jc w:val="center"/>
              <w:ind w:left="93"/>
              <w:spacing w:after="0"/>
              <w:rPr>
                <w:sz w:val="20"/>
                <w:szCs w:val="20"/>
                <w:color w:val="auto"/>
              </w:rPr>
            </w:pPr>
            <w:r>
              <w:rPr>
                <w:rFonts w:ascii="Arial" w:cs="Arial" w:eastAsia="Arial" w:hAnsi="Arial"/>
                <w:sz w:val="21"/>
                <w:szCs w:val="21"/>
                <w:color w:val="auto"/>
                <w:w w:val="92"/>
              </w:rPr>
              <w:t>1/28/2014</w:t>
            </w:r>
          </w:p>
        </w:tc>
        <w:tc>
          <w:tcPr>
            <w:tcW w:w="220" w:type="dxa"/>
            <w:vAlign w:val="bottom"/>
          </w:tcPr>
          <w:p>
            <w:pPr>
              <w:spacing w:after="0"/>
              <w:rPr>
                <w:sz w:val="23"/>
                <w:szCs w:val="2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21"/>
                <w:szCs w:val="21"/>
                <w:color w:val="auto"/>
                <w:w w:val="85"/>
              </w:rPr>
              <w:t>Purchase</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45,628</w:t>
            </w:r>
          </w:p>
        </w:tc>
        <w:tc>
          <w:tcPr>
            <w:tcW w:w="500" w:type="dxa"/>
            <w:vAlign w:val="bottom"/>
          </w:tcPr>
          <w:p>
            <w:pPr>
              <w:spacing w:after="0"/>
              <w:rPr>
                <w:sz w:val="23"/>
                <w:szCs w:val="2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21"/>
                <w:szCs w:val="21"/>
                <w:color w:val="auto"/>
              </w:rPr>
              <w:t>$279.2642</w:t>
            </w:r>
          </w:p>
        </w:tc>
        <w:tc>
          <w:tcPr>
            <w:tcW w:w="5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21"/>
                <w:szCs w:val="21"/>
                <w:color w:val="auto"/>
              </w:rPr>
              <w:t>$278.79</w:t>
            </w:r>
          </w:p>
        </w:tc>
        <w:tc>
          <w:tcPr>
            <w:tcW w:w="820" w:type="dxa"/>
            <w:vAlign w:val="bottom"/>
            <w:gridSpan w:val="2"/>
          </w:tcPr>
          <w:p>
            <w:pPr>
              <w:ind w:left="120"/>
              <w:spacing w:after="0"/>
              <w:rPr>
                <w:sz w:val="20"/>
                <w:szCs w:val="20"/>
                <w:color w:val="auto"/>
              </w:rPr>
            </w:pPr>
            <w:r>
              <w:rPr>
                <w:rFonts w:ascii="Arial" w:cs="Arial" w:eastAsia="Arial" w:hAnsi="Arial"/>
                <w:sz w:val="21"/>
                <w:szCs w:val="21"/>
                <w:color w:val="auto"/>
                <w:w w:val="89"/>
              </w:rPr>
              <w:t>$279.73</w:t>
            </w:r>
          </w:p>
        </w:tc>
      </w:tr>
    </w:tbl>
    <w:p>
      <w:pPr>
        <w:spacing w:after="0" w:line="356"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number of securities reported represents an aggregate number of shares executed by a broker-dealer in multiple market transactions over a range of prices. The price per share reported represents the weighted average price (without regard to brokerage commissions and fees). The Reporting Person undertakes to provide the staff of the SEC upon request, the number of shares executed by such Reporting Person at each separate price within the range.</w:t>
      </w:r>
    </w:p>
    <w:p>
      <w:pPr>
        <w:spacing w:after="0" w:line="200" w:lineRule="exact"/>
        <w:rPr>
          <w:sz w:val="20"/>
          <w:szCs w:val="20"/>
          <w:color w:val="auto"/>
        </w:rPr>
      </w:pPr>
    </w:p>
    <w:p>
      <w:pPr>
        <w:spacing w:after="0" w:line="243" w:lineRule="exact"/>
        <w:rPr>
          <w:sz w:val="20"/>
          <w:szCs w:val="20"/>
          <w:color w:val="auto"/>
        </w:rPr>
      </w:pPr>
    </w:p>
    <w:p>
      <w:pPr>
        <w:ind w:right="540" w:firstLine="963"/>
        <w:spacing w:after="0" w:line="295" w:lineRule="auto"/>
        <w:rPr>
          <w:sz w:val="20"/>
          <w:szCs w:val="20"/>
          <w:color w:val="auto"/>
        </w:rPr>
      </w:pPr>
      <w:r>
        <w:rPr>
          <w:rFonts w:ascii="Arial" w:cs="Arial" w:eastAsia="Arial" w:hAnsi="Arial"/>
          <w:sz w:val="20"/>
          <w:szCs w:val="20"/>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398" w:lineRule="exact"/>
        <w:rPr>
          <w:sz w:val="20"/>
          <w:szCs w:val="20"/>
          <w:color w:val="auto"/>
        </w:rPr>
      </w:pPr>
    </w:p>
    <w:p>
      <w:pPr>
        <w:ind w:left="1320" w:hanging="350"/>
        <w:spacing w:after="0"/>
        <w:tabs>
          <w:tab w:leader="none" w:pos="1320" w:val="left"/>
        </w:tabs>
        <w:numPr>
          <w:ilvl w:val="0"/>
          <w:numId w:val="4"/>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200" w:lineRule="exact"/>
        <w:rPr>
          <w:rFonts w:ascii="Arial" w:cs="Arial" w:eastAsia="Arial" w:hAnsi="Arial"/>
          <w:sz w:val="21"/>
          <w:szCs w:val="21"/>
          <w:color w:val="auto"/>
        </w:rPr>
      </w:pPr>
    </w:p>
    <w:p>
      <w:pPr>
        <w:spacing w:after="0" w:line="281" w:lineRule="exact"/>
        <w:rPr>
          <w:rFonts w:ascii="Arial" w:cs="Arial" w:eastAsia="Arial" w:hAnsi="Arial"/>
          <w:sz w:val="21"/>
          <w:szCs w:val="21"/>
          <w:color w:val="auto"/>
        </w:rPr>
      </w:pPr>
    </w:p>
    <w:p>
      <w:pPr>
        <w:ind w:left="1320" w:hanging="350"/>
        <w:spacing w:after="0"/>
        <w:tabs>
          <w:tab w:leader="none" w:pos="1320" w:val="left"/>
        </w:tabs>
        <w:numPr>
          <w:ilvl w:val="0"/>
          <w:numId w:val="4"/>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00"/>
          </w:cols>
          <w:pgMar w:left="240" w:top="1229" w:right="359" w:bottom="1440" w:gutter="0" w:footer="0" w:header="0"/>
        </w:sectPr>
      </w:pPr>
    </w:p>
    <w:bookmarkStart w:id="4" w:name="page5"/>
    <w:bookmarkEnd w:id="4"/>
    <w:p>
      <w:pPr>
        <w:jc w:val="center"/>
        <w:ind w:right="-339"/>
        <w:spacing w:after="0"/>
        <w:rPr>
          <w:sz w:val="20"/>
          <w:szCs w:val="20"/>
          <w:color w:val="auto"/>
        </w:rPr>
      </w:pPr>
      <w:r>
        <w:rPr>
          <w:rFonts w:ascii="Arial" w:cs="Arial" w:eastAsia="Arial" w:hAnsi="Arial"/>
          <w:sz w:val="21"/>
          <w:szCs w:val="21"/>
          <w:b w:val="1"/>
          <w:bCs w:val="1"/>
          <w:color w:val="auto"/>
        </w:rPr>
        <w:t>SIGNATURE</w:t>
      </w:r>
    </w:p>
    <w:p>
      <w:pPr>
        <w:spacing w:after="0" w:line="246"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After reasonable inquiry and to the best of its knowledge and belief, the undersigned certifies that the information set forth in this statement is true, complete and correct.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Dated: January 28, 2014</w:t>
      </w:r>
    </w:p>
    <w:p>
      <w:pPr>
        <w:spacing w:after="0" w:line="234" w:lineRule="exact"/>
        <w:rPr>
          <w:sz w:val="20"/>
          <w:szCs w:val="20"/>
          <w:color w:val="auto"/>
        </w:rPr>
      </w:pPr>
    </w:p>
    <w:p>
      <w:pPr>
        <w:ind w:left="5540"/>
        <w:spacing w:after="0"/>
        <w:rPr>
          <w:sz w:val="20"/>
          <w:szCs w:val="20"/>
          <w:color w:val="auto"/>
        </w:rPr>
      </w:pPr>
      <w:r>
        <w:rPr>
          <w:rFonts w:ascii="Arial" w:cs="Arial" w:eastAsia="Arial" w:hAnsi="Arial"/>
          <w:sz w:val="21"/>
          <w:szCs w:val="21"/>
          <w:b w:val="1"/>
          <w:bCs w:val="1"/>
          <w:color w:val="auto"/>
        </w:rPr>
        <w:t>SANOFI</w:t>
      </w:r>
    </w:p>
    <w:p>
      <w:pPr>
        <w:spacing w:after="0" w:line="246"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By:/s/ John Felitti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21590</wp:posOffset>
            </wp:positionV>
            <wp:extent cx="26682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68270" cy="17145"/>
                    </a:xfrm>
                    <a:prstGeom prst="rect">
                      <a:avLst/>
                    </a:prstGeom>
                    <a:noFill/>
                  </pic:spPr>
                </pic:pic>
              </a:graphicData>
            </a:graphic>
          </wp:anchor>
        </w:drawing>
      </w:r>
    </w:p>
    <w:p>
      <w:pPr>
        <w:spacing w:after="0" w:line="20" w:lineRule="exact"/>
        <w:rPr>
          <w:sz w:val="20"/>
          <w:szCs w:val="20"/>
          <w:color w:val="auto"/>
        </w:rPr>
      </w:pPr>
    </w:p>
    <w:p>
      <w:pPr>
        <w:ind w:left="5880"/>
        <w:spacing w:after="0"/>
        <w:rPr>
          <w:sz w:val="20"/>
          <w:szCs w:val="20"/>
          <w:color w:val="auto"/>
        </w:rPr>
      </w:pPr>
      <w:r>
        <w:rPr>
          <w:rFonts w:ascii="Arial" w:cs="Arial" w:eastAsia="Arial" w:hAnsi="Arial"/>
          <w:sz w:val="21"/>
          <w:szCs w:val="21"/>
          <w:color w:val="auto"/>
        </w:rPr>
        <w:t>Name: John Felitti</w:t>
      </w:r>
    </w:p>
    <w:p>
      <w:pPr>
        <w:spacing w:after="0" w:line="17" w:lineRule="exact"/>
        <w:rPr>
          <w:sz w:val="20"/>
          <w:szCs w:val="20"/>
          <w:color w:val="auto"/>
        </w:rPr>
      </w:pPr>
    </w:p>
    <w:p>
      <w:pPr>
        <w:ind w:left="5880"/>
        <w:spacing w:after="0"/>
        <w:tabs>
          <w:tab w:leader="none" w:pos="65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Associate Vice President, Corporate Law,</w:t>
      </w:r>
    </w:p>
    <w:p>
      <w:pPr>
        <w:ind w:left="6520"/>
        <w:spacing w:after="0"/>
        <w:rPr>
          <w:sz w:val="20"/>
          <w:szCs w:val="20"/>
          <w:color w:val="auto"/>
        </w:rPr>
      </w:pPr>
      <w:r>
        <w:rPr>
          <w:rFonts w:ascii="Arial" w:cs="Arial" w:eastAsia="Arial" w:hAnsi="Arial"/>
          <w:sz w:val="21"/>
          <w:szCs w:val="21"/>
          <w:color w:val="auto"/>
        </w:rPr>
        <w:t>Financial &amp;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sectPr>
      <w:pgSz w:w="11900" w:h="16838" w:orient="portrait"/>
      <w:cols w:equalWidth="0" w:num="1">
        <w:col w:w="11100"/>
      </w:cols>
      <w:pgMar w:left="240" w:top="50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2019-12-06T03:42:50Z</dcterms:created>
  <dcterms:modified xsi:type="dcterms:W3CDTF">2019-12-06T03:42:50Z</dcterms:modified>
</cp:coreProperties>
</file>