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7077d1_8k.htm"/>
      <w:bookmarkStart w:id="1" w:name="kstm2627077d1_8k"/>
      <w:bookmarkEnd w:id="0"/>
      <w:bookmarkEnd w:id="1"/>
      <w:r>
        <w:rPr>
          <w:bdr w:val="single" w:sz="16" w:space="1" w:color="000000"/>
        </w:rPr>
        <w:t> </w:t>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1001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October 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REGENERON PHARMACEUTICALS,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New York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p>
      <w:pPr>
        <w:pStyle w:val="TextBody"/>
        <w:bidi w:val="0"/>
        <w:spacing w:before="0" w:after="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290"/>
        <w:gridCol w:w="60"/>
        <w:gridCol w:w="1565"/>
      </w:tblGrid>
      <w:tr>
        <w:trPr/>
        <w:tc>
          <w:tcPr>
            <w:tcW w:w="3290" w:type="dxa"/>
            <w:tcBorders/>
            <w:vAlign w:val="center"/>
          </w:tcPr>
          <w:p>
            <w:pPr>
              <w:pStyle w:val="TableContents"/>
              <w:bidi w:val="0"/>
              <w:spacing w:before="0" w:after="283"/>
              <w:jc w:val="center"/>
              <w:rPr>
                <w:b/>
                <w:i w:val="false"/>
                <w:caps w:val="false"/>
                <w:smallCaps w:val="false"/>
                <w:sz w:val="20"/>
              </w:rPr>
            </w:pPr>
            <w:bookmarkStart w:id="6" w:name="xdx_901_edei--EntityFileNumber_c20261001"/>
            <w:bookmarkEnd w:id="6"/>
            <w:r>
              <w:rPr>
                <w:b/>
                <w:i w:val="false"/>
                <w:caps w:val="false"/>
                <w:smallCaps w:val="false"/>
                <w:sz w:val="20"/>
              </w:rPr>
              <w:t>000-19034</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bookmarkStart w:id="7" w:name="xdx_900_edei--EntityTaxIdentificationNum"/>
            <w:bookmarkEnd w:id="7"/>
            <w:r>
              <w:rPr>
                <w:b/>
                <w:i w:val="false"/>
                <w:caps w:val="false"/>
                <w:smallCaps w:val="false"/>
                <w:sz w:val="20"/>
              </w:rPr>
              <w:t>13-3444607</w:t>
            </w:r>
          </w:p>
        </w:tc>
      </w:tr>
      <w:tr>
        <w:trPr/>
        <w:tc>
          <w:tcPr>
            <w:tcW w:w="329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29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center"/>
              <w:rPr>
                <w:i w:val="false"/>
                <w:caps w:val="false"/>
                <w:smallCaps w:val="false"/>
                <w:sz w:val="20"/>
              </w:rPr>
            </w:pPr>
            <w:bookmarkStart w:id="8" w:name="xdx_902_edei--EntityAddressAddressLine1_"/>
            <w:bookmarkEnd w:id="8"/>
            <w:r>
              <w:rPr>
                <w:b/>
                <w:i w:val="false"/>
                <w:caps w:val="false"/>
                <w:smallCaps w:val="false"/>
                <w:sz w:val="20"/>
              </w:rPr>
              <w:t>777 Old Saw Mill River Road</w:t>
            </w:r>
            <w:r>
              <w:rPr>
                <w:i w:val="false"/>
                <w:caps w:val="false"/>
                <w:smallCaps w:val="false"/>
                <w:sz w:val="20"/>
              </w:rPr>
              <w:t xml:space="preserve"> </w:t>
            </w:r>
            <w:r>
              <w:rPr>
                <w:b/>
                <w:i w:val="false"/>
                <w:caps w:val="false"/>
                <w:smallCaps w:val="false"/>
                <w:sz w:val="20"/>
              </w:rPr>
              <w:br/>
            </w:r>
            <w:bookmarkStart w:id="9" w:name="xdx_90D_edei--EntityAddressCityOrTown_c2"/>
            <w:bookmarkEnd w:id="9"/>
            <w:r>
              <w:rPr>
                <w:b/>
                <w:i w:val="false"/>
                <w:caps w:val="false"/>
                <w:smallCaps w:val="false"/>
                <w:sz w:val="20"/>
              </w:rPr>
              <w:t xml:space="preserve">Tarrytown, </w:t>
            </w:r>
            <w:bookmarkStart w:id="10" w:name="xdx_90B_edei--EntityAddressStateOrProvin"/>
            <w:bookmarkEnd w:id="10"/>
            <w:r>
              <w:rPr>
                <w:b/>
                <w:i w:val="false"/>
                <w:caps w:val="false"/>
                <w:smallCaps w:val="false"/>
                <w:sz w:val="20"/>
              </w:rPr>
              <w:t>New York</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bookmarkStart w:id="11" w:name="xdx_907_edei--EntityAddressPostalZipCode"/>
            <w:bookmarkEnd w:id="11"/>
            <w:r>
              <w:rPr>
                <w:b/>
                <w:i w:val="false"/>
                <w:caps w:val="false"/>
                <w:smallCaps w:val="false"/>
                <w:sz w:val="20"/>
              </w:rPr>
              <w:t>10591-6707</w:t>
            </w:r>
          </w:p>
        </w:tc>
      </w:tr>
      <w:tr>
        <w:trPr/>
        <w:tc>
          <w:tcPr>
            <w:tcW w:w="3290"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i w:val="false"/>
                <w:caps w:val="false"/>
                <w:smallCaps w:val="false"/>
                <w:sz w:val="20"/>
              </w:rPr>
            </w:pPr>
            <w:r>
              <w:rPr>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7_edei--CityAreaCode_c20261001__20"/>
      <w:bookmarkEnd w:id="12"/>
      <w:r>
        <w:rPr>
          <w:rFonts w:ascii="Times New Roman;Times;Serif" w:hAnsi="Times New Roman;Times;Serif"/>
          <w:b/>
          <w:i w:val="false"/>
          <w:caps w:val="false"/>
          <w:smallCaps w:val="false"/>
          <w:sz w:val="20"/>
        </w:rPr>
        <w:t xml:space="preserve">914) </w:t>
      </w:r>
      <w:bookmarkStart w:id="13" w:name="xdx_905_edei--LocalPhoneNumber_c20261001"/>
      <w:bookmarkEnd w:id="13"/>
      <w:r>
        <w:rPr>
          <w:rFonts w:ascii="Times New Roman;Times;Serif" w:hAnsi="Times New Roman;Times;Serif"/>
          <w:b/>
          <w:i w:val="false"/>
          <w:caps w:val="false"/>
          <w:smallCaps w:val="false"/>
          <w:sz w:val="20"/>
        </w:rPr>
        <w:t>847-7000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4" w:name="xdx_90E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jc w:val="left"/>
        <w:rPr>
          <w:caps w:val="false"/>
          <w:smallCaps w:val="false"/>
        </w:rPr>
      </w:pPr>
      <w:bookmarkStart w:id="15" w:name="xdx_907_edei--SolicitingMaterial_c202610"/>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jc w:val="left"/>
        <w:rPr>
          <w:caps w:val="false"/>
          <w:smallCaps w:val="false"/>
        </w:rPr>
      </w:pPr>
      <w:bookmarkStart w:id="16" w:name="xdx_901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jc w:val="left"/>
        <w:rPr>
          <w:caps w:val="false"/>
          <w:smallCaps w:val="false"/>
        </w:rPr>
      </w:pPr>
      <w:bookmarkStart w:id="17" w:name="xdx_90D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8745" w:type="dxa"/>
        <w:jc w:val="left"/>
        <w:tblInd w:w="0" w:type="dxa"/>
        <w:tblLayout w:type="fixed"/>
        <w:tblCellMar>
          <w:top w:w="28" w:type="dxa"/>
          <w:left w:w="0" w:type="dxa"/>
          <w:bottom w:w="28" w:type="dxa"/>
          <w:right w:w="108" w:type="dxa"/>
        </w:tblCellMar>
      </w:tblPr>
      <w:tblGrid>
        <w:gridCol w:w="3620"/>
        <w:gridCol w:w="1535"/>
        <w:gridCol w:w="3590"/>
      </w:tblGrid>
      <w:tr>
        <w:trPr/>
        <w:tc>
          <w:tcPr>
            <w:tcW w:w="362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Title of each class</w:t>
            </w:r>
          </w:p>
        </w:tc>
        <w:tc>
          <w:tcPr>
            <w:tcW w:w="15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Trading Symbol(s)</w:t>
            </w:r>
          </w:p>
        </w:tc>
        <w:tc>
          <w:tcPr>
            <w:tcW w:w="359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i w:val="false"/>
                <w:caps w:val="false"/>
                <w:smallCaps w:val="false"/>
                <w:sz w:val="20"/>
              </w:rPr>
            </w:pPr>
            <w:r>
              <w:rPr>
                <w:i w:val="false"/>
                <w:caps w:val="false"/>
                <w:smallCaps w:val="false"/>
                <w:sz w:val="20"/>
              </w:rPr>
              <w:t>Name of each exchange on which registered</w:t>
            </w:r>
          </w:p>
        </w:tc>
      </w:tr>
      <w:tr>
        <w:trPr/>
        <w:tc>
          <w:tcPr>
            <w:tcW w:w="3620"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i w:val="false"/>
                <w:caps w:val="false"/>
                <w:smallCaps w:val="false"/>
                <w:sz w:val="20"/>
              </w:rPr>
            </w:pPr>
            <w:bookmarkStart w:id="18" w:name="xdx_900_edei--Security12bTitle_c20261001"/>
            <w:bookmarkEnd w:id="18"/>
            <w:r>
              <w:rPr>
                <w:i w:val="false"/>
                <w:caps w:val="false"/>
                <w:smallCaps w:val="false"/>
                <w:sz w:val="20"/>
              </w:rPr>
              <w:t>Common Stock – par value $0.001 per share</w:t>
            </w:r>
          </w:p>
        </w:tc>
        <w:tc>
          <w:tcPr>
            <w:tcW w:w="1535" w:type="dxa"/>
            <w:tcBorders>
              <w:bottom w:val="single" w:sz="8" w:space="0" w:color="000000"/>
              <w:right w:val="single" w:sz="8" w:space="0" w:color="000000"/>
            </w:tcBorders>
            <w:tcMar>
              <w:top w:w="0" w:type="dxa"/>
            </w:tcMar>
            <w:vAlign w:val="center"/>
          </w:tcPr>
          <w:p>
            <w:pPr>
              <w:pStyle w:val="TableContents"/>
              <w:bidi w:val="0"/>
              <w:spacing w:before="0" w:after="283"/>
              <w:jc w:val="center"/>
              <w:rPr>
                <w:i w:val="false"/>
                <w:caps w:val="false"/>
                <w:smallCaps w:val="false"/>
                <w:sz w:val="20"/>
              </w:rPr>
            </w:pPr>
            <w:bookmarkStart w:id="19" w:name="xdx_904_edei--TradingSymbol_c20261001__2"/>
            <w:bookmarkEnd w:id="19"/>
            <w:r>
              <w:rPr>
                <w:i w:val="false"/>
                <w:caps w:val="false"/>
                <w:smallCaps w:val="false"/>
                <w:sz w:val="20"/>
              </w:rPr>
              <w:t>REGN</w:t>
            </w:r>
          </w:p>
        </w:tc>
        <w:tc>
          <w:tcPr>
            <w:tcW w:w="3590" w:type="dxa"/>
            <w:tcBorders>
              <w:bottom w:val="single" w:sz="8" w:space="0" w:color="000000"/>
              <w:right w:val="single" w:sz="8" w:space="0" w:color="000000"/>
            </w:tcBorders>
            <w:tcMar>
              <w:top w:w="0" w:type="dxa"/>
            </w:tcMar>
            <w:vAlign w:val="center"/>
          </w:tcPr>
          <w:p>
            <w:pPr>
              <w:pStyle w:val="TableContents"/>
              <w:bidi w:val="0"/>
              <w:spacing w:before="0" w:after="283"/>
              <w:jc w:val="center"/>
              <w:rPr>
                <w:i w:val="false"/>
                <w:caps w:val="false"/>
                <w:smallCaps w:val="false"/>
                <w:sz w:val="20"/>
              </w:rPr>
            </w:pPr>
            <w:bookmarkStart w:id="20" w:name="xdx_905_edei--SecurityExchangeName_c2026"/>
            <w:bookmarkEnd w:id="20"/>
            <w:r>
              <w:rPr>
                <w:i w:val="false"/>
                <w:caps w:val="false"/>
                <w:smallCaps w:val="false"/>
                <w:sz w:val="20"/>
              </w:rPr>
              <w:t>The Nasdaq Global Select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Regeneron Pharmaceuticals, Inc., a New York corporation (“</w:t>
      </w:r>
      <w:r>
        <w:rPr>
          <w:rFonts w:ascii="Times New Roman;Times;Serif" w:hAnsi="Times New Roman;Times;Serif"/>
          <w:b w:val="false"/>
          <w:i w:val="false"/>
          <w:caps w:val="false"/>
          <w:smallCaps w:val="false"/>
          <w:sz w:val="20"/>
          <w:u w:val="single"/>
        </w:rPr>
        <w:t>Regeneron</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Sanofi Biotechnology SAS, a </w:t>
      </w:r>
      <w:r>
        <w:rPr>
          <w:rFonts w:ascii="Times New Roman;Times;Serif" w:hAnsi="Times New Roman;Times;Serif"/>
          <w:b w:val="false"/>
          <w:i/>
          <w:caps w:val="false"/>
          <w:smallCaps w:val="false"/>
          <w:sz w:val="20"/>
        </w:rPr>
        <w:t>société par actions simplifée</w:t>
      </w:r>
      <w:r>
        <w:rPr>
          <w:rFonts w:ascii="Times New Roman;Times;Serif" w:hAnsi="Times New Roman;Times;Serif"/>
          <w:b w:val="false"/>
          <w:i w:val="false"/>
          <w:caps w:val="false"/>
          <w:smallCaps w:val="false"/>
          <w:sz w:val="20"/>
        </w:rPr>
        <w:t xml:space="preserve"> organized under the laws of France (“</w:t>
      </w:r>
      <w:r>
        <w:rPr>
          <w:rFonts w:ascii="Times New Roman;Times;Serif" w:hAnsi="Times New Roman;Times;Serif"/>
          <w:b w:val="false"/>
          <w:i w:val="false"/>
          <w:caps w:val="false"/>
          <w:smallCaps w:val="false"/>
          <w:sz w:val="20"/>
          <w:u w:val="single"/>
        </w:rPr>
        <w:t>Sanofi Biotechnology</w:t>
      </w:r>
      <w:r>
        <w:rPr>
          <w:rFonts w:ascii="Times New Roman;Times;Serif" w:hAnsi="Times New Roman;Times;Serif"/>
          <w:b w:val="false"/>
          <w:i w:val="false"/>
          <w:caps w:val="false"/>
          <w:smallCaps w:val="false"/>
          <w:sz w:val="20"/>
        </w:rPr>
        <w:t xml:space="preserve">”), and Sanofi, a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xml:space="preserve"> organized under the laws of France (“</w:t>
      </w:r>
      <w:r>
        <w:rPr>
          <w:rFonts w:ascii="Times New Roman;Times;Serif" w:hAnsi="Times New Roman;Times;Serif"/>
          <w:b w:val="false"/>
          <w:i w:val="false"/>
          <w:caps w:val="false"/>
          <w:smallCaps w:val="false"/>
          <w:sz w:val="20"/>
          <w:u w:val="single"/>
        </w:rPr>
        <w:t>Sanofi Parent</w:t>
      </w:r>
      <w:r>
        <w:rPr>
          <w:rFonts w:ascii="Times New Roman;Times;Serif" w:hAnsi="Times New Roman;Times;Serif"/>
          <w:b w:val="false"/>
          <w:i w:val="false"/>
          <w:caps w:val="false"/>
          <w:smallCaps w:val="false"/>
          <w:sz w:val="20"/>
        </w:rPr>
        <w:t>” and, with Sanofi Biotechnology, “</w:t>
      </w:r>
      <w:r>
        <w:rPr>
          <w:rFonts w:ascii="Times New Roman;Times;Serif" w:hAnsi="Times New Roman;Times;Serif"/>
          <w:b w:val="false"/>
          <w:i w:val="false"/>
          <w:caps w:val="false"/>
          <w:smallCaps w:val="false"/>
          <w:sz w:val="20"/>
          <w:u w:val="single"/>
        </w:rPr>
        <w:t>Sanofi</w:t>
      </w:r>
      <w:r>
        <w:rPr>
          <w:rFonts w:ascii="Times New Roman;Times;Serif" w:hAnsi="Times New Roman;Times;Serif"/>
          <w:b w:val="false"/>
          <w:i w:val="false"/>
          <w:caps w:val="false"/>
          <w:smallCaps w:val="false"/>
          <w:sz w:val="20"/>
        </w:rPr>
        <w:t>”), entered into the Sixth Amendment to the Amended and Restated License and Collaboration Agreement (the “</w:t>
      </w:r>
      <w:r>
        <w:rPr>
          <w:rFonts w:ascii="Times New Roman;Times;Serif" w:hAnsi="Times New Roman;Times;Serif"/>
          <w:b w:val="false"/>
          <w:i w:val="false"/>
          <w:caps w:val="false"/>
          <w:smallCaps w:val="false"/>
          <w:sz w:val="20"/>
          <w:u w:val="single"/>
        </w:rPr>
        <w:t>Sixth Amendment</w:t>
      </w:r>
      <w:r>
        <w:rPr>
          <w:rFonts w:ascii="Times New Roman;Times;Serif" w:hAnsi="Times New Roman;Times;Serif"/>
          <w:b w:val="false"/>
          <w:i w:val="false"/>
          <w:caps w:val="false"/>
          <w:smallCaps w:val="false"/>
          <w:sz w:val="20"/>
        </w:rPr>
        <w:t>”), which amends the Amended and Restated License and Collaboration Agreement, dated as of November 10, 2009 (as amended), by and between the Company, Sanofi Biotechnology (as successor in interest to Aventis Pharmaceuticals Inc.), and Sanofi Parent (the “</w:t>
      </w:r>
      <w:r>
        <w:rPr>
          <w:rFonts w:ascii="Times New Roman;Times;Serif" w:hAnsi="Times New Roman;Times;Serif"/>
          <w:b w:val="false"/>
          <w:i w:val="false"/>
          <w:caps w:val="false"/>
          <w:smallCaps w:val="false"/>
          <w:sz w:val="20"/>
          <w:u w:val="single"/>
        </w:rPr>
        <w:t>Antibody LCA</w:t>
      </w:r>
      <w:r>
        <w:rPr>
          <w:rFonts w:ascii="Times New Roman;Times;Serif" w:hAnsi="Times New Roman;Times;Serif"/>
          <w:b w:val="false"/>
          <w:i w:val="false"/>
          <w:caps w:val="false"/>
          <w:smallCaps w:val="false"/>
          <w:sz w:val="20"/>
        </w:rPr>
        <w:t>”). Pursuant to the Sixth Amendment, the parties have agreed to co-develop and co-commercialize four new long-acting, Regeneron-invented antibodies: (i) an antibody targeting interleukin-13 (“</w:t>
      </w:r>
      <w:r>
        <w:rPr>
          <w:rFonts w:ascii="Times New Roman;Times;Serif" w:hAnsi="Times New Roman;Times;Serif"/>
          <w:b w:val="false"/>
          <w:i w:val="false"/>
          <w:caps w:val="false"/>
          <w:smallCaps w:val="false"/>
          <w:sz w:val="20"/>
          <w:u w:val="single"/>
        </w:rPr>
        <w:t>IL-13</w:t>
      </w:r>
      <w:r>
        <w:rPr>
          <w:rFonts w:ascii="Times New Roman;Times;Serif" w:hAnsi="Times New Roman;Times;Serif"/>
          <w:b w:val="false"/>
          <w:i w:val="false"/>
          <w:caps w:val="false"/>
          <w:smallCaps w:val="false"/>
          <w:sz w:val="20"/>
        </w:rPr>
        <w:t>”), (ii) an antibody targeting interleukin-4 (“</w:t>
      </w:r>
      <w:r>
        <w:rPr>
          <w:rFonts w:ascii="Times New Roman;Times;Serif" w:hAnsi="Times New Roman;Times;Serif"/>
          <w:b w:val="false"/>
          <w:i w:val="false"/>
          <w:caps w:val="false"/>
          <w:smallCaps w:val="false"/>
          <w:sz w:val="20"/>
          <w:u w:val="single"/>
        </w:rPr>
        <w:t>IL-4</w:t>
      </w:r>
      <w:r>
        <w:rPr>
          <w:rFonts w:ascii="Times New Roman;Times;Serif" w:hAnsi="Times New Roman;Times;Serif"/>
          <w:b w:val="false"/>
          <w:i w:val="false"/>
          <w:caps w:val="false"/>
          <w:smallCaps w:val="false"/>
          <w:sz w:val="20"/>
        </w:rPr>
        <w:t>”), (iii) an antibody targeting IL-4 receptor alpha (IL-4Rα), and (iv) a bispecific antibody targeting IL-4xIL-13 (each, a “</w:t>
      </w:r>
      <w:r>
        <w:rPr>
          <w:rFonts w:ascii="Times New Roman;Times;Serif" w:hAnsi="Times New Roman;Times;Serif"/>
          <w:b w:val="false"/>
          <w:i w:val="false"/>
          <w:caps w:val="false"/>
          <w:smallCaps w:val="false"/>
          <w:sz w:val="20"/>
          <w:u w:val="single"/>
        </w:rPr>
        <w:t>New Licensed Product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New Licensed Products</w:t>
      </w:r>
      <w:r>
        <w:rPr>
          <w:rFonts w:ascii="Times New Roman;Times;Serif" w:hAnsi="Times New Roman;Times;Serif"/>
          <w:b w:val="false"/>
          <w:i w:val="false"/>
          <w:caps w:val="false"/>
          <w:smallCaps w:val="false"/>
          <w:sz w:val="20"/>
        </w:rPr>
        <w:t>”). Regeneron will also have the option, on an asset-by-asset basis after completion of certain ongoing clinical trials, to include in the collaboration Sanofi’s Phase 2/3 asset lunsekimig, an investigational bispecific Nanobody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VHH therapy targeting thymic stromal lymphopoietin (TSLP) and IL-13, and another Sanofi early development product. In the event Regeneron exercises this option for any such product, it will reimburse Sanofi for certain development costs related to such product.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Sixth Amendment, Sanofi will make an upfront payment to Regeneron of $1.0 billion. In addition, the Sixth Amendment provides that Regeneron will be entitled to receive up to an additional $7.0 billion of payments in the aggregate upon the achievement of certain development, regulatory, and commercial milestones with respect to the New Licensed Products. Global profits realized on the sale of New Licensed Products will be shared equally between Regeneron and Sanofi, as calculated under the Antibody LCA.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Sixth Amendment, the parties have agreed on an initial global development plan for the IL-13 asset and are to agree on an initial global development plan for each of the other New Licensed Products. All development costs incurred with respect to all licensed products under the Antibody LCA, including the New Licensed Products, will be shared equally by the parties. In addition, development costs in excess of a budget cap for all New Licensed Products will be the responsibility of Regeneron, subject to certain rights to recoup such excess costs in future years. Regeneron will be the lead development party and the lead regulatory party prior to the filing of an application for marketing approval for each New Licensed Product. Regeneron will remain the lead regulatory party for applications for marketing approval and further commercialization in the United States, and Sanofi will be the lead regulatory party for applications for marketing approval and further commercialization outside the United States. Sanofi will be the lead party with respect to the commercialization of the New Licensed Products.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Sixth Amendment is qualified in its entirety by reference to the full text of the Sixth Amendment, a copy of which will be filed with the U.S. Securities and Exchange Commission as an exhibit to the Quarterly Report on Form 10-Q to be filed by the Company for the quarterly period ended September 30, 2026. </w:t>
      </w:r>
    </w:p>
    <w:p>
      <w:pPr>
        <w:pStyle w:val="TextBody"/>
        <w:bidi w:val="0"/>
        <w:spacing w:before="0" w:after="0"/>
        <w:jc w:val="left"/>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38"/>
        <w:gridCol w:w="1025"/>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2.02.</w:t>
            </w:r>
          </w:p>
        </w:tc>
        <w:tc>
          <w:tcPr>
            <w:tcW w:w="4865" w:type="dxa"/>
            <w:tcBorders/>
            <w:vAlign w:val="center"/>
          </w:tcPr>
          <w:p>
            <w:pPr>
              <w:pStyle w:val="TableContents"/>
              <w:bidi w:val="0"/>
              <w:spacing w:before="0" w:after="283"/>
              <w:jc w:val="left"/>
              <w:rPr>
                <w:b/>
              </w:rPr>
            </w:pPr>
            <w:r>
              <w:rPr>
                <w:b/>
              </w:rPr>
              <w:t xml:space="preserve">Results of Operations and Financial Condition.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Regeneron currently expects that its financial results calculated in accordance with U.S. generally accepted accounting principles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and its non-GAAP financial results for the third quarter 2026 will include an acquired in-process research and development (“</w:t>
      </w:r>
      <w:r>
        <w:rPr>
          <w:rFonts w:ascii="Times New Roman;Times;Serif" w:hAnsi="Times New Roman;Times;Serif"/>
          <w:b w:val="false"/>
          <w:i w:val="false"/>
          <w:caps w:val="false"/>
          <w:smallCaps w:val="false"/>
          <w:sz w:val="20"/>
          <w:u w:val="single"/>
        </w:rPr>
        <w:t>IPR&amp;D</w:t>
      </w:r>
      <w:r>
        <w:rPr>
          <w:rFonts w:ascii="Times New Roman;Times;Serif" w:hAnsi="Times New Roman;Times;Serif"/>
          <w:b w:val="false"/>
          <w:i w:val="false"/>
          <w:caps w:val="false"/>
          <w:smallCaps w:val="false"/>
          <w:sz w:val="20"/>
        </w:rPr>
        <w:t>”) charge of approximately $22 million on a pre-tax basis. The acquired IPR&amp;D charge is expected to negatively impact each of GAAP and non-GAAP net income per diluted share for the third quarter 2026 by approximately $0.18.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Acquired IPR&amp;D charges may include IPR&amp;D acquired in connection with asset acquisitions as well as up-front, opt-in, and development milestone payments and premiums paid on equity securities related to collaboration and licensing agreements. Regeneron does not forecast such acquired IPR&amp;D charges due to the uncertainty of the future occurrence, magnitude, and timing of these transactions in any given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Regeneron’s results for the third quarter 2026 have not been finalized and are subject to Regeneron’s financial statement closing procedures. There can be no assurance that actual results will not differ from the preliminary (unaudited) estimates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this Item 2.02 shall not be deemed “filed” for purposes of Section 18 of the Securities Exchange Act of 1934, as amended, nor shall such information be deemed incorporated by reference in any filing under the Securities Act of 1933, as amended, except as shall be expressly set forth by specific reference in such a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02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Sixth Amendment, Regeneron and Sanofi entered into a settlement agreement pursuant to which Regeneron agreed to dismiss its lawsuit concerning Sanofi’s obligation to provide Regeneron with full access to material information relating to the commercialization of Dupixent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(dupilumab) and other products commercialized pursuant to the Antibody LCA, and Regeneron’s audit rights under the Antibody LCA.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Regarding Forward-Looking Statements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Current Report on Form 8-K (this “</w:t>
      </w:r>
      <w:r>
        <w:rPr>
          <w:rFonts w:ascii="Times New Roman;Times;Serif" w:hAnsi="Times New Roman;Times;Serif"/>
          <w:b w:val="false"/>
          <w:i/>
          <w:caps w:val="false"/>
          <w:smallCaps w:val="false"/>
          <w:sz w:val="20"/>
          <w:u w:val="single"/>
        </w:rPr>
        <w:t>Report</w:t>
      </w:r>
      <w:r>
        <w:rPr>
          <w:rFonts w:ascii="Times New Roman;Times;Serif" w:hAnsi="Times New Roman;Times;Serif"/>
          <w:b w:val="false"/>
          <w:i/>
          <w:caps w:val="false"/>
          <w:smallCaps w:val="false"/>
          <w:sz w:val="20"/>
        </w:rPr>
        <w:t>”) includes forward-looking statements that involve risks and uncertainties relating to future events and the future performance of Regeneron,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Company’s expectations with regard to the development and commercialization of the New Licensed Products and the amounts to be received pursuant to the Sixth Amendment, as well as the Company’s expected acquired in-process research and development charge for the quarterly period ended September 30, 2026 and its expected impact on GAAP and non-GAAP net income per diluted share for this period, as discussed in this Report. A more complete description of these and other material risks can be found in Regeneron’s filings with the U.S. Securities and Exchange Commission. Any forward-looking statements are made based on management’s current beliefs and judgment, and the reader is cautioned not to rely on any forward-looking statements made by Regeneron. The Company does not undertake any obligation to update (publicly or otherwise) any forward-looking statement, including, without limitation, any financial projection or guidance, whether as a result of new information, future events,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 Regarding Non-GAAP Financial Measures</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Report references non-GAAP net income per diluted share, which is a financial measure that is not calculated in accordance with U.S. Generally Accepted Accounting Principles (“</w:t>
      </w:r>
      <w:r>
        <w:rPr>
          <w:rFonts w:ascii="Times New Roman;Times;Serif" w:hAnsi="Times New Roman;Times;Serif"/>
          <w:b w:val="false"/>
          <w:i/>
          <w:caps w:val="false"/>
          <w:smallCaps w:val="false"/>
          <w:sz w:val="20"/>
          <w:u w:val="single"/>
        </w:rPr>
        <w:t>GAAP</w:t>
      </w:r>
      <w:r>
        <w:rPr>
          <w:rFonts w:ascii="Times New Roman;Times;Serif" w:hAnsi="Times New Roman;Times;Serif"/>
          <w:b w:val="false"/>
          <w:i/>
          <w:caps w:val="false"/>
          <w:smallCaps w:val="false"/>
          <w:sz w:val="20"/>
        </w:rPr>
        <w:t>”). This non-GAAP financial measure is computed by excluding certain non-cash and/or other items from the related GAAP financial measure. The Company also includes a non-GAAP adjustment for the estimated income tax effect of reconciling items. The Company makes such adjustments for items the Company does not view as useful in evaluating its operating performance. Management uses this and other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such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7020" w:type="dxa"/>
        <w:jc w:val="left"/>
        <w:tblInd w:w="0" w:type="dxa"/>
        <w:tblLayout w:type="fixed"/>
        <w:tblCellMar>
          <w:top w:w="0" w:type="dxa"/>
          <w:left w:w="0" w:type="dxa"/>
          <w:bottom w:w="0" w:type="dxa"/>
          <w:right w:w="0" w:type="dxa"/>
        </w:tblCellMar>
      </w:tblPr>
      <w:tblGrid>
        <w:gridCol w:w="1820"/>
        <w:gridCol w:w="545"/>
        <w:gridCol w:w="4655"/>
      </w:tblGrid>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6, 2026</w:t>
            </w:r>
          </w:p>
        </w:tc>
        <w:tc>
          <w:tcPr>
            <w:tcW w:w="52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REGENERON PHARMACEUTICALS, INC.</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J. LaRosa</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J. LaRosa</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1654</Words>
  <Characters>9564</Characters>
  <CharactersWithSpaces>11213</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