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7677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677150"/>
                    </a:xfrm>
                    <a:prstGeom prst="rect">
                      <a:avLst/>
                    </a:prstGeom>
                    <a:noFill/>
                  </pic:spPr>
                </pic:pic>
              </a:graphicData>
            </a:graphic>
          </wp:anchor>
        </w:drawing>
      </w:r>
    </w:p>
    <w:p>
      <w:pPr>
        <w:spacing w:after="0" w:line="38" w:lineRule="exact"/>
        <w:rPr>
          <w:sz w:val="24"/>
          <w:szCs w:val="24"/>
          <w:color w:val="auto"/>
        </w:rPr>
      </w:pPr>
    </w:p>
    <w:p>
      <w:pPr>
        <w:sectPr>
          <w:pgSz w:w="11900" w:h="16862" w:orient="portrait"/>
          <w:cols w:equalWidth="0" w:num="2">
            <w:col w:w="2280" w:space="240"/>
            <w:col w:w="8560"/>
          </w:cols>
          <w:pgMar w:left="460" w:top="222"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COLES N ANTHONY</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8"/>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4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Borders>
              <w:top w:val="single" w:sz="8" w:color="2C2C2C"/>
            </w:tcBorders>
          </w:tcPr>
          <w:p>
            <w:pPr>
              <w:spacing w:after="0"/>
              <w:rPr>
                <w:sz w:val="9"/>
                <w:szCs w:val="9"/>
                <w:color w:val="auto"/>
              </w:rPr>
            </w:pPr>
          </w:p>
        </w:tc>
        <w:tc>
          <w:tcPr>
            <w:tcW w:w="100" w:type="dxa"/>
            <w:vAlign w:val="bottom"/>
            <w:tcBorders>
              <w:top w:val="single" w:sz="8" w:color="2C2C2C"/>
            </w:tcBorders>
          </w:tcPr>
          <w:p>
            <w:pPr>
              <w:spacing w:after="0"/>
              <w:rPr>
                <w:sz w:val="9"/>
                <w:szCs w:val="9"/>
                <w:color w:val="auto"/>
              </w:rPr>
            </w:pPr>
          </w:p>
        </w:tc>
        <w:tc>
          <w:tcPr>
            <w:tcW w:w="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continue"/>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6"/>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600" w:type="dxa"/>
            <w:vAlign w:val="bottom"/>
            <w:gridSpan w:val="7"/>
          </w:tcPr>
          <w:p>
            <w:pPr>
              <w:ind w:left="240"/>
              <w:spacing w:after="0"/>
              <w:rPr>
                <w:sz w:val="20"/>
                <w:szCs w:val="20"/>
                <w:color w:val="auto"/>
              </w:rPr>
            </w:pPr>
            <w:r>
              <w:rPr>
                <w:rFonts w:ascii="Arial" w:cs="Arial" w:eastAsia="Arial" w:hAnsi="Arial"/>
                <w:sz w:val="17"/>
                <w:szCs w:val="17"/>
                <w:color w:val="0000FF"/>
              </w:rPr>
              <w:t>12/28/2022</w:t>
            </w: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80" w:type="dxa"/>
            <w:vAlign w:val="bottom"/>
            <w:gridSpan w:val="8"/>
            <w:vMerge w:val="continue"/>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8"/>
          </w:tcPr>
          <w:p>
            <w:pPr>
              <w:jc w:val="center"/>
              <w:ind w:left="116"/>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7"/>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5"/>
          </w:tcPr>
          <w:p>
            <w:pPr>
              <w:jc w:val="center"/>
              <w:ind w:left="526"/>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jc w:val="center"/>
              <w:ind w:right="20"/>
              <w:spacing w:after="0" w:line="130"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7"/>
                <w:szCs w:val="17"/>
                <w:color w:val="0000FF"/>
                <w:w w:val="89"/>
              </w:rPr>
              <w:t>12/28/2022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89"/>
              </w:rPr>
              <w:t>2,145</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374.12</w:t>
            </w:r>
          </w:p>
        </w:tc>
        <w:tc>
          <w:tcPr>
            <w:tcW w:w="116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3,238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7"/>
                <w:szCs w:val="17"/>
                <w:color w:val="0000FF"/>
                <w:w w:val="89"/>
              </w:rPr>
              <w:t>12/28/2022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89"/>
              </w:rPr>
              <w:t>3,613</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482.68</w:t>
            </w:r>
          </w:p>
        </w:tc>
        <w:tc>
          <w:tcPr>
            <w:tcW w:w="116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6,851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7"/>
                <w:szCs w:val="17"/>
                <w:color w:val="0000FF"/>
                <w:w w:val="89"/>
              </w:rPr>
              <w:t>12/28/2022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91"/>
              </w:rPr>
              <w:t>181</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707.87</w:t>
            </w:r>
          </w:p>
        </w:tc>
        <w:tc>
          <w:tcPr>
            <w:tcW w:w="116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6,670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7"/>
                <w:szCs w:val="17"/>
                <w:color w:val="0000FF"/>
                <w:w w:val="89"/>
              </w:rPr>
              <w:t>12/28/2022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rPr>
              <w:t>1</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709.92</w:t>
            </w:r>
          </w:p>
        </w:tc>
        <w:tc>
          <w:tcPr>
            <w:tcW w:w="116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6,669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7"/>
                <w:szCs w:val="17"/>
                <w:color w:val="0000FF"/>
                <w:w w:val="89"/>
              </w:rPr>
              <w:t>12/28/2022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91"/>
              </w:rPr>
              <w:t>679</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710.63</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5,990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7"/>
                <w:szCs w:val="17"/>
                <w:color w:val="0000FF"/>
                <w:w w:val="89"/>
              </w:rPr>
              <w:t>12/28/2022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91"/>
              </w:rPr>
              <w:t>100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711.95</w:t>
            </w:r>
          </w:p>
        </w:tc>
        <w:tc>
          <w:tcPr>
            <w:tcW w:w="116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5,890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7"/>
                <w:szCs w:val="17"/>
                <w:color w:val="0000FF"/>
                <w:w w:val="89"/>
              </w:rPr>
              <w:t>12/28/2022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89"/>
              </w:rPr>
              <w:t>1,198</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713.66</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4,692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7"/>
                <w:szCs w:val="17"/>
                <w:color w:val="0000FF"/>
                <w:w w:val="89"/>
              </w:rPr>
              <w:t>12/28/2022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89"/>
              </w:rPr>
              <w:t>1,022</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714.61</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3,670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7"/>
                <w:szCs w:val="17"/>
                <w:color w:val="0000FF"/>
                <w:w w:val="89"/>
              </w:rPr>
              <w:t>12/28/2022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89"/>
              </w:rPr>
              <w:t>2,266</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715.48</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1,404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7"/>
                <w:szCs w:val="17"/>
                <w:color w:val="0000FF"/>
                <w:w w:val="89"/>
              </w:rPr>
              <w:t>12/28/2022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91"/>
              </w:rPr>
              <w:t>311</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716.08</w:t>
            </w:r>
            <w:r>
              <w:rPr>
                <w:rFonts w:ascii="Arial" w:cs="Arial" w:eastAsia="Arial" w:hAnsi="Arial"/>
                <w:sz w:val="21"/>
                <w:szCs w:val="21"/>
                <w:color w:val="008000"/>
                <w:w w:val="86"/>
                <w:vertAlign w:val="superscript"/>
              </w:rPr>
              <w:t>(6)</w:t>
            </w:r>
          </w:p>
        </w:tc>
        <w:tc>
          <w:tcPr>
            <w:tcW w:w="116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1,093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18"/>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8"/>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374.12</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12/28/2022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0000FF"/>
              </w:rPr>
              <w:t>2,145</w:t>
            </w:r>
          </w:p>
        </w:tc>
        <w:tc>
          <w:tcPr>
            <w:tcW w:w="760" w:type="dxa"/>
            <w:vAlign w:val="bottom"/>
          </w:tcPr>
          <w:p>
            <w:pPr>
              <w:ind w:left="280"/>
              <w:spacing w:after="0"/>
              <w:rPr>
                <w:sz w:val="20"/>
                <w:szCs w:val="20"/>
                <w:color w:val="auto"/>
              </w:rPr>
            </w:pPr>
            <w:r>
              <w:rPr>
                <w:rFonts w:ascii="Arial" w:cs="Arial" w:eastAsia="Arial" w:hAnsi="Arial"/>
                <w:sz w:val="11"/>
                <w:szCs w:val="11"/>
                <w:color w:val="008000"/>
              </w:rPr>
              <w:t>(7)</w:t>
            </w:r>
          </w:p>
        </w:tc>
        <w:tc>
          <w:tcPr>
            <w:tcW w:w="720" w:type="dxa"/>
            <w:vAlign w:val="bottom"/>
          </w:tcPr>
          <w:p>
            <w:pPr>
              <w:ind w:left="40"/>
              <w:spacing w:after="0"/>
              <w:rPr>
                <w:sz w:val="20"/>
                <w:szCs w:val="20"/>
                <w:color w:val="auto"/>
              </w:rPr>
            </w:pPr>
            <w:r>
              <w:rPr>
                <w:rFonts w:ascii="Arial" w:cs="Arial" w:eastAsia="Arial" w:hAnsi="Arial"/>
                <w:sz w:val="13"/>
                <w:szCs w:val="13"/>
                <w:color w:val="0000FF"/>
              </w:rPr>
              <w:t>01/02/2030</w:t>
            </w:r>
          </w:p>
        </w:tc>
        <w:tc>
          <w:tcPr>
            <w:tcW w:w="640" w:type="dxa"/>
            <w:vAlign w:val="bottom"/>
            <w:gridSpan w:val="2"/>
          </w:tcPr>
          <w:p>
            <w:pPr>
              <w:jc w:val="center"/>
              <w:ind w:right="40"/>
              <w:spacing w:after="0"/>
              <w:rPr>
                <w:sz w:val="20"/>
                <w:szCs w:val="20"/>
                <w:color w:val="auto"/>
              </w:rPr>
            </w:pPr>
            <w:r>
              <w:rPr>
                <w:rFonts w:ascii="Arial" w:cs="Arial" w:eastAsia="Arial" w:hAnsi="Arial"/>
                <w:sz w:val="13"/>
                <w:szCs w:val="13"/>
                <w:color w:val="0000FF"/>
                <w:w w:val="90"/>
              </w:rPr>
              <w:t>Common</w:t>
            </w:r>
          </w:p>
        </w:tc>
        <w:tc>
          <w:tcPr>
            <w:tcW w:w="20" w:type="dxa"/>
            <w:vAlign w:val="bottom"/>
          </w:tcPr>
          <w:p>
            <w:pPr>
              <w:spacing w:after="0"/>
              <w:rPr>
                <w:sz w:val="16"/>
                <w:szCs w:val="16"/>
                <w:color w:val="auto"/>
              </w:rPr>
            </w:pP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2,145</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jc w:val="right"/>
              <w:ind w:right="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gridSpan w:val="3"/>
          </w:tcPr>
          <w:p>
            <w:pPr>
              <w:ind w:left="60"/>
              <w:spacing w:after="0" w:line="95" w:lineRule="exact"/>
              <w:rPr>
                <w:sz w:val="20"/>
                <w:szCs w:val="20"/>
                <w:color w:val="auto"/>
              </w:rPr>
            </w:pPr>
            <w:r>
              <w:rPr>
                <w:rFonts w:ascii="Arial" w:cs="Arial" w:eastAsia="Arial" w:hAnsi="Arial"/>
                <w:sz w:val="11"/>
                <w:szCs w:val="11"/>
                <w:color w:val="0000FF"/>
              </w:rPr>
              <w:t>Option</w:t>
            </w: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gridSpan w:val="2"/>
          </w:tcPr>
          <w:p>
            <w:pPr>
              <w:jc w:val="center"/>
              <w:ind w:right="60"/>
              <w:spacing w:after="0" w:line="95" w:lineRule="exact"/>
              <w:rPr>
                <w:sz w:val="20"/>
                <w:szCs w:val="20"/>
                <w:color w:val="auto"/>
              </w:rPr>
            </w:pPr>
            <w:r>
              <w:rPr>
                <w:rFonts w:ascii="Arial" w:cs="Arial" w:eastAsia="Arial" w:hAnsi="Arial"/>
                <w:sz w:val="11"/>
                <w:szCs w:val="11"/>
                <w:color w:val="0000FF"/>
              </w:rPr>
              <w:t>Stock</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482.68</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12/28/2022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0000FF"/>
              </w:rPr>
              <w:t>3,613</w:t>
            </w:r>
          </w:p>
        </w:tc>
        <w:tc>
          <w:tcPr>
            <w:tcW w:w="760" w:type="dxa"/>
            <w:vAlign w:val="bottom"/>
          </w:tcPr>
          <w:p>
            <w:pPr>
              <w:ind w:left="280"/>
              <w:spacing w:after="0"/>
              <w:rPr>
                <w:sz w:val="20"/>
                <w:szCs w:val="20"/>
                <w:color w:val="auto"/>
              </w:rPr>
            </w:pPr>
            <w:r>
              <w:rPr>
                <w:rFonts w:ascii="Arial" w:cs="Arial" w:eastAsia="Arial" w:hAnsi="Arial"/>
                <w:sz w:val="11"/>
                <w:szCs w:val="11"/>
                <w:color w:val="008000"/>
              </w:rPr>
              <w:t>(7)</w:t>
            </w:r>
          </w:p>
        </w:tc>
        <w:tc>
          <w:tcPr>
            <w:tcW w:w="720" w:type="dxa"/>
            <w:vAlign w:val="bottom"/>
          </w:tcPr>
          <w:p>
            <w:pPr>
              <w:ind w:left="40"/>
              <w:spacing w:after="0"/>
              <w:rPr>
                <w:sz w:val="20"/>
                <w:szCs w:val="20"/>
                <w:color w:val="auto"/>
              </w:rPr>
            </w:pPr>
            <w:r>
              <w:rPr>
                <w:rFonts w:ascii="Arial" w:cs="Arial" w:eastAsia="Arial" w:hAnsi="Arial"/>
                <w:sz w:val="13"/>
                <w:szCs w:val="13"/>
                <w:color w:val="0000FF"/>
              </w:rPr>
              <w:t>01/04/2031</w:t>
            </w:r>
          </w:p>
        </w:tc>
        <w:tc>
          <w:tcPr>
            <w:tcW w:w="640" w:type="dxa"/>
            <w:vAlign w:val="bottom"/>
            <w:gridSpan w:val="2"/>
          </w:tcPr>
          <w:p>
            <w:pPr>
              <w:jc w:val="center"/>
              <w:ind w:right="40"/>
              <w:spacing w:after="0"/>
              <w:rPr>
                <w:sz w:val="20"/>
                <w:szCs w:val="20"/>
                <w:color w:val="auto"/>
              </w:rPr>
            </w:pPr>
            <w:r>
              <w:rPr>
                <w:rFonts w:ascii="Arial" w:cs="Arial" w:eastAsia="Arial" w:hAnsi="Arial"/>
                <w:sz w:val="13"/>
                <w:szCs w:val="13"/>
                <w:color w:val="0000FF"/>
                <w:w w:val="90"/>
              </w:rPr>
              <w:t>Common</w:t>
            </w:r>
          </w:p>
        </w:tc>
        <w:tc>
          <w:tcPr>
            <w:tcW w:w="20" w:type="dxa"/>
            <w:vAlign w:val="bottom"/>
          </w:tcPr>
          <w:p>
            <w:pPr>
              <w:spacing w:after="0"/>
              <w:rPr>
                <w:sz w:val="16"/>
                <w:szCs w:val="16"/>
                <w:color w:val="auto"/>
              </w:rPr>
            </w:pP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3,613</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jc w:val="right"/>
              <w:ind w:right="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center"/>
              <w:ind w:right="60"/>
              <w:spacing w:after="0" w:line="105" w:lineRule="exact"/>
              <w:rPr>
                <w:sz w:val="20"/>
                <w:szCs w:val="20"/>
                <w:color w:val="auto"/>
              </w:rPr>
            </w:pPr>
            <w:r>
              <w:rPr>
                <w:rFonts w:ascii="Arial" w:cs="Arial" w:eastAsia="Arial" w:hAnsi="Arial"/>
                <w:sz w:val="12"/>
                <w:szCs w:val="12"/>
                <w:color w:val="0000FF"/>
                <w:w w:val="99"/>
              </w:rPr>
              <w:t>Stock</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40" w:right="2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679 shares of Company stock on December 28, 2022 at prices ranging from $710.48 to $710.93. Upon request by the Commission staff, the Company, or a security holder of the Company, the reporting person will provide full information regarding the number of shares sold by the reporting person on December 28, 2022 at each separate price.</w:t>
      </w:r>
    </w:p>
    <w:p>
      <w:pPr>
        <w:ind w:left="40" w:right="1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1,198 shares of Company stock on December 28, 2022 at prices ranging from $713.17 to $713.98. Upon request by the Commission staff, the Company, or a security holder of the Company, the reporting person will provide full information regarding the number of shares sold by the reporting person on December 28, 2022 at each separate price.</w:t>
      </w:r>
    </w:p>
    <w:p>
      <w:pPr>
        <w:ind w:left="40" w:right="1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1,022 shares of Company stock on December 28, 2022 at prices ranging from $714.00 to $714.95. Upon request by the Commission staff, the Company, or a security holder of the Company, the reporting person will provide full information regarding the number of shares sold by the reporting person on December 28, 2022 at each separate price.</w:t>
      </w:r>
    </w:p>
    <w:p>
      <w:pPr>
        <w:ind w:left="40" w:right="1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2,266 shares of Company stock on December 28, 2022 at prices ranging from $715.04 to $715.97. Upon request by the Commission staff, the Company, or a security holder of the Company, the reporting person will provide full information regarding the number of shares sold by the reporting person on December 28, 2022 at each separate price.</w:t>
      </w:r>
    </w:p>
    <w:p>
      <w:pPr>
        <w:ind w:left="40" w:right="2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311 shares of Company stock on December 28, 2022 at prices ranging from $716.02 to $716.76. Upon request by the Commission staff, the Company, or a security holder of the Company, the reporting person will provide full information regarding the number of shares sold by the reporting person on December 28, 2022 at each separate price.</w:t>
      </w:r>
    </w:p>
    <w:p>
      <w:pPr>
        <w:ind w:left="40" w:right="4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ectPr>
          <w:pgSz w:w="11900" w:h="16862" w:orient="portrait"/>
          <w:cols w:equalWidth="0" w:num="1">
            <w:col w:w="11080"/>
          </w:cols>
          <w:pgMar w:left="460" w:top="222" w:right="359" w:bottom="0" w:gutter="0" w:footer="0" w:header="0"/>
          <w:type w:val="continuous"/>
        </w:sectPr>
      </w:pPr>
    </w:p>
    <w:p>
      <w:pPr>
        <w:spacing w:after="0" w:line="5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By: Richard Gluckselig as</w:t>
      </w:r>
      <w:r>
        <w:rPr>
          <w:sz w:val="20"/>
          <w:szCs w:val="20"/>
          <w:color w:val="auto"/>
        </w:rPr>
        <w:tab/>
      </w:r>
      <w:r>
        <w:rPr>
          <w:rFonts w:ascii="Arial" w:cs="Arial" w:eastAsia="Arial" w:hAnsi="Arial"/>
          <w:sz w:val="15"/>
          <w:szCs w:val="15"/>
          <w:color w:val="0000FF"/>
        </w:rPr>
        <w:t>12/29/2022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881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ectPr>
          <w:pgSz w:w="11900" w:h="16862" w:orient="portrait"/>
          <w:cols w:equalWidth="0" w:num="1">
            <w:col w:w="11080"/>
          </w:cols>
          <w:pgMar w:left="460" w:top="222" w:right="359" w:bottom="0" w:gutter="0" w:footer="0" w:header="0"/>
          <w:type w:val="continuous"/>
        </w:sectPr>
      </w:pPr>
    </w:p>
    <w:bookmarkStart w:id="1" w:name="page2"/>
    <w:bookmarkEnd w:id="1"/>
    <w:p>
      <w:pPr>
        <w:ind w:left="6560"/>
        <w:spacing w:after="0"/>
        <w:rPr>
          <w:sz w:val="20"/>
          <w:szCs w:val="20"/>
          <w:color w:val="auto"/>
        </w:rPr>
      </w:pPr>
      <w:r>
        <w:rPr>
          <w:rFonts w:ascii="Arial" w:cs="Arial" w:eastAsia="Arial" w:hAnsi="Arial"/>
          <w:sz w:val="17"/>
          <w:szCs w:val="17"/>
          <w:color w:val="0000FF"/>
        </w:rPr>
        <w:t>attorney-in-fact For: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0026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Anthony Coles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645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45795" cy="8255"/>
                    </a:xfrm>
                    <a:prstGeom prst="rect">
                      <a:avLst/>
                    </a:prstGeom>
                    <a:noFill/>
                  </pic:spPr>
                </pic:pic>
              </a:graphicData>
            </a:graphic>
          </wp:anchor>
        </w:drawing>
      </w:r>
    </w:p>
    <w:p>
      <w:pPr>
        <w:spacing w:after="0" w:line="4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7018"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2022-12-30T15:19:51Z</dcterms:created>
  <dcterms:modified xsi:type="dcterms:W3CDTF">2022-12-30T15:19:51Z</dcterms:modified>
</cp:coreProperties>
</file>