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18, 2016 (November 14,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Termination of Warrant Agreement with Citibank, N.A.</w:t>
      </w:r>
    </w:p>
    <w:p>
      <w:pPr>
        <w:spacing w:after="0" w:line="225" w:lineRule="exact"/>
        <w:rPr>
          <w:sz w:val="24"/>
          <w:szCs w:val="24"/>
          <w:color w:val="auto"/>
        </w:rPr>
      </w:pPr>
    </w:p>
    <w:p>
      <w:pPr>
        <w:ind w:firstLine="324"/>
        <w:spacing w:after="0" w:line="273" w:lineRule="auto"/>
        <w:rPr>
          <w:sz w:val="20"/>
          <w:szCs w:val="20"/>
          <w:color w:val="auto"/>
        </w:rPr>
      </w:pPr>
      <w:r>
        <w:rPr>
          <w:rFonts w:ascii="Arial" w:cs="Arial" w:eastAsia="Arial" w:hAnsi="Arial"/>
          <w:sz w:val="17"/>
          <w:szCs w:val="17"/>
          <w:color w:val="auto"/>
        </w:rPr>
        <w:t>On November 14, 2016,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Termination Agreement (the “</w:t>
      </w:r>
      <w:r>
        <w:rPr>
          <w:rFonts w:ascii="Arial" w:cs="Arial" w:eastAsia="Arial" w:hAnsi="Arial"/>
          <w:sz w:val="17"/>
          <w:szCs w:val="17"/>
          <w:u w:val="single" w:color="auto"/>
          <w:color w:val="auto"/>
        </w:rPr>
        <w:t>Citi 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relating to the Master Terms and Conditions for Warrants, dated as of October 18, 2011, as supplemented by a confirmation dated October 18, 2011 and as amended by the Amendment dated May 13, 2014, the Second Amendment dated February 22, 2016, and the Third Amendment dated November 10, 2016 (as so supplemented and amended, the “</w:t>
      </w:r>
      <w:r>
        <w:rPr>
          <w:rFonts w:ascii="Arial" w:cs="Arial" w:eastAsia="Arial" w:hAnsi="Arial"/>
          <w:sz w:val="17"/>
          <w:szCs w:val="17"/>
          <w:u w:val="single" w:color="auto"/>
          <w:color w:val="auto"/>
        </w:rPr>
        <w:t>Citi Warrant Agreement</w:t>
      </w:r>
      <w:r>
        <w:rPr>
          <w:rFonts w:ascii="Arial" w:cs="Arial" w:eastAsia="Arial" w:hAnsi="Arial"/>
          <w:sz w:val="17"/>
          <w:szCs w:val="17"/>
          <w:color w:val="auto"/>
        </w:rPr>
        <w:t>”), with Citibank, N.A. (“</w:t>
      </w:r>
      <w:r>
        <w:rPr>
          <w:rFonts w:ascii="Arial" w:cs="Arial" w:eastAsia="Arial" w:hAnsi="Arial"/>
          <w:sz w:val="17"/>
          <w:szCs w:val="17"/>
          <w:u w:val="single" w:color="auto"/>
          <w:color w:val="auto"/>
        </w:rPr>
        <w:t>Citi</w:t>
      </w:r>
      <w:r>
        <w:rPr>
          <w:rFonts w:ascii="Arial" w:cs="Arial" w:eastAsia="Arial" w:hAnsi="Arial"/>
          <w:sz w:val="17"/>
          <w:szCs w:val="17"/>
          <w:color w:val="auto"/>
        </w:rPr>
        <w:t>”). The Citi Warrant Agreement governed the remaining outstanding warrants issued by the Company to Citi in 2011 in connection with the issuance of Regeneron’s 1.875% convertible senior notes (which matured on October 1, 2016 and are no longer outstanding) and the related hedging transactions.</w:t>
      </w:r>
    </w:p>
    <w:p>
      <w:pPr>
        <w:spacing w:after="0" w:line="178"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Citi Termination Agreement, the remaining number of warrants held by Citi has been reduced to zero and the Citi Warrant Agreement has been terminated effective upon the payment by the Company to Citi of an aggregate amount of $74.9 million.</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Citi Termination Agreement contains customary representations and warranties of the Company and Citi, respectively.</w:t>
      </w:r>
    </w:p>
    <w:p>
      <w:pPr>
        <w:spacing w:after="0" w:line="225"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The foregoing description of the Citi Termination Agreement is qualified in its entirety by reference to the full text of the Citi Termination Agreement, a copy of which will be filed with the Securities and Exchange Commission as an exhibit to Regeneron’s Annual Report on Form 10-K for the year ending December 31, 2016 (the “</w:t>
      </w:r>
      <w:r>
        <w:rPr>
          <w:rFonts w:ascii="Arial" w:cs="Arial" w:eastAsia="Arial" w:hAnsi="Arial"/>
          <w:sz w:val="18"/>
          <w:szCs w:val="18"/>
          <w:u w:val="single" w:color="auto"/>
          <w:color w:val="auto"/>
        </w:rPr>
        <w:t>2016 Form 10-K</w:t>
      </w:r>
      <w:r>
        <w:rPr>
          <w:rFonts w:ascii="Arial" w:cs="Arial" w:eastAsia="Arial" w:hAnsi="Arial"/>
          <w:sz w:val="18"/>
          <w:szCs w:val="18"/>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Termination of Warrant Agreement with Credit Suisse Capital LLC</w:t>
      </w:r>
    </w:p>
    <w:p>
      <w:pPr>
        <w:spacing w:after="0" w:line="225" w:lineRule="exact"/>
        <w:rPr>
          <w:sz w:val="24"/>
          <w:szCs w:val="24"/>
          <w:color w:val="auto"/>
        </w:rPr>
      </w:pPr>
    </w:p>
    <w:p>
      <w:pPr>
        <w:ind w:firstLine="324"/>
        <w:spacing w:after="0" w:line="297" w:lineRule="auto"/>
        <w:rPr>
          <w:sz w:val="20"/>
          <w:szCs w:val="20"/>
          <w:color w:val="auto"/>
        </w:rPr>
      </w:pPr>
      <w:r>
        <w:rPr>
          <w:rFonts w:ascii="Arial" w:cs="Arial" w:eastAsia="Arial" w:hAnsi="Arial"/>
          <w:sz w:val="16"/>
          <w:szCs w:val="16"/>
          <w:color w:val="auto"/>
        </w:rPr>
        <w:t>On November 15, 2016, the Company entered into a Termination Agreement (the “</w:t>
      </w:r>
      <w:r>
        <w:rPr>
          <w:rFonts w:ascii="Arial" w:cs="Arial" w:eastAsia="Arial" w:hAnsi="Arial"/>
          <w:sz w:val="16"/>
          <w:szCs w:val="16"/>
          <w:u w:val="single" w:color="auto"/>
          <w:color w:val="auto"/>
        </w:rPr>
        <w:t>CS Termination Agreement</w:t>
      </w:r>
      <w:r>
        <w:rPr>
          <w:rFonts w:ascii="Arial" w:cs="Arial" w:eastAsia="Arial" w:hAnsi="Arial"/>
          <w:sz w:val="16"/>
          <w:szCs w:val="16"/>
          <w:color w:val="auto"/>
        </w:rPr>
        <w:t>”) relating to the Master Terms and Conditions for Warrants, dated as of October 18, 2011, as supplemented by a confirmation dated October 18, 2011 and as amended by the Amendment dated May 14, 2014, the Second Amendment dated November 18, 2014, the Third Amendment dated November 24, 2014, and the Fourth Amendment dated November 15, 2015 (as so supplemented and amended, the “</w:t>
      </w:r>
      <w:r>
        <w:rPr>
          <w:rFonts w:ascii="Arial" w:cs="Arial" w:eastAsia="Arial" w:hAnsi="Arial"/>
          <w:sz w:val="16"/>
          <w:szCs w:val="16"/>
          <w:u w:val="single" w:color="auto"/>
          <w:color w:val="auto"/>
        </w:rPr>
        <w:t>CS Warrant Agreement</w:t>
      </w:r>
      <w:r>
        <w:rPr>
          <w:rFonts w:ascii="Arial" w:cs="Arial" w:eastAsia="Arial" w:hAnsi="Arial"/>
          <w:sz w:val="16"/>
          <w:szCs w:val="16"/>
          <w:color w:val="auto"/>
        </w:rPr>
        <w:t>”), with Credit Suisse Capital LLC (as assignee of Credit Suisse International) (“</w:t>
      </w:r>
      <w:r>
        <w:rPr>
          <w:rFonts w:ascii="Arial" w:cs="Arial" w:eastAsia="Arial" w:hAnsi="Arial"/>
          <w:sz w:val="16"/>
          <w:szCs w:val="16"/>
          <w:u w:val="single" w:color="auto"/>
          <w:color w:val="auto"/>
        </w:rPr>
        <w:t>CS</w:t>
      </w:r>
      <w:r>
        <w:rPr>
          <w:rFonts w:ascii="Arial" w:cs="Arial" w:eastAsia="Arial" w:hAnsi="Arial"/>
          <w:sz w:val="16"/>
          <w:szCs w:val="16"/>
          <w:color w:val="auto"/>
        </w:rPr>
        <w:t>”). The CS Warrant Agreement governed the remaining outstanding warrants issued by the Company to CS in 2011 in connection with the</w:t>
      </w:r>
    </w:p>
    <w:p>
      <w:pPr>
        <w:sectPr>
          <w:pgSz w:w="11900" w:h="16838" w:orient="portrait"/>
          <w:cols w:equalWidth="0" w:num="1">
            <w:col w:w="11400"/>
          </w:cols>
          <w:pgMar w:left="240" w:top="544" w:right="259" w:bottom="0" w:gutter="0" w:footer="0" w:header="0"/>
        </w:sectPr>
      </w:pPr>
    </w:p>
    <w:bookmarkStart w:id="1" w:name="page2"/>
    <w:bookmarkEnd w:id="1"/>
    <w:p>
      <w:pPr>
        <w:ind w:right="520"/>
        <w:spacing w:after="0" w:line="277" w:lineRule="auto"/>
        <w:rPr>
          <w:sz w:val="20"/>
          <w:szCs w:val="20"/>
          <w:color w:val="auto"/>
        </w:rPr>
      </w:pPr>
      <w:r>
        <w:rPr>
          <w:rFonts w:ascii="Arial" w:cs="Arial" w:eastAsia="Arial" w:hAnsi="Arial"/>
          <w:sz w:val="18"/>
          <w:szCs w:val="18"/>
          <w:color w:val="auto"/>
        </w:rPr>
        <w:t>issuance of Regeneron’s 1.875% convertible senior notes (which matured on October 1, 2016 and are no longer outstanding) and the related hedging transactions.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CS Termination Agreement, the remaining number of warrants held by CS has been reduced to zero and the CS Warrant Agreement has been terminated effective upon the payment by the Company to CS of an aggregate amount of $12.9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CS Termination Agreement contains customary representations and warranties of the Company and CS, respectively.</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foregoing description of the CS Termination Agreement is qualified in its entirety by reference to the full text of the CS Termination Agreement, a copy of which will be filed with the Securities and Exchange Commission as an exhibit to the 2016 Form 10-K.</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2016</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40"/>
      </w:cols>
      <w:pgMar w:left="240"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2019-12-06T00:37:12Z</dcterms:created>
  <dcterms:modified xsi:type="dcterms:W3CDTF">2019-12-06T00:37:12Z</dcterms:modified>
</cp:coreProperties>
</file>