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811593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81159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6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  <w:w w:val="99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  <w:w w:val="99"/>
                </w:rPr>
                <w:t>GOLDBERG MURRAY A</w:t>
              </w:r>
            </w:hyperlink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9"/>
          </w:tcPr>
          <w:p>
            <w:pPr>
              <w:ind w:left="80"/>
              <w:spacing w:after="0" w:line="107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>REGENERON PHARMACEUTICALS</w:t>
              </w:r>
            </w:hyperlink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3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3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0000EE"/>
            </w:tcBorders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restart"/>
          </w:tcPr>
          <w:p>
            <w:pPr>
              <w:ind w:left="80"/>
              <w:spacing w:after="0" w:line="222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INC 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00"/>
                </w:rPr>
                <w:t>[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17"/>
                  <w:szCs w:val="17"/>
                  <w:color w:val="0000FF"/>
                </w:rPr>
                <w:t>REGN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00"/>
                </w:rPr>
                <w:t>]</w:t>
              </w:r>
            </w:hyperlink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360" w:type="dxa"/>
            <w:vAlign w:val="bottom"/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gridSpan w:val="3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920" w:type="dxa"/>
            <w:vAlign w:val="bottom"/>
            <w:gridSpan w:val="3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4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SVP F&amp;A, CFO, Treas &amp; Asst Sec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8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777 OLD SAW MILL RIVER ROAD</w:t>
            </w:r>
          </w:p>
        </w:tc>
        <w:tc>
          <w:tcPr>
            <w:tcW w:w="1700" w:type="dxa"/>
            <w:vAlign w:val="bottom"/>
            <w:gridSpan w:val="6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02/03/2010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40" w:type="dxa"/>
            <w:vAlign w:val="bottom"/>
            <w:gridSpan w:val="9"/>
            <w:vMerge w:val="restart"/>
          </w:tcPr>
          <w:p>
            <w:pPr>
              <w:jc w:val="center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TARRYTOWN  NY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10591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40" w:type="dxa"/>
            <w:vAlign w:val="bottom"/>
            <w:gridSpan w:val="7"/>
          </w:tcPr>
          <w:p>
            <w:pPr>
              <w:ind w:left="1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920" w:type="dxa"/>
            <w:vAlign w:val="bottom"/>
            <w:gridSpan w:val="3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4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40" w:type="dxa"/>
            <w:vAlign w:val="bottom"/>
            <w:gridSpan w:val="6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040" w:type="dxa"/>
            <w:vAlign w:val="bottom"/>
            <w:gridSpan w:val="6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5"/>
          </w:tcPr>
          <w:p>
            <w:pPr>
              <w:jc w:val="center"/>
              <w:ind w:left="564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5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02/03/2010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93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93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5,000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9.49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48,734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5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02/03/2010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91"/>
                <w:vertAlign w:val="subscript"/>
              </w:rPr>
              <w:t>F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91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1,693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28.02</w:t>
            </w: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47,041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5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02/03/2010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91"/>
                <w:vertAlign w:val="subscript"/>
              </w:rPr>
              <w:t>F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91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1,528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28.02</w:t>
            </w: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45,513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5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02/03/2010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93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93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15,000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6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13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60,513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5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02/03/2010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91"/>
                <w:vertAlign w:val="subscript"/>
              </w:rPr>
              <w:t>F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91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6,958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28.02</w:t>
            </w: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53,555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5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02/03/2010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91"/>
                <w:vertAlign w:val="subscript"/>
              </w:rPr>
              <w:t>F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91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3,716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28.02</w:t>
            </w: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49,839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5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02/04/2010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87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7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509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28.38</w:t>
            </w: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49,330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5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02/04/2010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87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7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2,542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26.45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8"/>
                <w:vertAlign w:val="superscript"/>
              </w:rPr>
              <w:t>(2)</w:t>
            </w: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46,788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5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02/04/2010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87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7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3,054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27.4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9"/>
                <w:vertAlign w:val="superscript"/>
              </w:rPr>
              <w:t>(3)</w:t>
            </w: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43,734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4,720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401(k)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Plan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00" w:type="dxa"/>
            <w:vAlign w:val="bottom"/>
            <w:gridSpan w:val="15"/>
          </w:tcPr>
          <w:p>
            <w:pPr>
              <w:jc w:val="center"/>
              <w:ind w:left="44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0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5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00" w:type="dxa"/>
            <w:vAlign w:val="bottom"/>
            <w:gridSpan w:val="5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5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5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5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ind w:right="1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9.49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02/03/2010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gridSpan w:val="4"/>
            <w:vMerge w:val="restart"/>
          </w:tcPr>
          <w:p>
            <w:pPr>
              <w:ind w:left="100"/>
              <w:spacing w:after="0" w:line="27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  <w:vMerge w:val="restart"/>
          </w:tcPr>
          <w:p>
            <w:pPr>
              <w:jc w:val="right"/>
              <w:ind w:right="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5,000</w:t>
            </w: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12/15/2014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jc w:val="right"/>
              <w:ind w:right="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5,000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(5)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21,963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jc w:val="right"/>
              <w:ind w:right="2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jc w:val="center"/>
              <w:ind w:right="2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13</w:t>
            </w:r>
          </w:p>
        </w:tc>
        <w:tc>
          <w:tcPr>
            <w:tcW w:w="9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02/03/2010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gridSpan w:val="4"/>
          </w:tcPr>
          <w:p>
            <w:pPr>
              <w:ind w:left="100"/>
              <w:spacing w:after="0" w:line="21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0000FF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jc w:val="right"/>
              <w:ind w:right="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15,000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12/15/2013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jc w:val="right"/>
              <w:ind w:right="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15,000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(5)</w:t>
            </w:r>
          </w:p>
        </w:tc>
        <w:tc>
          <w:tcPr>
            <w:tcW w:w="6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52,308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jc w:val="right"/>
              <w:ind w:right="240"/>
              <w:spacing w:after="0" w:line="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Stock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(right to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10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Disposition/acquisition made pursuant to a plan intended to comply with Rule 10b5-1(c).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600" w:firstLine="8"/>
        <w:spacing w:after="0" w:line="272" w:lineRule="auto"/>
        <w:tabs>
          <w:tab w:leader="none" w:pos="174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reporting person sold 2,542 shares of Company stock on February 4, 2010 at prices ranging from $26.00 to $26.96. Upon request by the Commission staff, the Company, or a security holder of the Company, we will provide full information regarding the number of shares sold by the reporting person on February 4, 2010 at each separate price.</w:t>
      </w:r>
    </w:p>
    <w:p>
      <w:pPr>
        <w:spacing w:after="0" w:line="9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600" w:firstLine="8"/>
        <w:spacing w:after="0" w:line="272" w:lineRule="auto"/>
        <w:tabs>
          <w:tab w:leader="none" w:pos="174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reporting person sold 3,054 shares of Company stock on February 4, 2010 at prices ranging from $27.22 to $27.64. Upon request by the Commission staff, the Company, or a security holder of the Company, we will provide full information regarding the number of shares sold by the reporting person on February 4, 2010 at each separate price.</w:t>
      </w:r>
    </w:p>
    <w:p>
      <w:pPr>
        <w:spacing w:after="0" w:line="9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stock option award (combined incentive stock option and non-qualified stock option) vests in four equal annual installments, commencing one year after the date of grant.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Exercisable date, exercise date, exercise price, purchase price, sales price, and/or expiration date is not applicable in this case.</w:t>
      </w:r>
    </w:p>
    <w:p>
      <w:pPr>
        <w:sectPr>
          <w:pgSz w:w="11900" w:h="16838" w:orient="portrait"/>
          <w:cols w:equalWidth="0" w:num="1">
            <w:col w:w="11520"/>
          </w:cols>
          <w:pgMar w:left="240" w:top="225" w:right="139" w:bottom="0" w:gutter="0" w:footer="0" w:header="0"/>
          <w:type w:val="continuous"/>
        </w:sectPr>
      </w:pPr>
    </w:p>
    <w:p>
      <w:pPr>
        <w:spacing w:after="0" w:line="81" w:lineRule="exact"/>
        <w:rPr>
          <w:sz w:val="20"/>
          <w:szCs w:val="20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/s/**Murray A. Goldberg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02/05/2010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-7620</wp:posOffset>
            </wp:positionV>
            <wp:extent cx="196088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608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520"/>
          </w:cols>
          <w:pgMar w:left="240" w:top="225" w:right="139" w:bottom="0" w:gutter="0" w:footer="0" w:header="0"/>
          <w:type w:val="continuous"/>
        </w:sectPr>
      </w:pPr>
    </w:p>
    <w:bookmarkStart w:id="1" w:name="page2"/>
    <w:bookmarkEnd w:id="1"/>
    <w:p>
      <w:pPr>
        <w:ind w:left="6820"/>
        <w:spacing w:after="0"/>
        <w:tabs>
          <w:tab w:leader="none" w:pos="91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jc w:val="both"/>
        <w:ind w:right="2500" w:firstLine="8"/>
        <w:spacing w:after="0" w:line="321" w:lineRule="auto"/>
        <w:tabs>
          <w:tab w:leader="none" w:pos="14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240"/>
      </w:cols>
      <w:pgMar w:left="280" w:top="140" w:right="137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226435" TargetMode="External"/><Relationship Id="rId13" Type="http://schemas.openxmlformats.org/officeDocument/2006/relationships/hyperlink" Target="http://www.sec.gov/cgi-bin/browse-edgar?action=getcompany&amp;CIK=00008725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2019-12-18T10:33:47Z</dcterms:created>
  <dcterms:modified xsi:type="dcterms:W3CDTF">2019-12-18T10:33:47Z</dcterms:modified>
</cp:coreProperties>
</file>