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841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12480"/>
                    </a:xfrm>
                    <a:prstGeom prst="rect">
                      <a:avLst/>
                    </a:prstGeom>
                    <a:noFill/>
                  </pic:spPr>
                </pic:pic>
              </a:graphicData>
            </a:graphic>
          </wp:anchor>
        </w:drawing>
      </w:r>
    </w:p>
    <w:p>
      <w:pPr>
        <w:spacing w:after="0" w:line="45" w:lineRule="exact"/>
        <w:rPr>
          <w:sz w:val="24"/>
          <w:szCs w:val="24"/>
          <w:color w:val="auto"/>
        </w:rPr>
      </w:pPr>
    </w:p>
    <w:p>
      <w:pPr>
        <w:sectPr>
          <w:pgSz w:w="11900" w:h="16847" w:orient="portrait"/>
          <w:cols w:equalWidth="0" w:num="2">
            <w:col w:w="2380" w:space="240"/>
            <w:col w:w="8800"/>
          </w:cols>
          <w:pgMar w:left="240" w:top="220"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6"/>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Sanofi</w:t>
              </w:r>
            </w:hyperlink>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INC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REGN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6"/>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3"/>
                <w:szCs w:val="3"/>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54, RUE LA BOETIE</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07/27/2015</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8"/>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980" w:type="dxa"/>
            <w:vAlign w:val="bottom"/>
            <w:gridSpan w:val="11"/>
            <w:vMerge w:val="continue"/>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PARIS</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120" w:type="dxa"/>
            <w:vAlign w:val="bottom"/>
            <w:tcBorders>
              <w:top w:val="single" w:sz="8" w:color="2C2C2C"/>
            </w:tcBorders>
            <w:gridSpan w:val="20"/>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5"/>
                <w:szCs w:val="15"/>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120" w:type="dxa"/>
            <w:vAlign w:val="bottom"/>
            <w:gridSpan w:val="6"/>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gridSpan w:val="2"/>
            <w:vMerge w:val="restart"/>
          </w:tcPr>
          <w:p>
            <w:pPr>
              <w:jc w:val="center"/>
              <w:ind w:right="24"/>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1"/>
                <w:szCs w:val="11"/>
                <w:color w:val="auto"/>
              </w:rPr>
            </w:pP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500</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9"/>
              </w:rPr>
              <w:t>$</w:t>
            </w:r>
            <w:r>
              <w:rPr>
                <w:rFonts w:ascii="Times New Roman" w:cs="Times New Roman" w:eastAsia="Times New Roman" w:hAnsi="Times New Roman"/>
                <w:sz w:val="18"/>
                <w:szCs w:val="18"/>
                <w:color w:val="0000FF"/>
                <w:w w:val="89"/>
              </w:rPr>
              <w:t>530.708</w:t>
            </w:r>
            <w:r>
              <w:rPr>
                <w:rFonts w:ascii="Times New Roman" w:cs="Times New Roman" w:eastAsia="Times New Roman" w:hAnsi="Times New Roman"/>
                <w:sz w:val="22"/>
                <w:szCs w:val="22"/>
                <w:color w:val="008000"/>
                <w:w w:val="89"/>
                <w:vertAlign w:val="superscript"/>
              </w:rPr>
              <w:t>(1)(3)</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22,859,644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674</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532.3597</w:t>
            </w:r>
            <w:r>
              <w:rPr>
                <w:rFonts w:ascii="Times New Roman" w:cs="Times New Roman" w:eastAsia="Times New Roman" w:hAnsi="Times New Roman"/>
                <w:sz w:val="22"/>
                <w:szCs w:val="22"/>
                <w:color w:val="008000"/>
                <w:w w:val="91"/>
                <w:vertAlign w:val="superscript"/>
              </w:rPr>
              <w:t>(1)(5)</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22,860,318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823</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533.1927</w:t>
            </w:r>
            <w:r>
              <w:rPr>
                <w:rFonts w:ascii="Times New Roman" w:cs="Times New Roman" w:eastAsia="Times New Roman" w:hAnsi="Times New Roman"/>
                <w:sz w:val="22"/>
                <w:szCs w:val="22"/>
                <w:color w:val="008000"/>
                <w:w w:val="91"/>
                <w:vertAlign w:val="superscript"/>
              </w:rPr>
              <w:t>(1)(6)</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22,861,141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700</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534.3414</w:t>
            </w:r>
            <w:r>
              <w:rPr>
                <w:rFonts w:ascii="Times New Roman" w:cs="Times New Roman" w:eastAsia="Times New Roman" w:hAnsi="Times New Roman"/>
                <w:sz w:val="22"/>
                <w:szCs w:val="22"/>
                <w:color w:val="008000"/>
                <w:w w:val="91"/>
                <w:vertAlign w:val="superscript"/>
              </w:rPr>
              <w:t>(1)(7)</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22,861,841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305</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535.7123</w:t>
            </w:r>
            <w:r>
              <w:rPr>
                <w:rFonts w:ascii="Times New Roman" w:cs="Times New Roman" w:eastAsia="Times New Roman" w:hAnsi="Times New Roman"/>
                <w:sz w:val="22"/>
                <w:szCs w:val="22"/>
                <w:color w:val="008000"/>
                <w:w w:val="91"/>
                <w:vertAlign w:val="superscript"/>
              </w:rPr>
              <w:t>(1)(8)</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22,862,146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1,633</w:t>
            </w:r>
            <w:r>
              <w:rPr>
                <w:rFonts w:ascii="Times New Roman" w:cs="Times New Roman" w:eastAsia="Times New Roman" w:hAnsi="Times New Roman"/>
                <w:sz w:val="11"/>
                <w:szCs w:val="11"/>
                <w:color w:val="008000"/>
                <w:w w:val="84"/>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9"/>
              </w:rPr>
              <w:t>$</w:t>
            </w:r>
            <w:r>
              <w:rPr>
                <w:rFonts w:ascii="Times New Roman" w:cs="Times New Roman" w:eastAsia="Times New Roman" w:hAnsi="Times New Roman"/>
                <w:sz w:val="18"/>
                <w:szCs w:val="18"/>
                <w:color w:val="0000FF"/>
                <w:w w:val="89"/>
              </w:rPr>
              <w:t>537.101</w:t>
            </w:r>
            <w:r>
              <w:rPr>
                <w:rFonts w:ascii="Times New Roman" w:cs="Times New Roman" w:eastAsia="Times New Roman" w:hAnsi="Times New Roman"/>
                <w:sz w:val="22"/>
                <w:szCs w:val="22"/>
                <w:color w:val="008000"/>
                <w:w w:val="89"/>
                <w:vertAlign w:val="superscript"/>
              </w:rPr>
              <w:t>(1)(9)</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22,863,779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948</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537.8604</w:t>
            </w:r>
            <w:r>
              <w:rPr>
                <w:rFonts w:ascii="Times New Roman" w:cs="Times New Roman" w:eastAsia="Times New Roman" w:hAnsi="Times New Roman"/>
                <w:sz w:val="22"/>
                <w:szCs w:val="22"/>
                <w:color w:val="008000"/>
                <w:w w:val="90"/>
                <w:vertAlign w:val="superscript"/>
              </w:rPr>
              <w:t>(1)(10)</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22,864,727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1,600</w:t>
            </w:r>
            <w:r>
              <w:rPr>
                <w:rFonts w:ascii="Times New Roman" w:cs="Times New Roman" w:eastAsia="Times New Roman" w:hAnsi="Times New Roman"/>
                <w:sz w:val="11"/>
                <w:szCs w:val="11"/>
                <w:color w:val="008000"/>
                <w:w w:val="84"/>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539.2194</w:t>
            </w:r>
            <w:r>
              <w:rPr>
                <w:rFonts w:ascii="Times New Roman" w:cs="Times New Roman" w:eastAsia="Times New Roman" w:hAnsi="Times New Roman"/>
                <w:sz w:val="22"/>
                <w:szCs w:val="22"/>
                <w:color w:val="008000"/>
                <w:w w:val="90"/>
                <w:vertAlign w:val="superscript"/>
              </w:rPr>
              <w:t>(1)(11)</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22,866,327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2,503</w:t>
            </w:r>
            <w:r>
              <w:rPr>
                <w:rFonts w:ascii="Times New Roman" w:cs="Times New Roman" w:eastAsia="Times New Roman" w:hAnsi="Times New Roman"/>
                <w:sz w:val="11"/>
                <w:szCs w:val="11"/>
                <w:color w:val="008000"/>
                <w:w w:val="84"/>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540.2032</w:t>
            </w:r>
            <w:r>
              <w:rPr>
                <w:rFonts w:ascii="Times New Roman" w:cs="Times New Roman" w:eastAsia="Times New Roman" w:hAnsi="Times New Roman"/>
                <w:sz w:val="22"/>
                <w:szCs w:val="22"/>
                <w:color w:val="008000"/>
                <w:w w:val="90"/>
                <w:vertAlign w:val="superscript"/>
              </w:rPr>
              <w:t>(1)(12)</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22,868,830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700</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541.1486</w:t>
            </w:r>
            <w:r>
              <w:rPr>
                <w:rFonts w:ascii="Times New Roman" w:cs="Times New Roman" w:eastAsia="Times New Roman" w:hAnsi="Times New Roman"/>
                <w:sz w:val="22"/>
                <w:szCs w:val="22"/>
                <w:color w:val="008000"/>
                <w:w w:val="90"/>
                <w:vertAlign w:val="superscript"/>
              </w:rPr>
              <w:t>(1)(13)</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22,869,530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07/27/2015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5"/>
                <w:vertAlign w:val="subscript"/>
              </w:rPr>
              <w:t>253</w:t>
            </w:r>
            <w:r>
              <w:rPr>
                <w:rFonts w:ascii="Times New Roman" w:cs="Times New Roman" w:eastAsia="Times New Roman" w:hAnsi="Times New Roman"/>
                <w:sz w:val="11"/>
                <w:szCs w:val="11"/>
                <w:color w:val="008000"/>
                <w:w w:val="8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542.2822</w:t>
            </w:r>
            <w:r>
              <w:rPr>
                <w:rFonts w:ascii="Times New Roman" w:cs="Times New Roman" w:eastAsia="Times New Roman" w:hAnsi="Times New Roman"/>
                <w:sz w:val="22"/>
                <w:szCs w:val="22"/>
                <w:color w:val="008000"/>
                <w:w w:val="90"/>
                <w:vertAlign w:val="superscript"/>
              </w:rPr>
              <w:t>(1)(14)</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22,869,783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9"/>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60" w:type="dxa"/>
            <w:vAlign w:val="bottom"/>
            <w:gridSpan w:val="17"/>
          </w:tcPr>
          <w:p>
            <w:pPr>
              <w:jc w:val="center"/>
              <w:ind w:left="18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3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28" w:lineRule="exact"/>
        <w:rPr>
          <w:rFonts w:ascii="Times New Roman" w:cs="Times New Roman" w:eastAsia="Times New Roman" w:hAnsi="Times New Roman"/>
          <w:sz w:val="14"/>
          <w:szCs w:val="14"/>
          <w:color w:val="008000"/>
        </w:rPr>
      </w:pPr>
    </w:p>
    <w:p>
      <w:pPr>
        <w:ind w:left="40" w:right="3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acquired directly by sanofi-aventis Amerique du Nord ("SAAN"). The shares were purchased pursuant to a plan intended to comply with Rule 10b5-1(c)(1)(i) under the Exchange Act, entered into with a broker on May 27, 2015.</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$530.50 to $530.93 per share, inclusive.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Indirectly owned through (a) SAAN, a direct, wholly-owned subsidiary of Sanofi, and (b) Aventis Pharmaceuticals Inc. ("Aventis"), an indirect, wholly-owned subsidiary of SAAN. After giving effect to all</w:t>
      </w:r>
    </w:p>
    <w:p>
      <w:pPr>
        <w:sectPr>
          <w:pgSz w:w="11900" w:h="16847" w:orient="portrait"/>
          <w:cols w:equalWidth="0" w:num="1">
            <w:col w:w="11420"/>
          </w:cols>
          <w:pgMar w:left="240" w:top="220" w:right="239" w:bottom="0" w:gutter="0" w:footer="0" w:header="0"/>
          <w:type w:val="continuous"/>
        </w:sectPr>
      </w:pPr>
    </w:p>
    <w:bookmarkStart w:id="1" w:name="page2"/>
    <w:bookmarkEnd w:id="1"/>
    <w:p>
      <w:pPr>
        <w:jc w:val="both"/>
        <w:spacing w:after="0" w:line="234" w:lineRule="auto"/>
        <w:rPr>
          <w:sz w:val="20"/>
          <w:szCs w:val="20"/>
          <w:color w:val="auto"/>
        </w:rPr>
      </w:pPr>
      <w:r>
        <w:rPr>
          <w:rFonts w:ascii="Times New Roman" w:cs="Times New Roman" w:eastAsia="Times New Roman" w:hAnsi="Times New Roman"/>
          <w:sz w:val="14"/>
          <w:szCs w:val="14"/>
          <w:color w:val="008000"/>
        </w:rPr>
        <w:t>acquisitions reported on this Form 4, the number of shares beneficially owned directly by SAAN and Aventis was 20,070,231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29" w:lineRule="exact"/>
        <w:rPr>
          <w:sz w:val="20"/>
          <w:szCs w:val="20"/>
          <w:color w:val="auto"/>
        </w:rPr>
      </w:pPr>
    </w:p>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$531.91 to $532.75 per share, inclusive.</w:t>
      </w:r>
    </w:p>
    <w:p>
      <w:pPr>
        <w:spacing w:after="0" w:line="41" w:lineRule="exact"/>
        <w:rPr>
          <w:rFonts w:ascii="Times New Roman" w:cs="Times New Roman" w:eastAsia="Times New Roman" w:hAnsi="Times New Roman"/>
          <w:sz w:val="14"/>
          <w:szCs w:val="14"/>
          <w:color w:val="008000"/>
        </w:rPr>
      </w:pPr>
    </w:p>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$532.91 to $533.76 per share, inclusive.</w:t>
      </w:r>
    </w:p>
    <w:p>
      <w:pPr>
        <w:spacing w:after="0" w:line="41" w:lineRule="exact"/>
        <w:rPr>
          <w:rFonts w:ascii="Times New Roman" w:cs="Times New Roman" w:eastAsia="Times New Roman" w:hAnsi="Times New Roman"/>
          <w:sz w:val="14"/>
          <w:szCs w:val="14"/>
          <w:color w:val="008000"/>
        </w:rPr>
      </w:pPr>
    </w:p>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$534.07 to $534.82 per share, inclusive.</w:t>
      </w:r>
    </w:p>
    <w:p>
      <w:pPr>
        <w:spacing w:after="0" w:line="41" w:lineRule="exact"/>
        <w:rPr>
          <w:rFonts w:ascii="Times New Roman" w:cs="Times New Roman" w:eastAsia="Times New Roman" w:hAnsi="Times New Roman"/>
          <w:sz w:val="14"/>
          <w:szCs w:val="14"/>
          <w:color w:val="008000"/>
        </w:rPr>
      </w:pPr>
    </w:p>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$535.46 to $536.25 per share, inclusive.</w:t>
      </w:r>
    </w:p>
    <w:p>
      <w:pPr>
        <w:spacing w:after="0" w:line="41" w:lineRule="exact"/>
        <w:rPr>
          <w:rFonts w:ascii="Times New Roman" w:cs="Times New Roman" w:eastAsia="Times New Roman" w:hAnsi="Times New Roman"/>
          <w:sz w:val="14"/>
          <w:szCs w:val="14"/>
          <w:color w:val="008000"/>
        </w:rPr>
      </w:pPr>
    </w:p>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$536.51 to $537.46 per share, inclusive.</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$537.58 to $538.37 per share, inclusive.</w:t>
      </w:r>
    </w:p>
    <w:p>
      <w:pPr>
        <w:spacing w:after="0" w:line="41" w:lineRule="exact"/>
        <w:rPr>
          <w:rFonts w:ascii="Times New Roman" w:cs="Times New Roman" w:eastAsia="Times New Roman" w:hAnsi="Times New Roman"/>
          <w:sz w:val="14"/>
          <w:szCs w:val="14"/>
          <w:color w:val="008000"/>
        </w:rPr>
      </w:pPr>
    </w:p>
    <w:p>
      <w:pPr>
        <w:ind w:left="200" w:hanging="191"/>
        <w:spacing w:after="0"/>
        <w:tabs>
          <w:tab w:leader="none" w:pos="20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$538.75 to $539.70 per share, inclusive.</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$539.80 to $540.75 per share, inclusive.</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$540.84 to $541.75 per share, inclusive.</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$541.99 to $542.46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 w:lineRule="exact"/>
        <w:rPr>
          <w:sz w:val="20"/>
          <w:szCs w:val="20"/>
          <w:color w:val="auto"/>
        </w:rPr>
      </w:pPr>
    </w:p>
    <w:p>
      <w:pPr>
        <w:ind w:left="6820"/>
        <w:spacing w:after="0"/>
        <w:tabs>
          <w:tab w:leader="none" w:pos="9100" w:val="left"/>
        </w:tabs>
        <w:rPr>
          <w:sz w:val="20"/>
          <w:szCs w:val="20"/>
          <w:color w:val="auto"/>
        </w:rPr>
      </w:pPr>
      <w:r>
        <w:rPr>
          <w:rFonts w:ascii="Times New Roman" w:cs="Times New Roman" w:eastAsia="Times New Roman" w:hAnsi="Times New Roman"/>
          <w:sz w:val="18"/>
          <w:szCs w:val="18"/>
          <w:color w:val="0000FF"/>
        </w:rPr>
        <w:t>President, Corporate Law,</w:t>
      </w:r>
      <w:r>
        <w:rPr>
          <w:sz w:val="20"/>
          <w:szCs w:val="20"/>
          <w:color w:val="auto"/>
        </w:rPr>
        <w:tab/>
      </w:r>
      <w:r>
        <w:rPr>
          <w:rFonts w:ascii="Times New Roman" w:cs="Times New Roman" w:eastAsia="Times New Roman" w:hAnsi="Times New Roman"/>
          <w:sz w:val="16"/>
          <w:szCs w:val="16"/>
          <w:color w:val="0000FF"/>
        </w:rPr>
        <w:t>07/29/2015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2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2019-12-23T21:36:08Z</dcterms:created>
  <dcterms:modified xsi:type="dcterms:W3CDTF">2019-12-23T21:36:08Z</dcterms:modified>
</cp:coreProperties>
</file>