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November 6, 2018 (November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MS PGothic" w:cs="MS PGothic" w:eastAsia="MS PGothic" w:hAnsi="MS PGothic"/>
          <w:sz w:val="18"/>
          <w:szCs w:val="18"/>
          <w:color w:val="auto"/>
        </w:rPr>
      </w:pPr>
    </w:p>
    <w:p>
      <w:pPr>
        <w:ind w:left="380" w:right="14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91"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4" w:lineRule="exact"/>
        <w:rPr>
          <w:rFonts w:ascii="MS PGothic" w:cs="MS PGothic" w:eastAsia="MS PGothic" w:hAnsi="MS PGothic"/>
          <w:sz w:val="18"/>
          <w:szCs w:val="18"/>
          <w:color w:val="auto"/>
        </w:rPr>
      </w:pPr>
    </w:p>
    <w:p>
      <w:pPr>
        <w:ind w:left="380" w:right="180"/>
        <w:spacing w:after="0" w:line="233" w:lineRule="exact"/>
        <w:rPr>
          <w:rFonts w:ascii="MS PGothic" w:cs="MS PGothic" w:eastAsia="MS PGothic" w:hAnsi="MS PGothic"/>
          <w:sz w:val="18"/>
          <w:szCs w:val="18"/>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60" w:firstLine="243"/>
        <w:spacing w:after="0" w:line="264" w:lineRule="auto"/>
        <w:rPr>
          <w:sz w:val="20"/>
          <w:szCs w:val="20"/>
          <w:color w:val="auto"/>
        </w:rPr>
      </w:pPr>
      <w:r>
        <w:rPr>
          <w:rFonts w:ascii="Arial" w:cs="Arial" w:eastAsia="Arial" w:hAnsi="Arial"/>
          <w:sz w:val="18"/>
          <w:szCs w:val="18"/>
          <w:color w:val="auto"/>
        </w:rPr>
        <w:t>On November 6, 2018, Regeneron Pharmaceuticals, Inc. issued a press release announcing its financial and operating results for the quarter ended September 30, 2018.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6, 2018, Reporting Third Quarter 2018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November 6, 2018</w:t>
            </w:r>
          </w:p>
        </w:tc>
        <w:tc>
          <w:tcPr>
            <w:tcW w:w="6580" w:type="dxa"/>
            <w:vAlign w:val="bottom"/>
            <w:gridSpan w:val="2"/>
          </w:tcPr>
          <w:p>
            <w:pPr>
              <w:ind w:left="82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600" w:type="dxa"/>
            <w:vAlign w:val="bottom"/>
          </w:tcPr>
          <w:p>
            <w:pPr>
              <w:spacing w:after="0"/>
              <w:rPr>
                <w:sz w:val="24"/>
                <w:szCs w:val="24"/>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600" w:type="dxa"/>
            <w:vAlign w:val="bottom"/>
          </w:tcPr>
          <w:p>
            <w:pPr>
              <w:spacing w:after="0"/>
              <w:rPr>
                <w:sz w:val="23"/>
                <w:szCs w:val="23"/>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Number</w:t>
            </w:r>
          </w:p>
        </w:tc>
        <w:tc>
          <w:tcPr>
            <w:tcW w:w="62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Description</w:t>
            </w:r>
          </w:p>
        </w:tc>
        <w:tc>
          <w:tcPr>
            <w:tcW w:w="6060" w:type="dxa"/>
            <w:vAlign w:val="bottom"/>
          </w:tcPr>
          <w:p>
            <w:pPr>
              <w:spacing w:after="0"/>
              <w:rPr>
                <w:sz w:val="24"/>
                <w:szCs w:val="24"/>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1"/>
                <w:szCs w:val="21"/>
                <w:color w:val="auto"/>
              </w:rPr>
            </w:pPr>
          </w:p>
        </w:tc>
        <w:tc>
          <w:tcPr>
            <w:tcW w:w="69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Press Release, dated November 6, 2018, Reporting Third Quarter 2018 Financial and Operating</w:t>
              </w:r>
            </w:hyperlink>
          </w:p>
        </w:tc>
      </w:tr>
      <w:tr>
        <w:trPr>
          <w:trHeight w:val="196"/>
        </w:trPr>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Results.</w:t>
              </w:r>
            </w:hyperlink>
          </w:p>
        </w:tc>
        <w:tc>
          <w:tcPr>
            <w:tcW w:w="6320" w:type="dxa"/>
            <w:vAlign w:val="bottom"/>
            <w:gridSpan w:val="2"/>
          </w:tcPr>
          <w:p>
            <w:pPr>
              <w:spacing w:after="0"/>
              <w:rPr>
                <w:sz w:val="17"/>
                <w:szCs w:val="17"/>
                <w:color w:val="auto"/>
              </w:rPr>
            </w:pPr>
          </w:p>
        </w:tc>
      </w:tr>
    </w:tbl>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2018 Financial and Operating Results</w:t>
      </w:r>
    </w:p>
    <w:p>
      <w:pPr>
        <w:spacing w:after="0" w:line="164" w:lineRule="exact"/>
        <w:rPr>
          <w:sz w:val="20"/>
          <w:szCs w:val="20"/>
          <w:color w:val="auto"/>
        </w:rPr>
      </w:pPr>
    </w:p>
    <w:p>
      <w:pPr>
        <w:ind w:left="340" w:right="240" w:hanging="332"/>
        <w:spacing w:after="0" w:line="232" w:lineRule="auto"/>
        <w:tabs>
          <w:tab w:leader="none" w:pos="34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Third quarter 2018 EYLEA</w:t>
      </w:r>
      <w:r>
        <w:rPr>
          <w:rFonts w:ascii="Arial" w:cs="Arial" w:eastAsia="Arial" w:hAnsi="Arial"/>
          <w:sz w:val="27"/>
          <w:szCs w:val="27"/>
          <w:b w:val="1"/>
          <w:bCs w:val="1"/>
          <w:color w:val="auto"/>
          <w:vertAlign w:val="superscript"/>
        </w:rPr>
        <w:t>®</w:t>
      </w:r>
      <w:r>
        <w:rPr>
          <w:rFonts w:ascii="Arial" w:cs="Arial" w:eastAsia="Arial" w:hAnsi="Arial"/>
          <w:sz w:val="21"/>
          <w:szCs w:val="21"/>
          <w:i w:val="1"/>
          <w:iCs w:val="1"/>
          <w:color w:val="auto"/>
        </w:rPr>
        <w:t xml:space="preserve"> (aflibercept) Injection U.S. net sales increased 7% to $1.02 billion versus third quarter 2017, and third quarter 2018 EYLEA global net sales</w:t>
      </w:r>
      <w:r>
        <w:rPr>
          <w:rFonts w:ascii="Arial" w:cs="Arial" w:eastAsia="Arial" w:hAnsi="Arial"/>
          <w:sz w:val="21"/>
          <w:szCs w:val="21"/>
          <w:i w:val="1"/>
          <w:iCs w:val="1"/>
          <w:color w:val="auto"/>
          <w:vertAlign w:val="superscript"/>
        </w:rPr>
        <w:t>(1)</w:t>
      </w:r>
      <w:r>
        <w:rPr>
          <w:rFonts w:ascii="Arial" w:cs="Arial" w:eastAsia="Arial" w:hAnsi="Arial"/>
          <w:sz w:val="21"/>
          <w:szCs w:val="21"/>
          <w:i w:val="1"/>
          <w:iCs w:val="1"/>
          <w:color w:val="auto"/>
        </w:rPr>
        <w:t xml:space="preserve"> increased 11% to $1.68 billion versus third quarter 2017</w:t>
      </w:r>
    </w:p>
    <w:p>
      <w:pPr>
        <w:spacing w:after="0" w:line="1" w:lineRule="exact"/>
        <w:rPr>
          <w:rFonts w:ascii="Arial" w:cs="Arial" w:eastAsia="Arial" w:hAnsi="Arial"/>
          <w:sz w:val="21"/>
          <w:szCs w:val="21"/>
          <w:i w:val="1"/>
          <w:iCs w:val="1"/>
          <w:color w:val="auto"/>
        </w:rPr>
      </w:pPr>
    </w:p>
    <w:p>
      <w:pPr>
        <w:ind w:left="340" w:right="60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U.S. launch of Libtayo</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(cemiplimab-rwlc) Injection for the treatment of patients with cutaneous squamous cell carcinoma (CSCC) underway</w:t>
      </w:r>
    </w:p>
    <w:p>
      <w:pPr>
        <w:ind w:left="340" w:hanging="332"/>
        <w:spacing w:after="0" w:line="191"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U.S. launch of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(dupilumab) Injection in patients with moderate-to-severe asthma underway</w:t>
      </w:r>
    </w:p>
    <w:p>
      <w:pPr>
        <w:ind w:left="340" w:right="128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approval of EYLEA for an every 12-week dosing regimen in patients with wet age-related macular degeneration (wet AMD)</w:t>
      </w:r>
    </w:p>
    <w:p>
      <w:pPr>
        <w:ind w:left="340" w:right="48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Phase 3 trial results showed that EYLEA improved diabetic retinopathy and reduced vision-threatening complications</w:t>
      </w:r>
    </w:p>
    <w:p>
      <w:pPr>
        <w:ind w:left="340" w:right="740" w:hanging="332"/>
        <w:spacing w:after="0" w:line="272" w:lineRule="auto"/>
        <w:tabs>
          <w:tab w:leader="none" w:pos="34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Positive results reported from Phase 3 Dupixent trials in patients with chronic rhinosinusitis with nasal polyps (CRSwNP) and Phase 3 fasinumab trial in patients with chronic pain from osteoarthritis of the knee or hip</w:t>
      </w:r>
    </w:p>
    <w:p>
      <w:pPr>
        <w:spacing w:after="0" w:line="196"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auto"/>
        </w:rPr>
        <w:t xml:space="preserve">Tarrytown, New York (November 6, 2018)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2018 and provided a business update.</w:t>
      </w:r>
    </w:p>
    <w:p>
      <w:pPr>
        <w:spacing w:after="0" w:line="218"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"Regeneron continues to grow and diversify our business, while continuing to deliver very strong financial results. In addition to EYLEA reaching over $1 billion in quarterly U.S. net sales, we also made significant progress with Dupixent, a key driver of future growth, and launched Libtayo, our first immuno-oncology therapy," said Leonard S. Schleifer, M.D., Ph.D., President and Chief Executive Officer of Regeneron. "Dupixent is now approved in the U.S. for both atopic dermatitis and asthma and under regulatory review for the treatment of adolescents with atopic dermatitis - with another submission planned in chronic rhinosinusitis with nasal polyps. We also recently reported positive Phase 3 results for EYLEA in diabetic retinopathy, and expect an FDA action on our supplemental application for this indication in the first half of 2019."</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11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 in millions, except per share data)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Three Months Ended</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10795</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spacing w:after="0"/>
        <w:tabs>
          <w:tab w:leader="none" w:pos="1360" w:val="left"/>
          <w:tab w:leader="none" w:pos="2580" w:val="left"/>
        </w:tabs>
        <w:rPr>
          <w:sz w:val="20"/>
          <w:szCs w:val="20"/>
          <w:color w:val="auto"/>
        </w:rPr>
      </w:pPr>
      <w:r>
        <w:rPr>
          <w:rFonts w:ascii="Arial" w:cs="Arial" w:eastAsia="Arial" w:hAnsi="Arial"/>
          <w:sz w:val="20"/>
          <w:szCs w:val="20"/>
          <w:b w:val="1"/>
          <w:bCs w:val="1"/>
          <w:color w:val="auto"/>
        </w:rPr>
        <w:t>2018</w:t>
      </w:r>
      <w:r>
        <w:rPr>
          <w:sz w:val="20"/>
          <w:szCs w:val="20"/>
          <w:color w:val="auto"/>
        </w:rPr>
        <w:tab/>
      </w:r>
      <w:r>
        <w:rPr>
          <w:rFonts w:ascii="Arial" w:cs="Arial" w:eastAsia="Arial" w:hAnsi="Arial"/>
          <w:sz w:val="20"/>
          <w:szCs w:val="20"/>
          <w:b w:val="1"/>
          <w:bCs w:val="1"/>
          <w:color w:val="auto"/>
        </w:rPr>
        <w:t>2017</w:t>
      </w:r>
      <w:r>
        <w:rPr>
          <w:sz w:val="20"/>
          <w:szCs w:val="20"/>
          <w:color w:val="auto"/>
        </w:rPr>
        <w:tab/>
      </w:r>
      <w:r>
        <w:rPr>
          <w:rFonts w:ascii="Arial" w:cs="Arial" w:eastAsia="Arial" w:hAnsi="Arial"/>
          <w:sz w:val="19"/>
          <w:szCs w:val="19"/>
          <w:b w:val="1"/>
          <w:bCs w:val="1"/>
          <w:color w:val="auto"/>
        </w:rPr>
        <w:t>% Change</w:t>
      </w:r>
    </w:p>
    <w:p>
      <w:pPr>
        <w:spacing w:after="0" w:line="31" w:lineRule="exact"/>
        <w:rPr>
          <w:sz w:val="20"/>
          <w:szCs w:val="20"/>
          <w:color w:val="auto"/>
        </w:rPr>
      </w:pPr>
    </w:p>
    <w:p>
      <w:pPr>
        <w:sectPr>
          <w:pgSz w:w="11900" w:h="16838" w:orient="portrait"/>
          <w:cols w:equalWidth="0" w:num="2">
            <w:col w:w="5680" w:space="720"/>
            <w:col w:w="5020"/>
          </w:cols>
          <w:pgMar w:left="240" w:top="364" w:right="239" w:bottom="1440" w:gutter="0" w:footer="0" w:header="0"/>
          <w:type w:val="continuous"/>
        </w:sectPr>
      </w:pPr>
    </w:p>
    <w:tbl>
      <w:tblPr>
        <w:tblLayout w:type="fixed"/>
        <w:tblInd w:w="1220" w:type="dxa"/>
        <w:tblCellMar>
          <w:top w:w="0" w:type="dxa"/>
          <w:left w:w="0" w:type="dxa"/>
          <w:bottom w:w="0" w:type="dxa"/>
          <w:right w:w="0" w:type="dxa"/>
        </w:tblCellMar>
      </w:tblPr>
      <w:tr>
        <w:trPr>
          <w:trHeight w:val="27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64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1,663</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1,501</w:t>
            </w:r>
          </w:p>
        </w:tc>
        <w:tc>
          <w:tcPr>
            <w:tcW w:w="10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w:t>
            </w:r>
          </w:p>
        </w:tc>
      </w:tr>
      <w:tr>
        <w:trPr>
          <w:trHeight w:val="265"/>
        </w:trPr>
        <w:tc>
          <w:tcPr>
            <w:tcW w:w="41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104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595</w:t>
            </w:r>
          </w:p>
        </w:tc>
        <w:tc>
          <w:tcPr>
            <w:tcW w:w="100" w:type="dxa"/>
            <w:vAlign w:val="bottom"/>
          </w:tcPr>
          <w:p>
            <w:pPr>
              <w:spacing w:after="0"/>
              <w:rPr>
                <w:sz w:val="23"/>
                <w:szCs w:val="23"/>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388</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75"/>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3.32</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w:t>
            </w:r>
          </w:p>
        </w:tc>
      </w:tr>
      <w:tr>
        <w:trPr>
          <w:trHeight w:val="270"/>
        </w:trPr>
        <w:tc>
          <w:tcPr>
            <w:tcW w:w="4140" w:type="dxa"/>
            <w:vAlign w:val="bottom"/>
          </w:tcPr>
          <w:p>
            <w:pPr>
              <w:ind w:left="2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104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675</w:t>
            </w:r>
          </w:p>
        </w:tc>
        <w:tc>
          <w:tcPr>
            <w:tcW w:w="100" w:type="dxa"/>
            <w:vAlign w:val="bottom"/>
          </w:tcPr>
          <w:p>
            <w:pPr>
              <w:spacing w:after="0"/>
              <w:rPr>
                <w:sz w:val="23"/>
                <w:szCs w:val="23"/>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470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70"/>
        </w:trPr>
        <w:tc>
          <w:tcPr>
            <w:tcW w:w="414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(2)</w:t>
            </w: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3.99</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w:t>
            </w:r>
          </w:p>
        </w:tc>
      </w:tr>
      <w:tr>
        <w:trPr>
          <w:trHeight w:val="594"/>
        </w:trPr>
        <w:tc>
          <w:tcPr>
            <w:tcW w:w="4140" w:type="dxa"/>
            <w:vAlign w:val="bottom"/>
          </w:tcPr>
          <w:p>
            <w:pPr>
              <w:spacing w:after="0"/>
              <w:rPr>
                <w:sz w:val="24"/>
                <w:szCs w:val="24"/>
                <w:color w:val="auto"/>
              </w:rPr>
            </w:pPr>
          </w:p>
        </w:tc>
        <w:tc>
          <w:tcPr>
            <w:tcW w:w="640" w:type="dxa"/>
            <w:vAlign w:val="bottom"/>
          </w:tcPr>
          <w:p>
            <w:pPr>
              <w:jc w:val="right"/>
              <w:ind w:right="143"/>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Third Quarter 2018 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40"/>
        <w:spacing w:after="0" w:line="224" w:lineRule="auto"/>
        <w:rPr>
          <w:sz w:val="20"/>
          <w:szCs w:val="20"/>
          <w:color w:val="auto"/>
        </w:rPr>
      </w:pPr>
      <w:r>
        <w:rPr>
          <w:rFonts w:ascii="Arial" w:cs="Arial" w:eastAsia="Arial" w:hAnsi="Arial"/>
          <w:sz w:val="22"/>
          <w:szCs w:val="22"/>
          <w:color w:val="auto"/>
        </w:rPr>
        <w:t xml:space="preserve">Regeneron has twenty product candidates in clinical development, which consist of EYLEA and fully human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eight in collaboration with Sanofi. Updates from the clinical pipeline include: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right="68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FDA approved EYLEA for an every 12-week dosing regimen option after one year of effective therapy in patients with wet AMD.</w:t>
      </w:r>
    </w:p>
    <w:p>
      <w:pPr>
        <w:ind w:left="340" w:right="8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FDA accepted for review the supplemental Biologics License Application (sBLA) of EYLEA for the treatment of diabetic retinopathy, with a target action date of May 13, 2019.</w:t>
      </w:r>
    </w:p>
    <w:p>
      <w:pPr>
        <w:ind w:left="340" w:right="10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announced that the Phase 3 PANORAMA trial evaluating EYLEA in patients with moderately severe and severe non-proliferative diabetic retinopathy met its one-year primary endpoint and key secondary endpoints, including both the improvement of diabetic retinopathy and a reduction in the rate of vision-threatening complications.</w:t>
      </w:r>
    </w:p>
    <w:p>
      <w:pPr>
        <w:spacing w:after="0" w:line="1" w:lineRule="exact"/>
        <w:rPr>
          <w:rFonts w:ascii="Arial" w:cs="Arial" w:eastAsia="Arial" w:hAnsi="Arial"/>
          <w:sz w:val="22"/>
          <w:szCs w:val="22"/>
          <w:color w:val="auto"/>
        </w:rPr>
      </w:pPr>
    </w:p>
    <w:p>
      <w:pPr>
        <w:jc w:val="both"/>
        <w:ind w:left="340" w:right="40" w:hanging="332"/>
        <w:spacing w:after="0" w:line="246"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FDA issued a Complete Response Letter regarding the Chemistry, Manufacturing, and Controls Prior-Approval Supplement (PAS) for the EYLEA pre-filled syringe. The Company expects to compile all the requested information and resubmit the PAS in the first half of 2019.</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 Injection</w:t>
      </w:r>
    </w:p>
    <w:p>
      <w:pPr>
        <w:ind w:left="340" w:right="5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2018, the FDA approved Dupixent as an add-on maintenance therapy in patients with moderate-to-severe asthma aged 12 years and older with an eosinophilic phenotype or with oral corticosteroid-dependent asthma.</w:t>
      </w:r>
    </w:p>
    <w:p>
      <w:pPr>
        <w:spacing w:after="0" w:line="1" w:lineRule="exact"/>
        <w:rPr>
          <w:rFonts w:ascii="Arial" w:cs="Arial" w:eastAsia="Arial" w:hAnsi="Arial"/>
          <w:sz w:val="22"/>
          <w:szCs w:val="22"/>
          <w:color w:val="auto"/>
        </w:rPr>
      </w:pPr>
    </w:p>
    <w:p>
      <w:pPr>
        <w:ind w:left="340" w:right="220" w:hanging="332"/>
        <w:spacing w:after="0" w:line="255" w:lineRule="auto"/>
        <w:tabs>
          <w:tab w:leader="none" w:pos="34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Company and Sanofi submitted an sBLA and a Marketing Authorization Application (MAA) for an expanded atopic dermatitis indication in adolescent patients (12–17 years of age). In November 2018, the FDA accepted for priority review the sBLA for atopic dermatitis in adolescent patients, with a target action date of March 11, 2019.</w:t>
      </w:r>
    </w:p>
    <w:p>
      <w:pPr>
        <w:ind w:left="340" w:right="3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and Sanofi announced positive top-line results from both pivotal Phase 3 placebo-controlled trials evaluating Dupixent in adults with inadequately-controlled CRSwNP.</w:t>
      </w: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Phase 2/3 study in eosinophilic esophagitis and a Phase 2 study in peanut allergy were initiated.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w:t>
      </w:r>
    </w:p>
    <w:p>
      <w:pPr>
        <w:ind w:left="340" w:right="2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FDA approved Praluent for the treatment of patients with heterozygous familial hypercholesterolemia (HeFH) undergoing apheresis.</w:t>
      </w:r>
    </w:p>
    <w:p>
      <w:pPr>
        <w:ind w:left="340" w:right="46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An sBLA for Praluent as a potential treatment to reduce major adverse cardiovascular events was accepted for review by the FDA, with a target action date of April 28, 2019.</w:t>
      </w:r>
    </w:p>
    <w:p>
      <w:pPr>
        <w:ind w:left="3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FDA also accepted for review an sBLA for Praluent for first-line treatment of hyperlipidemia, with a target action date of April 29, 2019.</w:t>
      </w: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 Phase 3 study in pediatric patients with homozygous familial hypercholesterolemia (HoFH) was initiated.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Kevzara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(sarilumab) Injection</w:t>
      </w: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3 study in polymyalgia rheumatica was initiated.</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620" w:right="29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(cemiplimab-rwlc) Injection</w:t>
      </w:r>
    </w:p>
    <w:p>
      <w:pPr>
        <w:ind w:left="340" w:right="200" w:hanging="332"/>
        <w:spacing w:after="0" w:line="249"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On September 28, 2018, the FDA approved Libtayo (cemiplimab-rwlc) for the treatment of patients with metastatic or locally advanced CSCC who are not candidates for curative surgery or curative radiation.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xml:space="preserve"> is an antibody targeting Nerve Growth Factor (NGF).</w:t>
      </w:r>
    </w:p>
    <w:p>
      <w:pPr>
        <w:spacing w:after="0" w:line="4" w:lineRule="exact"/>
        <w:rPr>
          <w:sz w:val="20"/>
          <w:szCs w:val="20"/>
          <w:color w:val="auto"/>
        </w:rPr>
      </w:pPr>
    </w:p>
    <w:p>
      <w:pPr>
        <w:ind w:left="340" w:right="520" w:hanging="332"/>
        <w:spacing w:after="0" w:line="249"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and Teva announced positive top-line results from a Phase 3 study of fasinumab in patients with chronic pain from osteoarthritis of the knee or hip.</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REGN3500</w:t>
      </w:r>
      <w:r>
        <w:rPr>
          <w:rFonts w:ascii="Arial" w:cs="Arial" w:eastAsia="Arial" w:hAnsi="Arial"/>
          <w:sz w:val="22"/>
          <w:szCs w:val="22"/>
          <w:color w:val="auto"/>
        </w:rPr>
        <w:t xml:space="preserve"> is an antibody to IL-33.</w:t>
      </w:r>
    </w:p>
    <w:p>
      <w:pPr>
        <w:spacing w:after="0" w:line="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 Phase 2 study in chronic obstructive pulmonary disease (COPD) was initiated.</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0" w:lineRule="exact"/>
        <w:rPr>
          <w:sz w:val="20"/>
          <w:szCs w:val="20"/>
          <w:color w:val="auto"/>
        </w:rPr>
      </w:pPr>
    </w:p>
    <w:p>
      <w:pPr>
        <w:ind w:left="340" w:right="80" w:hanging="332"/>
        <w:spacing w:after="0" w:line="249"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the third quarter of 2018, the Company entered into a collaboration agreement with bluebird bio, Inc. to research, develop, and commercialize novel immune cell therapies for cancer.</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p>
    <w:p>
      <w:pPr>
        <w:spacing w:after="0" w:line="260"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$1.025 billion in the third quarter of 2018, compared to $957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quarter of 2017. EYLEA net product sales in the United States were $1.022 billion in the third quarter of 2018, compared to $953 million in the third quarter of 2017. Overall distributor inventory levels for EYLEA in the United States remained within the Company's one-to-two-week targeted range.</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11% to $1.663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third quarter of 2018, compared to $1.501 billion in the third quarter of 2017. Total revenues include Sanofi and Bayer collaboration revenues of $521 million in the third quarter of 2018, compared to $482 million in the third quarter of 2017. The increase in Sanofi collaboration revenue in the third quarter of 2018 was primarily due to the Company's share of higher net sales of Dupixent and Praluent, partly offset by the ceasing of funding by Sanofi in connection with the Company's Discovery and Preclinical Development Agreement, which ended on December 31, 2017, and an increase in the collaboration's Dupixent commercialization expenses. Bayer collaboration revenue increased in the third quarter of 2018 primarily due to an increase in net profits in connection with higher sales of EYLEA outside the United States. The increase in other revenue in the third quarter of 2018 was partially due to the recognition of a portion of $80 million in development milestones achieved in the third quarter of 2018 in connection with the Company's fasinumab collaboration with Teva and Mitsubishi Tanabe Pharma.</w:t>
      </w:r>
    </w:p>
    <w:p>
      <w:pPr>
        <w:spacing w:after="0" w:line="190" w:lineRule="exact"/>
        <w:rPr>
          <w:sz w:val="20"/>
          <w:szCs w:val="20"/>
          <w:color w:val="auto"/>
        </w:rPr>
      </w:pPr>
    </w:p>
    <w:p>
      <w:pPr>
        <w:ind w:right="100"/>
        <w:spacing w:after="0" w:line="252" w:lineRule="auto"/>
        <w:rPr>
          <w:sz w:val="20"/>
          <w:szCs w:val="20"/>
          <w:color w:val="auto"/>
        </w:rPr>
      </w:pPr>
      <w:r>
        <w:rPr>
          <w:rFonts w:ascii="Arial" w:cs="Arial" w:eastAsia="Arial" w:hAnsi="Arial"/>
          <w:sz w:val="22"/>
          <w:szCs w:val="22"/>
          <w:color w:val="auto"/>
        </w:rPr>
        <w:t xml:space="preserve">The Company adopted Accounting Standard Codification (ASC) 606,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 as of January 1, 2018. The Company adopted the standard using the modified retrospective method, and therefore prior period amounts have not been adjusted. A more complete description of the impact of adopting ASC 606 can be found in the Company's Form 10-Q for the quarterly period ended September 30, 2018.</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24" w:right="239" w:bottom="1440" w:gutter="0" w:footer="0" w:header="0"/>
        </w:sectPr>
      </w:pPr>
    </w:p>
    <w:bookmarkStart w:id="7" w:name="page8"/>
    <w:bookmarkEnd w:id="7"/>
    <w:p>
      <w:pPr>
        <w:ind w:right="80"/>
        <w:spacing w:after="0" w:line="265" w:lineRule="auto"/>
        <w:rPr>
          <w:sz w:val="20"/>
          <w:szCs w:val="20"/>
          <w:color w:val="auto"/>
        </w:rPr>
      </w:pPr>
      <w:r>
        <w:rPr>
          <w:rFonts w:ascii="Arial" w:cs="Arial" w:eastAsia="Arial" w:hAnsi="Arial"/>
          <w:sz w:val="21"/>
          <w:szCs w:val="21"/>
          <w:b w:val="1"/>
          <w:bCs w:val="1"/>
          <w:color w:val="auto"/>
        </w:rPr>
        <w:t xml:space="preserve">Research and Development (R&amp;D) Expenses: </w:t>
      </w:r>
      <w:r>
        <w:rPr>
          <w:rFonts w:ascii="Arial" w:cs="Arial" w:eastAsia="Arial" w:hAnsi="Arial"/>
          <w:sz w:val="21"/>
          <w:szCs w:val="21"/>
          <w:color w:val="auto"/>
        </w:rPr>
        <w:t>GAAP R&amp;D expenses were $557 million in the third quarter of 2018,</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$530 million in the third quarter of 2017. The higher R&amp;D expenses in the third quarter of 2018 were principally due to an increase in Libtayo development expenses and higher R&amp;D headcount and facilities-related costs, partly offset by a decrease in Dupixent development expenses. In the third quarter of 2018, R&amp;D-related non-cash share-based compensation expense was $60 million, compared to $70 million in the third quarter of 2017.</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$369 million in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2018, compared to $307 million in the third quarter of 2017. The higher SG&amp;A expenses in the third quarter of 2018 were primarily due to higher headcount and headcount-related costs and higher contributions to independent not-for-profit patient assistance organizations. In the third quarter of 2018, SG&amp;A-related non-cash share-based compensation expense decreased to $43 million, compared to $48 million in the third quarter of 2017.</w:t>
      </w:r>
    </w:p>
    <w:p>
      <w:pPr>
        <w:spacing w:after="0" w:line="217" w:lineRule="exact"/>
        <w:rPr>
          <w:sz w:val="20"/>
          <w:szCs w:val="20"/>
          <w:color w:val="auto"/>
        </w:rPr>
      </w:pPr>
    </w:p>
    <w:p>
      <w:pPr>
        <w:spacing w:after="0" w:line="246"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the third quarter of 2018, GAAP income tax expense was $41 million and the effective tax</w:t>
      </w:r>
      <w:r>
        <w:rPr>
          <w:rFonts w:ascii="Arial" w:cs="Arial" w:eastAsia="Arial" w:hAnsi="Arial"/>
          <w:sz w:val="22"/>
          <w:szCs w:val="22"/>
          <w:b w:val="1"/>
          <w:bCs w:val="1"/>
          <w:color w:val="auto"/>
        </w:rPr>
        <w:t xml:space="preserve"> </w:t>
      </w:r>
      <w:r>
        <w:rPr>
          <w:rFonts w:ascii="Arial" w:cs="Arial" w:eastAsia="Arial" w:hAnsi="Arial"/>
          <w:sz w:val="22"/>
          <w:szCs w:val="22"/>
          <w:color w:val="auto"/>
        </w:rPr>
        <w:t>rate was 6.5%, compared to $177 million and 31.3% in the third quarter of 2017. The Company's effective tax rate for the third quarter of 2018 was significantly impacted by the law known as the Tax Cuts and Jobs Act (the "U.S. Tax Reform Act"), which reduced the U.S. federal corporate income tax rate from 35% to 21% effective January 1, 2018. The effective tax rate for the third quarter of 2018 was positively impacted, compared to the U.S. federal statutory rate, primarily by the tax benefit associated with tax planning in connection with the U.S. Tax Reform Act, the federal tax credit for research activities, and, to a lesser extent, stock-based compensation and income earned in foreign jurisdictions with tax rates lower than the U.S. federal statutory rate. During the third quarter of 2018, the Company recorded an income tax benefit of $11.9 million as an adjustment to the provisional amount recorded as of December 31, 2017 for the U.S. Tax Reform Act, which was related to the re-measurement of the Company's U.S. net deferred tax assets.</w:t>
      </w:r>
    </w:p>
    <w:p>
      <w:pPr>
        <w:spacing w:after="0" w:line="227" w:lineRule="exact"/>
        <w:rPr>
          <w:sz w:val="20"/>
          <w:szCs w:val="20"/>
          <w:color w:val="auto"/>
        </w:rPr>
      </w:pPr>
    </w:p>
    <w:p>
      <w:pPr>
        <w:ind w:right="10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GAAP net income was $595 million, or $5.50 per basic share and $5.17 per</w:t>
      </w:r>
      <w:r>
        <w:rPr>
          <w:rFonts w:ascii="Arial" w:cs="Arial" w:eastAsia="Arial" w:hAnsi="Arial"/>
          <w:sz w:val="22"/>
          <w:szCs w:val="22"/>
          <w:b w:val="1"/>
          <w:bCs w:val="1"/>
          <w:color w:val="auto"/>
        </w:rPr>
        <w:t xml:space="preserve"> </w:t>
      </w:r>
      <w:r>
        <w:rPr>
          <w:rFonts w:ascii="Arial" w:cs="Arial" w:eastAsia="Arial" w:hAnsi="Arial"/>
          <w:sz w:val="22"/>
          <w:szCs w:val="22"/>
          <w:color w:val="auto"/>
        </w:rPr>
        <w:t>diluted share, in the third quarter of 2018, compared to GAAP net income of $388 million, or $3.64 per basic share and $3.32 per diluted share, in the third quarter of 2017.</w:t>
      </w:r>
    </w:p>
    <w:p>
      <w:pPr>
        <w:spacing w:after="0" w:line="252"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Non-GAAP net income was $675 million, or $6.25 per basic share and $5.87 per diluted share, in the third quarter of 2018, compared to non-GAAP net income of $470 million, or $4.41 per basic share and $3.99 per diluted share, in the third quarter of 2017.</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2018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2018 financial guidance consists of the following components: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9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w w:val="99"/>
              </w:rPr>
              <w:t>Sanofi collaboration revenue: Sanofi reimbursement of</w:t>
            </w:r>
          </w:p>
        </w:tc>
        <w:tc>
          <w:tcPr>
            <w:tcW w:w="54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$430 million–$455 million</w:t>
            </w:r>
          </w:p>
        </w:tc>
      </w:tr>
      <w:tr>
        <w:trPr>
          <w:trHeight w:val="262"/>
        </w:trPr>
        <w:tc>
          <w:tcPr>
            <w:tcW w:w="49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Regeneron commercialization-related expenses</w:t>
            </w:r>
          </w:p>
        </w:tc>
        <w:tc>
          <w:tcPr>
            <w:tcW w:w="5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$455 million–$485 million)</w:t>
            </w:r>
          </w:p>
        </w:tc>
      </w:tr>
      <w:tr>
        <w:trPr>
          <w:trHeight w:val="218"/>
        </w:trPr>
        <w:tc>
          <w:tcPr>
            <w:tcW w:w="490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5480" w:type="dxa"/>
            <w:vAlign w:val="bottom"/>
            <w:tcBorders>
              <w:right w:val="single" w:sz="8" w:color="auto"/>
            </w:tcBorders>
          </w:tcPr>
          <w:p>
            <w:pPr>
              <w:ind w:left="20"/>
              <w:spacing w:after="0" w:line="218" w:lineRule="exact"/>
              <w:rPr>
                <w:sz w:val="20"/>
                <w:szCs w:val="20"/>
                <w:color w:val="auto"/>
              </w:rPr>
            </w:pPr>
            <w:r>
              <w:rPr>
                <w:rFonts w:ascii="Arial" w:cs="Arial" w:eastAsia="Arial" w:hAnsi="Arial"/>
                <w:sz w:val="20"/>
                <w:szCs w:val="20"/>
                <w:color w:val="auto"/>
              </w:rPr>
              <w:t>$1.190 billion</w:t>
            </w:r>
            <w:r>
              <w:rPr>
                <w:rFonts w:ascii="Arial" w:cs="Arial" w:eastAsia="Arial" w:hAnsi="Arial"/>
                <w:sz w:val="20"/>
                <w:szCs w:val="20"/>
                <w:i w:val="1"/>
                <w:iCs w:val="1"/>
                <w:color w:val="auto"/>
              </w:rPr>
              <w:t>–</w:t>
            </w:r>
            <w:r>
              <w:rPr>
                <w:rFonts w:ascii="Arial" w:cs="Arial" w:eastAsia="Arial" w:hAnsi="Arial"/>
                <w:sz w:val="20"/>
                <w:szCs w:val="20"/>
                <w:color w:val="auto"/>
              </w:rPr>
              <w:t>$1.225 billion</w:t>
            </w:r>
          </w:p>
        </w:tc>
      </w:tr>
      <w:tr>
        <w:trPr>
          <w:trHeight w:val="262"/>
        </w:trPr>
        <w:tc>
          <w:tcPr>
            <w:tcW w:w="4900" w:type="dxa"/>
            <w:vAlign w:val="bottom"/>
            <w:tcBorders>
              <w:left w:val="single" w:sz="8" w:color="auto"/>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$1.210 billion–$1.260 billion)</w:t>
            </w:r>
          </w:p>
        </w:tc>
      </w:tr>
      <w:tr>
        <w:trPr>
          <w:trHeight w:val="218"/>
        </w:trPr>
        <w:tc>
          <w:tcPr>
            <w:tcW w:w="4900" w:type="dxa"/>
            <w:vAlign w:val="bottom"/>
            <w:tcBorders>
              <w:left w:val="single" w:sz="8" w:color="auto"/>
              <w:right w:val="single" w:sz="8" w:color="auto"/>
            </w:tcBorders>
            <w:shd w:val="clear" w:color="auto" w:fill="CCEEFF"/>
          </w:tcPr>
          <w:p>
            <w:pPr>
              <w:ind w:left="40"/>
              <w:spacing w:after="0" w:line="21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5480" w:type="dxa"/>
            <w:vAlign w:val="bottom"/>
            <w:tcBorders>
              <w:right w:val="single" w:sz="8" w:color="auto"/>
            </w:tcBorders>
            <w:shd w:val="clear" w:color="auto" w:fill="CCEEFF"/>
          </w:tcPr>
          <w:p>
            <w:pPr>
              <w:ind w:left="20"/>
              <w:spacing w:after="0" w:line="218" w:lineRule="exact"/>
              <w:rPr>
                <w:sz w:val="20"/>
                <w:szCs w:val="20"/>
                <w:color w:val="auto"/>
              </w:rPr>
            </w:pPr>
            <w:r>
              <w:rPr>
                <w:rFonts w:ascii="Arial" w:cs="Arial" w:eastAsia="Arial" w:hAnsi="Arial"/>
                <w:sz w:val="20"/>
                <w:szCs w:val="20"/>
                <w:color w:val="auto"/>
              </w:rPr>
              <w:t>$1.330 billion–$1.370 billion</w:t>
            </w:r>
          </w:p>
        </w:tc>
      </w:tr>
      <w:tr>
        <w:trPr>
          <w:trHeight w:val="262"/>
        </w:trPr>
        <w:tc>
          <w:tcPr>
            <w:tcW w:w="490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5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$1.340 billion–$1.390 billion)</w:t>
            </w:r>
          </w:p>
        </w:tc>
      </w:tr>
      <w:tr>
        <w:trPr>
          <w:trHeight w:val="218"/>
        </w:trPr>
        <w:tc>
          <w:tcPr>
            <w:tcW w:w="490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Effective tax rate</w:t>
            </w:r>
          </w:p>
        </w:tc>
        <w:tc>
          <w:tcPr>
            <w:tcW w:w="5480" w:type="dxa"/>
            <w:vAlign w:val="bottom"/>
            <w:tcBorders>
              <w:right w:val="single" w:sz="8" w:color="auto"/>
            </w:tcBorders>
          </w:tcPr>
          <w:p>
            <w:pPr>
              <w:ind w:left="20"/>
              <w:spacing w:after="0" w:line="218" w:lineRule="exact"/>
              <w:rPr>
                <w:sz w:val="20"/>
                <w:szCs w:val="20"/>
                <w:color w:val="auto"/>
              </w:rPr>
            </w:pPr>
            <w:r>
              <w:rPr>
                <w:rFonts w:ascii="Arial" w:cs="Arial" w:eastAsia="Arial" w:hAnsi="Arial"/>
                <w:sz w:val="20"/>
                <w:szCs w:val="20"/>
                <w:color w:val="auto"/>
              </w:rPr>
              <w:t>11%–13%</w:t>
            </w:r>
          </w:p>
        </w:tc>
      </w:tr>
      <w:tr>
        <w:trPr>
          <w:trHeight w:val="262"/>
        </w:trPr>
        <w:tc>
          <w:tcPr>
            <w:tcW w:w="4900" w:type="dxa"/>
            <w:vAlign w:val="bottom"/>
            <w:tcBorders>
              <w:left w:val="single" w:sz="8" w:color="auto"/>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13%–16%)</w:t>
            </w:r>
          </w:p>
        </w:tc>
      </w:tr>
      <w:tr>
        <w:trPr>
          <w:trHeight w:val="218"/>
        </w:trPr>
        <w:tc>
          <w:tcPr>
            <w:tcW w:w="4900" w:type="dxa"/>
            <w:vAlign w:val="bottom"/>
            <w:tcBorders>
              <w:left w:val="single" w:sz="8" w:color="auto"/>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Capital expenditures</w:t>
            </w:r>
          </w:p>
        </w:tc>
        <w:tc>
          <w:tcPr>
            <w:tcW w:w="5480" w:type="dxa"/>
            <w:vAlign w:val="bottom"/>
            <w:tcBorders>
              <w:right w:val="single" w:sz="8" w:color="auto"/>
            </w:tcBorders>
            <w:shd w:val="clear" w:color="auto" w:fill="CCEEFF"/>
          </w:tcPr>
          <w:p>
            <w:pPr>
              <w:ind w:left="20"/>
              <w:spacing w:after="0" w:line="218" w:lineRule="exact"/>
              <w:rPr>
                <w:sz w:val="20"/>
                <w:szCs w:val="20"/>
                <w:color w:val="auto"/>
              </w:rPr>
            </w:pPr>
            <w:r>
              <w:rPr>
                <w:rFonts w:ascii="Arial" w:cs="Arial" w:eastAsia="Arial" w:hAnsi="Arial"/>
                <w:sz w:val="20"/>
                <w:szCs w:val="20"/>
                <w:color w:val="auto"/>
              </w:rPr>
              <w:t>$360 million</w:t>
            </w:r>
            <w:r>
              <w:rPr>
                <w:rFonts w:ascii="Arial" w:cs="Arial" w:eastAsia="Arial" w:hAnsi="Arial"/>
                <w:sz w:val="20"/>
                <w:szCs w:val="20"/>
                <w:i w:val="1"/>
                <w:iCs w:val="1"/>
                <w:color w:val="auto"/>
              </w:rPr>
              <w:t>–</w:t>
            </w:r>
            <w:r>
              <w:rPr>
                <w:rFonts w:ascii="Arial" w:cs="Arial" w:eastAsia="Arial" w:hAnsi="Arial"/>
                <w:sz w:val="20"/>
                <w:szCs w:val="20"/>
                <w:color w:val="auto"/>
              </w:rPr>
              <w:t>$390 million</w:t>
            </w:r>
          </w:p>
        </w:tc>
      </w:tr>
      <w:tr>
        <w:trPr>
          <w:trHeight w:val="262"/>
        </w:trPr>
        <w:tc>
          <w:tcPr>
            <w:tcW w:w="490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5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$410 million–$450 million)</w:t>
            </w:r>
          </w:p>
        </w:tc>
      </w:tr>
      <w:tr>
        <w:trPr>
          <w:trHeight w:val="782"/>
        </w:trPr>
        <w:tc>
          <w:tcPr>
            <w:tcW w:w="4900" w:type="dxa"/>
            <w:vAlign w:val="bottom"/>
          </w:tcPr>
          <w:p>
            <w:pPr>
              <w:spacing w:after="0"/>
              <w:rPr>
                <w:sz w:val="24"/>
                <w:szCs w:val="24"/>
                <w:color w:val="auto"/>
              </w:rPr>
            </w:pPr>
          </w:p>
        </w:tc>
        <w:tc>
          <w:tcPr>
            <w:tcW w:w="5480" w:type="dxa"/>
            <w:vAlign w:val="bottom"/>
          </w:tcPr>
          <w:p>
            <w:pPr>
              <w:ind w:left="76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380"/>
          </w:cols>
          <w:pgMar w:left="240" w:top="363" w:right="1279" w:bottom="1440" w:gutter="0" w:footer="0" w:header="0"/>
        </w:sectPr>
      </w:pPr>
    </w:p>
    <w:bookmarkStart w:id="9" w:name="page10"/>
    <w:bookmarkEnd w:id="9"/>
    <w:p>
      <w:pPr>
        <w:ind w:left="345" w:right="260" w:hanging="345"/>
        <w:spacing w:after="0" w:line="225" w:lineRule="auto"/>
        <w:tabs>
          <w:tab w:leader="none" w:pos="34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83"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6" w:lineRule="exact"/>
        <w:rPr>
          <w:rFonts w:ascii="Arial" w:cs="Arial" w:eastAsia="Arial" w:hAnsi="Arial"/>
          <w:sz w:val="22"/>
          <w:szCs w:val="22"/>
          <w:color w:val="auto"/>
          <w:vertAlign w:val="superscript"/>
        </w:rPr>
      </w:pPr>
    </w:p>
    <w:p>
      <w:pPr>
        <w:ind w:left="345" w:right="1020" w:hanging="345"/>
        <w:spacing w:after="0" w:line="225" w:lineRule="auto"/>
        <w:tabs>
          <w:tab w:leader="none" w:pos="34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The Company's 2018 financial guidance does not assume the completion of any significant business development transactions not completed as of the date of this press release.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2018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194945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5"/>
          </w:cols>
          <w:pgMar w:left="275" w:top="555" w:right="27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Regeneron will host a conference call and simultaneous webcast to discuss its third quarter 2018 financial and operating results on Tuesday, November 6, 2018, at 8:30 AM. To access this call, dial (800) 708-4539 (U.S.) or (847) 619-6396 (International). A link to the webcast may be accessed from the "Investors and Media" page of Regeneron's website at www.regeneron.com.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32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neuromuscular diseases, infectious diseases, and rare diseases.</w:t>
      </w:r>
    </w:p>
    <w:p>
      <w:pPr>
        <w:spacing w:after="0" w:line="231" w:lineRule="exact"/>
        <w:rPr>
          <w:sz w:val="20"/>
          <w:szCs w:val="20"/>
          <w:color w:val="auto"/>
        </w:rPr>
      </w:pPr>
    </w:p>
    <w:p>
      <w:pPr>
        <w:ind w:right="60"/>
        <w:spacing w:after="0" w:line="219"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produces optimized fully-human antibodies, and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Injection, 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(alirocumab) Injection,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Injection,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Injection, fasinumab, and evinacumab; the extent to which the results from the research and development programs conducted by Regeneron or its collaborators may be replicated in other studies and lead to therapeutic applications; ongoing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4" w:right="279" w:bottom="1440" w:gutter="0" w:footer="0" w:header="0"/>
        </w:sectPr>
      </w:pPr>
    </w:p>
    <w:bookmarkStart w:id="11" w:name="page12"/>
    <w:bookmarkEnd w:id="11"/>
    <w:p>
      <w:pPr>
        <w:spacing w:after="0" w:line="243" w:lineRule="auto"/>
        <w:rPr>
          <w:sz w:val="20"/>
          <w:szCs w:val="20"/>
          <w:color w:val="auto"/>
        </w:rPr>
      </w:pPr>
      <w:r>
        <w:rPr>
          <w:rFonts w:ascii="Arial" w:cs="Arial" w:eastAsia="Arial" w:hAnsi="Arial"/>
          <w:sz w:val="22"/>
          <w:szCs w:val="22"/>
          <w:color w:val="auto"/>
        </w:rPr>
        <w:t>regulatory obligations and oversight impacting Regeneron's marketed products (such as EYLEA, Dupixent, Praluent, Kevzara, and Libtayo),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including without limitation those relating to Sanofi reimbursement of Regeneron commercialization-related expenses, non-GAAP unreimbursed R&amp;D, non-GAAP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the ultimate outcome of any such litigation proceedings,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9"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90" w:right="27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670"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3359"/>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9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79"/>
          </w:cols>
          <w:pgMar w:left="280" w:top="670"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TABLE 1</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0" w:type="dxa"/>
            <w:vAlign w:val="bottom"/>
          </w:tcPr>
          <w:p>
            <w:pPr>
              <w:spacing w:after="0"/>
              <w:rPr>
                <w:sz w:val="24"/>
                <w:szCs w:val="24"/>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rPr>
              <w:t>REGENERON PHARMACEUTICALS, INC.</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8260" w:type="dxa"/>
            <w:vAlign w:val="bottom"/>
            <w:gridSpan w:val="2"/>
          </w:tcPr>
          <w:p>
            <w:pPr>
              <w:jc w:val="center"/>
              <w:ind w:left="2910"/>
              <w:spacing w:after="0"/>
              <w:rPr>
                <w:sz w:val="20"/>
                <w:szCs w:val="20"/>
                <w:color w:val="auto"/>
              </w:rPr>
            </w:pPr>
            <w:r>
              <w:rPr>
                <w:rFonts w:ascii="Arial" w:cs="Arial" w:eastAsia="Arial" w:hAnsi="Arial"/>
                <w:sz w:val="18"/>
                <w:szCs w:val="18"/>
                <w:b w:val="1"/>
                <w:bCs w:val="1"/>
                <w:i w:val="1"/>
                <w:iCs w:val="1"/>
                <w:color w:val="auto"/>
                <w:w w:val="88"/>
              </w:rPr>
              <w:t>(In thousands)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Cash and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4,065,721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2,896,074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1,665,737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1,538,642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Accounts receivable from Sanofi and Bayer</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537,208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435,698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726,138</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2,524,446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2,358,605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506,291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410,004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302,838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10,805,613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8,764,286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1,148,318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967,418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949,337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Capital and facility lease obligations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707,203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703,453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7,868,300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6,144,078</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10,805,613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8,764,286</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center"/>
              <w:ind w:left="3010"/>
              <w:spacing w:after="0"/>
              <w:rPr>
                <w:sz w:val="20"/>
                <w:szCs w:val="20"/>
                <w:color w:val="auto"/>
              </w:rPr>
            </w:pPr>
            <w:r>
              <w:rPr>
                <w:rFonts w:ascii="Arial" w:cs="Arial" w:eastAsia="Arial" w:hAnsi="Arial"/>
                <w:sz w:val="18"/>
                <w:szCs w:val="18"/>
                <w:color w:val="auto"/>
                <w:w w:val="89"/>
              </w:rPr>
              <w:t>10</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68" w:right="2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TABLE 2</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30"/>
        </w:trPr>
        <w:tc>
          <w:tcPr>
            <w:tcW w:w="3840" w:type="dxa"/>
            <w:vAlign w:val="bottom"/>
          </w:tcPr>
          <w:p>
            <w:pPr>
              <w:spacing w:after="0"/>
              <w:rPr>
                <w:sz w:val="24"/>
                <w:szCs w:val="24"/>
                <w:color w:val="auto"/>
              </w:rPr>
            </w:pPr>
          </w:p>
        </w:tc>
        <w:tc>
          <w:tcPr>
            <w:tcW w:w="428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9820" w:type="dxa"/>
            <w:vAlign w:val="bottom"/>
            <w:gridSpan w:val="11"/>
          </w:tcPr>
          <w:p>
            <w:pPr>
              <w:jc w:val="center"/>
              <w:ind w:left="153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4280" w:type="dxa"/>
            <w:vAlign w:val="bottom"/>
            <w:gridSpan w:val="7"/>
          </w:tcPr>
          <w:p>
            <w:pPr>
              <w:jc w:val="center"/>
              <w:ind w:right="52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6"/>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1,025,488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957,367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3,009,779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2,739,745</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256,265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683,508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677,670</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Bayer collaboration revenue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264,373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236,625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775,164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640,919</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117,370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314,552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231,446</w:t>
            </w: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1,663,496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1,500,673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4,783,003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4,289,780</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556,972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529,749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1,584,847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1,547,159</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306,766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1,064,886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910,520</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30,817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46,388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136,010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149,774</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Cost of collaboration and contract manufacturing</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79,552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180,918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141,547</w:t>
            </w: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1,036,573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940,747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2,966,661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2,749,000</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626,923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559,926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1,816,342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1,540,780</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60,991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(17,036)</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635,861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565,605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1,877,333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1,523,744</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(41,206)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(177,288)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(253,286)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(498,752)</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3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594,655</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388,317</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1,624,047</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1,024,992</w:t>
            </w:r>
          </w:p>
        </w:tc>
      </w:tr>
      <w:tr>
        <w:trPr>
          <w:trHeight w:val="311"/>
        </w:trPr>
        <w:tc>
          <w:tcPr>
            <w:tcW w:w="384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9.66</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324"/>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106,108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115,088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117,028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114,843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115,994</w:t>
            </w:r>
          </w:p>
        </w:tc>
      </w:tr>
      <w:tr>
        <w:trPr>
          <w:trHeight w:val="891"/>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TABLE 3</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30"/>
        </w:trPr>
        <w:tc>
          <w:tcPr>
            <w:tcW w:w="8120" w:type="dxa"/>
            <w:vAlign w:val="bottom"/>
            <w:gridSpan w:val="8"/>
          </w:tcPr>
          <w:p>
            <w:pPr>
              <w:jc w:val="center"/>
              <w:ind w:left="321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9820" w:type="dxa"/>
            <w:vAlign w:val="bottom"/>
            <w:gridSpan w:val="11"/>
          </w:tcPr>
          <w:p>
            <w:pPr>
              <w:jc w:val="center"/>
              <w:ind w:left="153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p>
        </w:tc>
        <w:tc>
          <w:tcPr>
            <w:tcW w:w="3820" w:type="dxa"/>
            <w:vAlign w:val="bottom"/>
            <w:gridSpan w:val="7"/>
          </w:tcPr>
          <w:p>
            <w:pPr>
              <w:jc w:val="center"/>
              <w:ind w:right="98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6"/>
        </w:trPr>
        <w:tc>
          <w:tcPr>
            <w:tcW w:w="4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7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594,655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1,624,047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1,024,992</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R&amp;D: Non-cash 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213,174</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w w:val="94"/>
              </w:rPr>
              <w:t>SG&amp;A: Non-cash share-based compensation expense</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42,898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47,672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118,379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146,192</w:t>
            </w: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COGS and COCM: Non-cash share-based compensation</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21,432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20,778</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w w:val="93"/>
              </w:rPr>
              <w:t>Other income/expense: Loss on extinguishment of debt</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30,100</w:t>
            </w:r>
          </w:p>
        </w:tc>
      </w:tr>
      <w:tr>
        <w:trPr>
          <w:trHeight w:val="27"/>
        </w:trPr>
        <w:tc>
          <w:tcPr>
            <w:tcW w:w="47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income/expense: Gains and losses on investments in</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30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5"/>
                <w:szCs w:val="25"/>
                <w:color w:val="auto"/>
                <w:vertAlign w:val="superscript"/>
              </w:rPr>
              <w:t>(a)</w:t>
            </w:r>
          </w:p>
        </w:tc>
        <w:tc>
          <w:tcPr>
            <w:tcW w:w="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Income tax effect of reconciling items above</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(141,458)</w:t>
            </w: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Income tax expense: Adjustment to previously recorded</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charge related to enactment of U.S. Tax Reform Act</w:t>
            </w:r>
          </w:p>
        </w:tc>
        <w:tc>
          <w:tcPr>
            <w:tcW w:w="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3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4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675,496</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470,456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1,835,880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1,293,778</w:t>
            </w:r>
          </w:p>
        </w:tc>
      </w:tr>
      <w:tr>
        <w:trPr>
          <w:trHeight w:val="311"/>
        </w:trPr>
        <w:tc>
          <w:tcPr>
            <w:tcW w:w="4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12.19</w:t>
            </w: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diluted</w:t>
            </w:r>
          </w:p>
        </w:tc>
        <w:tc>
          <w:tcPr>
            <w:tcW w:w="7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r>
      <w:tr>
        <w:trPr>
          <w:trHeight w:val="270"/>
        </w:trPr>
        <w:tc>
          <w:tcPr>
            <w:tcW w:w="4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108,033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107,828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106,108</w:t>
            </w: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 per share - diluted</w:t>
            </w: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115,142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117,819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114,855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116,616</w:t>
            </w:r>
          </w:p>
        </w:tc>
      </w:tr>
      <w:tr>
        <w:trPr>
          <w:trHeight w:val="27"/>
        </w:trPr>
        <w:tc>
          <w:tcPr>
            <w:tcW w:w="4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360" w:right="260" w:hanging="1"/>
        <w:spacing w:after="0" w:line="262" w:lineRule="auto"/>
        <w:tabs>
          <w:tab w:leader="none" w:pos="545"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Prior to the quarter ended March 31, 2018, unrealized gains and losses on equity securities were recorded in Other comprehensive income (loss). In connection with the adoption of Accounting Standards Update 2016-01, unrealized gains and losses on equity securities during the three and nine months ended September 30, 2018 were recorded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TABLE 4</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711"/>
        </w:trPr>
        <w:tc>
          <w:tcPr>
            <w:tcW w:w="8120" w:type="dxa"/>
            <w:vAlign w:val="bottom"/>
            <w:gridSpan w:val="7"/>
          </w:tcPr>
          <w:p>
            <w:pPr>
              <w:jc w:val="center"/>
              <w:ind w:left="321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9"/>
              </w:rPr>
              <w:t>COLLABORATION AND OTHER REVENUE (Unaudited)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8"/>
              </w:rPr>
              <w:t>(In thousands)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6"/>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150,947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190,188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426,701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609,464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Reimbursement of Regeneron commercialization-related</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106,902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299,263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252,866</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commercialization of antibodies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(182,595)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(328,998)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37,340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140,139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144,338</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256,265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245,175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683,508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677,670</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Bayer collaboration revenue:</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Regeneron's net profit in connection with commercialization</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EYLEA outside the United States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243,152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205,367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721,522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571,126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Reimbursement of Regeneron development expenses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26,447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20,764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45,321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43,346</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Bayer collaboration revenue</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264,373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236,625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775,164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640,919</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Sanofi and Bayer collaboration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520,638</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481,800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1,458,672</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1,318,589</w:t>
            </w: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Other revenue:</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 - Teva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27,648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101,087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82,068</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expenses - other</w:t>
            </w:r>
          </w:p>
        </w:tc>
        <w:tc>
          <w:tcPr>
            <w:tcW w:w="3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3,562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200,590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145,816</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other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117,370</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61,506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314,552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231,446</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5</w:t>
      </w:r>
    </w:p>
    <w:p>
      <w:pPr>
        <w:spacing w:after="0" w:line="200" w:lineRule="exact"/>
        <w:rPr>
          <w:sz w:val="20"/>
          <w:szCs w:val="20"/>
          <w:color w:val="auto"/>
        </w:rPr>
      </w:pPr>
    </w:p>
    <w:p>
      <w:pPr>
        <w:spacing w:after="0" w:line="237" w:lineRule="exact"/>
        <w:rPr>
          <w:sz w:val="20"/>
          <w:szCs w:val="20"/>
          <w:color w:val="auto"/>
        </w:rPr>
      </w:pPr>
    </w:p>
    <w:p>
      <w:pPr>
        <w:jc w:val="center"/>
        <w:ind w:left="580" w:right="2020"/>
        <w:spacing w:after="0" w:line="275"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rPr>
              <w:t>ROW</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3140" w:type="dxa"/>
            <w:vAlign w:val="bottom"/>
          </w:tcPr>
          <w:p>
            <w:pPr>
              <w:ind w:left="4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1,021,782</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654,563</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1,676,345</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953,279</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563,705</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1,516,984</w:t>
            </w:r>
          </w:p>
        </w:tc>
        <w:tc>
          <w:tcPr>
            <w:tcW w:w="0" w:type="dxa"/>
            <w:vAlign w:val="bottom"/>
          </w:tcPr>
          <w:p>
            <w:pPr>
              <w:spacing w:after="0"/>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09"/>
        </w:trPr>
        <w:tc>
          <w:tcPr>
            <w:tcW w:w="3140" w:type="dxa"/>
            <w:vAlign w:val="bottom"/>
          </w:tcPr>
          <w:p>
            <w:pPr>
              <w:ind w:left="160"/>
              <w:spacing w:after="0"/>
              <w:rPr>
                <w:sz w:val="20"/>
                <w:szCs w:val="20"/>
                <w:color w:val="auto"/>
              </w:rPr>
            </w:pPr>
            <w:r>
              <w:rPr>
                <w:rFonts w:ascii="Arial" w:cs="Arial" w:eastAsia="Arial" w:hAnsi="Arial"/>
                <w:sz w:val="18"/>
                <w:szCs w:val="18"/>
                <w:color w:val="auto"/>
              </w:rPr>
              <w:t>Net product sales recorded by</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1,025,488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957,367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Regeneron</w:t>
            </w:r>
          </w:p>
        </w:tc>
        <w:tc>
          <w:tcPr>
            <w:tcW w:w="24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Dupixent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219,605</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88,509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88,979</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Praluent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48,386</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31,778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80,164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31,789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49,402</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Kevzara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19,894</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ZALTRAP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23,863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25,375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2,982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18,710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21,692</w:t>
            </w:r>
          </w:p>
        </w:tc>
        <w:tc>
          <w:tcPr>
            <w:tcW w:w="0" w:type="dxa"/>
            <w:vAlign w:val="bottom"/>
          </w:tcPr>
          <w:p>
            <w:pPr>
              <w:spacing w:after="0"/>
              <w:rPr>
                <w:sz w:val="1"/>
                <w:szCs w:val="1"/>
                <w:color w:val="auto"/>
              </w:rPr>
            </w:pPr>
          </w:p>
        </w:tc>
      </w:tr>
      <w:tr>
        <w:trPr>
          <w:trHeight w:val="441"/>
        </w:trPr>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rPr>
              <w:t>ROW</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3140" w:type="dxa"/>
            <w:vAlign w:val="bottom"/>
          </w:tcPr>
          <w:p>
            <w:pPr>
              <w:ind w:left="4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2,997,829</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1,944,482</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4,942,311</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2,727,132</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1,590,043</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4,317,175</w:t>
            </w:r>
          </w:p>
        </w:tc>
        <w:tc>
          <w:tcPr>
            <w:tcW w:w="0" w:type="dxa"/>
            <w:vAlign w:val="bottom"/>
          </w:tcPr>
          <w:p>
            <w:pPr>
              <w:spacing w:after="0"/>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209"/>
        </w:trPr>
        <w:tc>
          <w:tcPr>
            <w:tcW w:w="3140" w:type="dxa"/>
            <w:vAlign w:val="bottom"/>
          </w:tcPr>
          <w:p>
            <w:pPr>
              <w:ind w:left="160"/>
              <w:spacing w:after="0"/>
              <w:rPr>
                <w:sz w:val="20"/>
                <w:szCs w:val="20"/>
                <w:color w:val="auto"/>
              </w:rPr>
            </w:pPr>
            <w:r>
              <w:rPr>
                <w:rFonts w:ascii="Arial" w:cs="Arial" w:eastAsia="Arial" w:hAnsi="Arial"/>
                <w:sz w:val="18"/>
                <w:szCs w:val="18"/>
                <w:color w:val="auto"/>
              </w:rPr>
              <w:t>Net product sales recorded by</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3,009,779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2,739,745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Regeneron</w:t>
            </w:r>
          </w:p>
        </w:tc>
        <w:tc>
          <w:tcPr>
            <w:tcW w:w="24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Dupixent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517,672</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116,887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117,630</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Praluent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121,561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91,964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213,525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89,782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41,661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131,443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Kevzara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48,118</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ZALTRAP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6,637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73,431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80,068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7,575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50,991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58,566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0" w:right="160" w:hanging="4"/>
        <w:spacing w:after="0" w:line="312" w:lineRule="auto"/>
        <w:tabs>
          <w:tab w:leader="none" w:pos="742" w:val="left"/>
        </w:tabs>
        <w:numPr>
          <w:ilvl w:val="0"/>
          <w:numId w:val="14"/>
        </w:numPr>
        <w:rPr>
          <w:rFonts w:ascii="Arial" w:cs="Arial" w:eastAsia="Arial" w:hAnsi="Arial"/>
          <w:sz w:val="14"/>
          <w:szCs w:val="14"/>
          <w:color w:val="auto"/>
        </w:rPr>
      </w:pPr>
      <w:r>
        <w:rPr>
          <w:rFonts w:ascii="Arial" w:cs="Arial" w:eastAsia="Arial" w:hAnsi="Arial"/>
          <w:sz w:val="16"/>
          <w:szCs w:val="16"/>
          <w:color w:val="auto"/>
        </w:rPr>
        <w:t>Bayer records net product sales of EYLEA outside the United States and Sanofi records global net product sales of Dupixent, Praluent, Kevzara, and ZALTRAP. Refer to Table 4 for the Company's share of profits/losses recorded in connection with sales of EYLEA outside the United States and global sales of Dupixent, Praluent, and Kevzara. Sanofi pays the Company a percentage of aggregate net sales of ZALTRAP.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sectPr>
      <w:pgSz w:w="11900" w:h="16838" w:orient="portrait"/>
      <w:cols w:equalWidth="0" w:num="1">
        <w:col w:w="11080"/>
      </w:cols>
      <w:pgMar w:left="240" w:top="368"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2019-12-28T18:00:28Z</dcterms:created>
  <dcterms:modified xsi:type="dcterms:W3CDTF">2019-12-28T18:00:28Z</dcterms:modified>
</cp:coreProperties>
</file>