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Avalanche Biotechnologies,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05337G 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August 5,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80" w:type="dxa"/>
            <w:vAlign w:val="bottom"/>
          </w:tcPr>
          <w:p>
            <w:pPr>
              <w:ind w:left="1500"/>
              <w:spacing w:after="0"/>
              <w:rPr>
                <w:sz w:val="20"/>
                <w:szCs w:val="20"/>
                <w:color w:val="auto"/>
              </w:rPr>
            </w:pPr>
            <w:r>
              <w:rPr>
                <w:rFonts w:ascii="Arial" w:cs="Arial" w:eastAsia="Arial" w:hAnsi="Arial"/>
                <w:sz w:val="18"/>
                <w:szCs w:val="18"/>
                <w:color w:val="auto"/>
              </w:rPr>
              <w:t>13G</w:t>
            </w:r>
          </w:p>
        </w:tc>
      </w:tr>
      <w:tr>
        <w:trPr>
          <w:trHeight w:val="338"/>
        </w:trPr>
        <w:tc>
          <w:tcPr>
            <w:tcW w:w="4060" w:type="dxa"/>
            <w:vAlign w:val="bottom"/>
          </w:tcPr>
          <w:p>
            <w:pPr>
              <w:spacing w:after="0"/>
              <w:rPr>
                <w:sz w:val="20"/>
                <w:szCs w:val="20"/>
                <w:color w:val="auto"/>
              </w:rPr>
            </w:pPr>
            <w:r>
              <w:rPr>
                <w:rFonts w:ascii="Arial" w:cs="Arial" w:eastAsia="Arial" w:hAnsi="Arial"/>
                <w:sz w:val="18"/>
                <w:szCs w:val="18"/>
                <w:color w:val="auto"/>
              </w:rPr>
              <w:t>CUSIP No. 05337G 107</w:t>
            </w:r>
          </w:p>
        </w:tc>
        <w:tc>
          <w:tcPr>
            <w:tcW w:w="7380" w:type="dxa"/>
            <w:vAlign w:val="bottom"/>
          </w:tcPr>
          <w:p>
            <w:pPr>
              <w:ind w:left="6080"/>
              <w:spacing w:after="0"/>
              <w:rPr>
                <w:sz w:val="20"/>
                <w:szCs w:val="20"/>
                <w:color w:val="auto"/>
              </w:rPr>
            </w:pPr>
            <w:r>
              <w:rPr>
                <w:rFonts w:ascii="Arial" w:cs="Arial" w:eastAsia="Arial" w:hAnsi="Arial"/>
                <w:sz w:val="18"/>
                <w:szCs w:val="18"/>
                <w:color w:val="auto"/>
                <w:w w:val="86"/>
              </w:rPr>
              <w:t>Page 2 of 5 Pages</w:t>
            </w:r>
          </w:p>
        </w:tc>
      </w:tr>
      <w:tr>
        <w:trPr>
          <w:trHeight w:val="122"/>
        </w:trPr>
        <w:tc>
          <w:tcPr>
            <w:tcW w:w="406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r>
      <w:tr>
        <w:trPr>
          <w:trHeight w:val="224"/>
        </w:trPr>
        <w:tc>
          <w:tcPr>
            <w:tcW w:w="40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Regeneron Pharmaceuticals, Inc.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4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100" w:type="dxa"/>
            <w:vAlign w:val="bottom"/>
            <w:gridSpan w:val="4"/>
          </w:tcPr>
          <w:p>
            <w:pPr>
              <w:ind w:left="100"/>
              <w:spacing w:after="0"/>
              <w:rPr>
                <w:sz w:val="20"/>
                <w:szCs w:val="20"/>
                <w:color w:val="auto"/>
              </w:rPr>
            </w:pPr>
            <w:r>
              <w:rPr>
                <w:rFonts w:ascii="Arial" w:cs="Arial" w:eastAsia="Arial" w:hAnsi="Arial"/>
                <w:sz w:val="18"/>
                <w:szCs w:val="18"/>
                <w:color w:val="auto"/>
                <w:w w:val="89"/>
              </w:rPr>
              <w:t>SEC use only</w:t>
            </w:r>
          </w:p>
        </w:tc>
        <w:tc>
          <w:tcPr>
            <w:tcW w:w="9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2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2"/>
        </w:trPr>
        <w:tc>
          <w:tcPr>
            <w:tcW w:w="120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1,809,098</w:t>
            </w:r>
          </w:p>
        </w:tc>
        <w:tc>
          <w:tcPr>
            <w:tcW w:w="0" w:type="dxa"/>
            <w:vAlign w:val="bottom"/>
          </w:tcPr>
          <w:p>
            <w:pPr>
              <w:spacing w:after="0"/>
              <w:rPr>
                <w:sz w:val="1"/>
                <w:szCs w:val="1"/>
                <w:color w:val="auto"/>
              </w:rPr>
            </w:pPr>
          </w:p>
        </w:tc>
      </w:tr>
      <w:tr>
        <w:trPr>
          <w:trHeight w:val="50"/>
        </w:trPr>
        <w:tc>
          <w:tcPr>
            <w:tcW w:w="1200" w:type="dxa"/>
            <w:vAlign w:val="bottom"/>
            <w:tcBorders>
              <w:right w:val="single" w:sz="8" w:color="auto"/>
            </w:tcBorders>
            <w:gridSpan w:val="4"/>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vMerge w:val="restart"/>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gridSpan w:val="2"/>
          </w:tcPr>
          <w:p>
            <w:pPr>
              <w:jc w:val="center"/>
              <w:ind w:right="320"/>
              <w:spacing w:after="0" w:line="182" w:lineRule="exact"/>
              <w:rPr>
                <w:sz w:val="20"/>
                <w:szCs w:val="20"/>
                <w:color w:val="auto"/>
              </w:rPr>
            </w:pPr>
            <w:r>
              <w:rPr>
                <w:rFonts w:ascii="Arial" w:cs="Arial" w:eastAsia="Arial" w:hAnsi="Arial"/>
                <w:sz w:val="18"/>
                <w:szCs w:val="18"/>
                <w:color w:val="auto"/>
                <w:w w:val="86"/>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8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7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80" w:type="dxa"/>
            <w:vAlign w:val="bottom"/>
          </w:tcPr>
          <w:p>
            <w:pPr>
              <w:ind w:left="240"/>
              <w:spacing w:after="0" w:line="244" w:lineRule="exact"/>
              <w:rPr>
                <w:sz w:val="20"/>
                <w:szCs w:val="20"/>
                <w:color w:val="auto"/>
              </w:rPr>
            </w:pPr>
            <w:r>
              <w:rPr>
                <w:rFonts w:ascii="Arial" w:cs="Arial" w:eastAsia="Arial" w:hAnsi="Arial"/>
                <w:sz w:val="22"/>
                <w:szCs w:val="22"/>
                <w:color w:val="auto"/>
              </w:rPr>
              <w:t>1,809,098</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8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1,809,098</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4"/>
                <w:szCs w:val="24"/>
                <w:color w:val="auto"/>
              </w:rPr>
            </w:pPr>
          </w:p>
        </w:tc>
        <w:tc>
          <w:tcPr>
            <w:tcW w:w="1098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60" w:type="dxa"/>
            <w:vAlign w:val="bottom"/>
            <w:tcBorders>
              <w:bottom w:val="single" w:sz="8" w:color="auto"/>
              <w:right w:val="single" w:sz="8" w:color="auto"/>
            </w:tcBorders>
            <w:gridSpan w:val="2"/>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8.1%*</w:t>
            </w: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CO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20" w:right="200" w:hanging="212"/>
        <w:spacing w:after="0" w:line="276"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22,257,278 shares of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Avalanche Biotechnologies, Inc. (the “</w:t>
      </w:r>
      <w:r>
        <w:rPr>
          <w:rFonts w:ascii="Arial" w:cs="Arial" w:eastAsia="Arial" w:hAnsi="Arial"/>
          <w:sz w:val="17"/>
          <w:szCs w:val="17"/>
          <w:u w:val="single" w:color="auto"/>
          <w:color w:val="auto"/>
        </w:rPr>
        <w:t>Issuer</w:t>
      </w:r>
      <w:r>
        <w:rPr>
          <w:rFonts w:ascii="Arial" w:cs="Arial" w:eastAsia="Arial" w:hAnsi="Arial"/>
          <w:sz w:val="17"/>
          <w:szCs w:val="17"/>
          <w:color w:val="auto"/>
        </w:rPr>
        <w:t>”) outstanding as of June 30, 2014, as reported on a pro forma as adjusted basis to give effect to certain transactions (including those that occurred in connection with the Issuer’s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in the Issuer’s Prospectus (Registration Nos. 333-197133 and 333-197739) filed pursuant to Rule 424(b)(4) under the Securities Act of 1933, as amended, on July 31, 2014, after giving further effect to the additional 900,000 shares of Common Stock issued and sold by the Issuer to the underwriters of the IPO pursuant to the underwriters’ option.</w:t>
      </w:r>
    </w:p>
    <w:p>
      <w:pPr>
        <w:sectPr>
          <w:pgSz w:w="11900" w:h="16838" w:orient="portrait"/>
          <w:cols w:equalWidth="0" w:num="1">
            <w:col w:w="11440"/>
          </w:cols>
          <w:pgMar w:left="240" w:top="27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05337G 107</w:t>
      </w:r>
      <w:r>
        <w:rPr>
          <w:sz w:val="20"/>
          <w:szCs w:val="20"/>
          <w:color w:val="auto"/>
        </w:rPr>
        <w:tab/>
      </w:r>
      <w:r>
        <w:rPr>
          <w:rFonts w:ascii="Arial" w:cs="Arial" w:eastAsia="Arial" w:hAnsi="Arial"/>
          <w:sz w:val="15"/>
          <w:szCs w:val="15"/>
          <w:color w:val="auto"/>
        </w:rPr>
        <w:t>Page 3 of 5 Pages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5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1035 O’Brien Drive, Suite 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20" w:right="8120" w:hanging="466"/>
        <w:spacing w:after="0" w:line="431" w:lineRule="auto"/>
        <w:tabs>
          <w:tab w:leader="none" w:pos="898"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Regeneron Pharmaceuticals, Inc.</w:t>
      </w: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20" w:right="9700" w:hanging="466"/>
        <w:spacing w:after="0" w:line="431" w:lineRule="auto"/>
        <w:tabs>
          <w:tab w:leader="none" w:pos="898"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New York</w:t>
      </w: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pacing w:after="0" w:line="255" w:lineRule="exact"/>
        <w:rPr>
          <w:sz w:val="20"/>
          <w:szCs w:val="20"/>
          <w:color w:val="auto"/>
        </w:rPr>
      </w:pPr>
    </w:p>
    <w:p>
      <w:pPr>
        <w:ind w:left="920" w:right="9380" w:hanging="466"/>
        <w:spacing w:after="0" w:line="483" w:lineRule="auto"/>
        <w:tabs>
          <w:tab w:leader="none" w:pos="898"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05337G 107</w:t>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98" w:lineRule="exact"/>
        <w:rPr>
          <w:sz w:val="20"/>
          <w:szCs w:val="20"/>
          <w:color w:val="auto"/>
        </w:rPr>
      </w:pPr>
    </w:p>
    <w:p>
      <w:pPr>
        <w:ind w:left="1000" w:hanging="456"/>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000" w:hanging="467"/>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000" w:hanging="456"/>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000" w:hanging="467"/>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000" w:hanging="456"/>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000" w:hanging="437"/>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000" w:hanging="467"/>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000" w:hanging="467"/>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380" w:right="300" w:hanging="807"/>
        <w:spacing w:after="0" w:line="239" w:lineRule="exact"/>
        <w:tabs>
          <w:tab w:leader="none" w:pos="1002"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00" w:hanging="427"/>
        <w:spacing w:after="0" w:line="207" w:lineRule="exact"/>
        <w:tabs>
          <w:tab w:leader="none" w:pos="10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00" w:lineRule="exact"/>
        <w:rPr>
          <w:sz w:val="20"/>
          <w:szCs w:val="20"/>
          <w:color w:val="auto"/>
        </w:rPr>
      </w:pPr>
    </w:p>
    <w:p>
      <w:pPr>
        <w:spacing w:after="0" w:line="241" w:lineRule="exact"/>
        <w:rPr>
          <w:sz w:val="20"/>
          <w:szCs w:val="20"/>
          <w:color w:val="auto"/>
        </w:rPr>
      </w:pPr>
    </w:p>
    <w:p>
      <w:pPr>
        <w:ind w:left="1000" w:hanging="467"/>
        <w:spacing w:after="0" w:line="207" w:lineRule="exact"/>
        <w:tabs>
          <w:tab w:leader="none" w:pos="100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If filing as a non-U.S. institution in accordance with § 240.13d–1(b)(1)(ii)(J), please specify the type of institution:</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05337G 107</w:t>
      </w:r>
      <w:r>
        <w:rPr>
          <w:sz w:val="20"/>
          <w:szCs w:val="20"/>
          <w:color w:val="auto"/>
        </w:rPr>
        <w:tab/>
      </w:r>
      <w:r>
        <w:rPr>
          <w:rFonts w:ascii="Arial" w:cs="Arial" w:eastAsia="Arial" w:hAnsi="Arial"/>
          <w:sz w:val="15"/>
          <w:szCs w:val="15"/>
          <w:color w:val="auto"/>
        </w:rPr>
        <w:t>Page 4 of 5 Pages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Rows 5 through 11 of the cover pages to this Schedule 13G is incorporated herein by reference.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ind w:right="536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203" w:lineRule="exact"/>
        <w:rPr>
          <w:sz w:val="20"/>
          <w:szCs w:val="20"/>
          <w:color w:val="auto"/>
        </w:rPr>
      </w:pPr>
    </w:p>
    <w:p>
      <w:pPr>
        <w:ind w:left="920" w:right="1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p>
    <w:p>
      <w:pPr>
        <w:spacing w:after="0" w:line="131"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CUSIP No. 05337G 107</w:t>
      </w:r>
      <w:r>
        <w:rPr>
          <w:sz w:val="20"/>
          <w:szCs w:val="20"/>
          <w:color w:val="auto"/>
        </w:rPr>
        <w:tab/>
      </w:r>
      <w:r>
        <w:rPr>
          <w:rFonts w:ascii="Arial" w:cs="Arial" w:eastAsia="Arial" w:hAnsi="Arial"/>
          <w:sz w:val="15"/>
          <w:szCs w:val="15"/>
          <w:color w:val="auto"/>
        </w:rPr>
        <w:t>Page 5 of 5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7, 2014</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680" w:type="dxa"/>
            <w:vAlign w:val="bottom"/>
          </w:tcPr>
          <w:p>
            <w:pPr>
              <w:spacing w:after="0"/>
              <w:rPr>
                <w:sz w:val="24"/>
                <w:szCs w:val="24"/>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09"/>
        </w:trPr>
        <w:tc>
          <w:tcPr>
            <w:tcW w:w="3680" w:type="dxa"/>
            <w:vAlign w:val="bottom"/>
          </w:tcPr>
          <w:p>
            <w:pPr>
              <w:spacing w:after="0"/>
              <w:rPr>
                <w:sz w:val="18"/>
                <w:szCs w:val="18"/>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3680" w:type="dxa"/>
            <w:vAlign w:val="bottom"/>
          </w:tcPr>
          <w:p>
            <w:pPr>
              <w:spacing w:after="0"/>
              <w:rPr>
                <w:sz w:val="20"/>
                <w:szCs w:val="20"/>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2019-12-07T23:17:59Z</dcterms:created>
  <dcterms:modified xsi:type="dcterms:W3CDTF">2019-12-07T23:17:59Z</dcterms:modified>
</cp:coreProperties>
</file>