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740"/>
        <w:spacing w:after="0"/>
        <w:rPr>
          <w:sz w:val="20"/>
          <w:szCs w:val="20"/>
          <w:color w:val="auto"/>
        </w:rPr>
      </w:pPr>
      <w:r>
        <w:rPr>
          <w:rFonts w:ascii="Courier New" w:cs="Courier New" w:eastAsia="Courier New" w:hAnsi="Courier New"/>
          <w:sz w:val="18"/>
          <w:szCs w:val="18"/>
          <w:color w:val="auto"/>
        </w:rPr>
        <w:t>Filed pursuant to Rule No. 424(b)(3)</w:t>
      </w:r>
    </w:p>
    <w:p>
      <w:pPr>
        <w:jc w:val="right"/>
        <w:ind w:right="2740"/>
        <w:spacing w:after="0" w:line="238" w:lineRule="auto"/>
        <w:rPr>
          <w:sz w:val="20"/>
          <w:szCs w:val="20"/>
          <w:color w:val="auto"/>
        </w:rPr>
      </w:pPr>
      <w:r>
        <w:rPr>
          <w:rFonts w:ascii="Courier New" w:cs="Courier New" w:eastAsia="Courier New" w:hAnsi="Courier New"/>
          <w:sz w:val="18"/>
          <w:szCs w:val="18"/>
          <w:color w:val="auto"/>
        </w:rPr>
        <w:t>File Number 333-74464</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PROSPECTUS SUPPLEMENT NO. 5</w:t>
      </w:r>
    </w:p>
    <w:p>
      <w:pPr>
        <w:jc w:val="center"/>
        <w:ind w:right="26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$200,000,000</w:t>
      </w:r>
    </w:p>
    <w:p>
      <w:pPr>
        <w:jc w:val="center"/>
        <w:ind w:right="2740"/>
        <w:spacing w:after="0" w:line="238" w:lineRule="auto"/>
        <w:rPr>
          <w:sz w:val="20"/>
          <w:szCs w:val="20"/>
          <w:color w:val="auto"/>
        </w:rPr>
      </w:pPr>
      <w:r>
        <w:rPr>
          <w:rFonts w:ascii="Courier New" w:cs="Courier New" w:eastAsia="Courier New" w:hAnsi="Courier New"/>
          <w:sz w:val="18"/>
          <w:szCs w:val="18"/>
          <w:color w:val="auto"/>
        </w:rPr>
        <w:t>5.50% CONVERTIBLE SENIOR SUBORDINATED NOTES DUE 2008</w:t>
      </w:r>
    </w:p>
    <w:p>
      <w:pPr>
        <w:jc w:val="center"/>
        <w:ind w:right="274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0" w:lineRule="exact"/>
        <w:rPr>
          <w:sz w:val="24"/>
          <w:szCs w:val="24"/>
          <w:color w:val="auto"/>
        </w:rPr>
      </w:pPr>
    </w:p>
    <w:p>
      <w:pPr>
        <w:spacing w:after="0" w:line="209" w:lineRule="exact"/>
        <w:rPr>
          <w:sz w:val="24"/>
          <w:szCs w:val="24"/>
          <w:color w:val="auto"/>
        </w:rPr>
      </w:pPr>
    </w:p>
    <w:p>
      <w:pPr>
        <w:ind w:right="2740" w:firstLine="948"/>
        <w:spacing w:after="0" w:line="237" w:lineRule="auto"/>
        <w:rPr>
          <w:sz w:val="20"/>
          <w:szCs w:val="20"/>
          <w:color w:val="auto"/>
        </w:rPr>
      </w:pPr>
      <w:r>
        <w:rPr>
          <w:rFonts w:ascii="Courier New" w:cs="Courier New" w:eastAsia="Courier New" w:hAnsi="Courier New"/>
          <w:sz w:val="18"/>
          <w:szCs w:val="18"/>
          <w:color w:val="auto"/>
        </w:rPr>
        <w:t>This prospectus supplement supplements the prospectus dated January 24, 2002 of Regeneron Pharmaceuticals, Inc. relating to the sale by certain of our securityholders (including their pledgees,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215" w:lineRule="exact"/>
        <w:rPr>
          <w:sz w:val="24"/>
          <w:szCs w:val="24"/>
          <w:color w:val="auto"/>
        </w:rPr>
      </w:pPr>
    </w:p>
    <w:p>
      <w:pPr>
        <w:ind w:right="3160" w:firstLine="948"/>
        <w:spacing w:after="0" w:line="235" w:lineRule="auto"/>
        <w:rPr>
          <w:sz w:val="20"/>
          <w:szCs w:val="20"/>
          <w:color w:val="auto"/>
        </w:rPr>
      </w:pPr>
      <w:r>
        <w:rPr>
          <w:rFonts w:ascii="Courier New" w:cs="Courier New" w:eastAsia="Courier New" w:hAnsi="Courier New"/>
          <w:sz w:val="18"/>
          <w:szCs w:val="18"/>
          <w:color w:val="auto"/>
        </w:rPr>
        <w:t>The table of selling securityholders contained in the prospectus is hereby modified to add as follows: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Courier New" w:cs="Courier New" w:eastAsia="Courier New" w:hAnsi="Courier New"/>
                <w:sz w:val="18"/>
                <w:szCs w:val="18"/>
                <w:color w:val="auto"/>
                <w:w w:val="97"/>
              </w:rPr>
              <w:t>Aggregate Principal</w:t>
            </w:r>
          </w:p>
        </w:tc>
        <w:tc>
          <w:tcPr>
            <w:tcW w:w="18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8"/>
              </w:rPr>
              <w:t>Percentage of</w:t>
            </w:r>
          </w:p>
        </w:tc>
      </w:tr>
      <w:tr>
        <w:trPr>
          <w:trHeight w:val="203"/>
        </w:trPr>
        <w:tc>
          <w:tcPr>
            <w:tcW w:w="2580" w:type="dxa"/>
            <w:vAlign w:val="bottom"/>
          </w:tcPr>
          <w:p>
            <w:pPr>
              <w:spacing w:after="0"/>
              <w:rPr>
                <w:sz w:val="17"/>
                <w:szCs w:val="17"/>
                <w:color w:val="auto"/>
              </w:rPr>
            </w:pPr>
          </w:p>
        </w:tc>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Amount at</w:t>
            </w:r>
          </w:p>
        </w:tc>
        <w:tc>
          <w:tcPr>
            <w:tcW w:w="18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Percentage of</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18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6"/>
              </w:rPr>
              <w:t>Shares of</w:t>
            </w:r>
          </w:p>
        </w:tc>
      </w:tr>
      <w:tr>
        <w:trPr>
          <w:trHeight w:val="203"/>
        </w:trPr>
        <w:tc>
          <w:tcPr>
            <w:tcW w:w="2580" w:type="dxa"/>
            <w:vAlign w:val="bottom"/>
          </w:tcPr>
          <w:p>
            <w:pPr>
              <w:spacing w:after="0"/>
              <w:rPr>
                <w:sz w:val="17"/>
                <w:szCs w:val="17"/>
                <w:color w:val="auto"/>
              </w:rPr>
            </w:pPr>
          </w:p>
        </w:tc>
        <w:tc>
          <w:tcPr>
            <w:tcW w:w="2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Maturity of the Notes</w:t>
            </w:r>
          </w:p>
        </w:tc>
        <w:tc>
          <w:tcPr>
            <w:tcW w:w="18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9"/>
              </w:rPr>
              <w:t>Notes</w:t>
            </w:r>
          </w:p>
        </w:tc>
        <w:tc>
          <w:tcPr>
            <w:tcW w:w="212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that may</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that may be Sold</w:t>
            </w:r>
          </w:p>
        </w:tc>
        <w:tc>
          <w:tcPr>
            <w:tcW w:w="18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Outstanding</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 Sold</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w:t>
            </w:r>
          </w:p>
        </w:tc>
        <w:tc>
          <w:tcPr>
            <w:tcW w:w="184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Outstanding (2)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BMO Nesbitt Burns Inc.</w:t>
            </w:r>
          </w:p>
        </w:tc>
        <w:tc>
          <w:tcPr>
            <w:tcW w:w="2800" w:type="dxa"/>
            <w:vAlign w:val="bottom"/>
          </w:tcPr>
          <w:p>
            <w:pPr>
              <w:jc w:val="center"/>
              <w:spacing w:after="0"/>
              <w:rPr>
                <w:sz w:val="20"/>
                <w:szCs w:val="20"/>
                <w:color w:val="auto"/>
              </w:rPr>
            </w:pPr>
            <w:r>
              <w:rPr>
                <w:rFonts w:ascii="Courier New" w:cs="Courier New" w:eastAsia="Courier New" w:hAnsi="Courier New"/>
                <w:sz w:val="18"/>
                <w:szCs w:val="18"/>
                <w:color w:val="auto"/>
                <w:w w:val="98"/>
              </w:rPr>
              <w:t>4,500,000</w:t>
            </w:r>
          </w:p>
        </w:tc>
        <w:tc>
          <w:tcPr>
            <w:tcW w:w="18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9"/>
              </w:rPr>
              <w:t>2.25%</w:t>
            </w:r>
          </w:p>
        </w:tc>
        <w:tc>
          <w:tcPr>
            <w:tcW w:w="21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148,754</w:t>
            </w:r>
          </w:p>
        </w:tc>
        <w:tc>
          <w:tcPr>
            <w:tcW w:w="184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Less than one percent (1%).</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w:t>
      </w:r>
    </w:p>
    <w:p>
      <w:pPr>
        <w:spacing w:after="0" w:line="4" w:lineRule="exact"/>
        <w:rPr>
          <w:rFonts w:ascii="Courier New" w:cs="Courier New" w:eastAsia="Courier New" w:hAnsi="Courier New"/>
          <w:sz w:val="18"/>
          <w:szCs w:val="18"/>
          <w:color w:val="auto"/>
        </w:rPr>
      </w:pPr>
    </w:p>
    <w:p>
      <w:pPr>
        <w:ind w:left="540" w:right="284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208" w:lineRule="exact"/>
        <w:rPr>
          <w:rFonts w:ascii="Courier New" w:cs="Courier New" w:eastAsia="Courier New" w:hAnsi="Courier New"/>
          <w:sz w:val="18"/>
          <w:szCs w:val="18"/>
          <w:color w:val="auto"/>
        </w:rPr>
      </w:pPr>
    </w:p>
    <w:p>
      <w:pPr>
        <w:ind w:left="540" w:right="2740" w:hanging="532"/>
        <w:spacing w:after="0" w:line="27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Exchange Act, using 43,826,969 shares of common stock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185" w:lineRule="exact"/>
        <w:rPr>
          <w:sz w:val="24"/>
          <w:szCs w:val="24"/>
          <w:color w:val="auto"/>
        </w:rPr>
      </w:pPr>
    </w:p>
    <w:p>
      <w:pPr>
        <w:ind w:right="3060" w:firstLine="948"/>
        <w:spacing w:after="0" w:line="236" w:lineRule="auto"/>
        <w:rPr>
          <w:sz w:val="20"/>
          <w:szCs w:val="20"/>
          <w:color w:val="auto"/>
        </w:rPr>
      </w:pPr>
      <w:r>
        <w:rPr>
          <w:rFonts w:ascii="Courier New" w:cs="Courier New" w:eastAsia="Courier New" w:hAnsi="Courier New"/>
          <w:sz w:val="18"/>
          <w:szCs w:val="18"/>
          <w:color w:val="auto"/>
        </w:rPr>
        <w:t>Investing in the notes or shares of common stock involves risks that are described in the "Risk Factors" section beginning on page 5 of the prospectus.</w:t>
      </w:r>
    </w:p>
    <w:p>
      <w:pPr>
        <w:spacing w:after="0" w:line="209" w:lineRule="exact"/>
        <w:rPr>
          <w:sz w:val="24"/>
          <w:szCs w:val="24"/>
          <w:color w:val="auto"/>
        </w:rPr>
      </w:pPr>
    </w:p>
    <w:p>
      <w:pPr>
        <w:ind w:right="2740"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May 15, 2002.</w:t>
      </w:r>
    </w:p>
    <w:sectPr>
      <w:pgSz w:w="11900" w:h="16838" w:orient="portrait"/>
      <w:cols w:equalWidth="0" w:num="1">
        <w:col w:w="11180"/>
      </w:cols>
      <w:pgMar w:left="240" w:top="44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2019-12-20T02:11:03Z</dcterms:created>
  <dcterms:modified xsi:type="dcterms:W3CDTF">2019-12-20T02:11:03Z</dcterms:modified>
</cp:coreProperties>
</file>