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9364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936434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20" w:space="380"/>
            <w:col w:w="8820"/>
          </w:cols>
          <w:pgMar w:left="240" w:top="224" w:right="139" w:bottom="242"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RUPP RANDALL</w:t>
        </w:r>
      </w:hyperlink>
    </w:p>
    <w:p>
      <w:pPr>
        <w:spacing w:after="0" w:line="315"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8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6"/>
        </w:trPr>
        <w:tc>
          <w:tcPr>
            <w:tcW w:w="40" w:type="dxa"/>
            <w:vAlign w:val="bottom"/>
          </w:tcPr>
          <w:p>
            <w:pPr>
              <w:spacing w:after="0"/>
              <w:rPr>
                <w:sz w:val="23"/>
                <w:szCs w:val="23"/>
                <w:color w:val="auto"/>
              </w:rPr>
            </w:pPr>
          </w:p>
        </w:tc>
        <w:tc>
          <w:tcPr>
            <w:tcW w:w="3780" w:type="dxa"/>
            <w:vAlign w:val="bottom"/>
            <w:gridSpan w:val="3"/>
          </w:tcPr>
          <w:p>
            <w:pPr>
              <w:spacing w:after="0"/>
              <w:rPr>
                <w:sz w:val="20"/>
                <w:szCs w:val="20"/>
                <w:color w:val="auto"/>
              </w:rPr>
            </w:pPr>
            <w:r>
              <w:rPr>
                <w:rFonts w:ascii="Arial" w:cs="Arial" w:eastAsia="Arial" w:hAnsi="Arial"/>
                <w:sz w:val="17"/>
                <w:szCs w:val="17"/>
                <w:color w:val="0000FF"/>
              </w:rPr>
              <w:t>777 OLD SAW MILL RIVER ROAD</w:t>
            </w:r>
          </w:p>
        </w:tc>
      </w:tr>
      <w:tr>
        <w:trPr>
          <w:trHeight w:val="207"/>
        </w:trPr>
        <w:tc>
          <w:tcPr>
            <w:tcW w:w="40" w:type="dxa"/>
            <w:vAlign w:val="bottom"/>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r>
      <w:tr>
        <w:trPr>
          <w:trHeight w:val="262"/>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36"/>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TARRYTOWN</w:t>
            </w:r>
          </w:p>
        </w:tc>
        <w:tc>
          <w:tcPr>
            <w:tcW w:w="920" w:type="dxa"/>
            <w:vAlign w:val="bottom"/>
          </w:tcPr>
          <w:p>
            <w:pPr>
              <w:ind w:left="8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10591</w:t>
            </w:r>
          </w:p>
        </w:tc>
      </w:tr>
      <w:tr>
        <w:trPr>
          <w:trHeight w:val="154"/>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4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3820" w:type="dxa"/>
            <w:vAlign w:val="bottom"/>
            <w:tcBorders>
              <w:bottom w:val="single" w:sz="8" w:color="0000EE"/>
            </w:tcBorders>
            <w:gridSpan w:val="2"/>
          </w:tcPr>
          <w:p>
            <w:pPr>
              <w:spacing w:after="0" w:line="206" w:lineRule="exact"/>
              <w:rPr>
                <w:rFonts w:ascii="Arial" w:cs="Arial" w:eastAsia="Arial" w:hAnsi="Arial"/>
                <w:sz w:val="21"/>
                <w:szCs w:val="21"/>
                <w:color w:val="0000EE"/>
                <w:w w:val="97"/>
              </w:rPr>
            </w:pPr>
            <w:hyperlink r:id="rId13">
              <w:r>
                <w:rPr>
                  <w:rFonts w:ascii="Arial" w:cs="Arial" w:eastAsia="Arial" w:hAnsi="Arial"/>
                  <w:sz w:val="21"/>
                  <w:szCs w:val="21"/>
                  <w:color w:val="0000EE"/>
                  <w:w w:val="97"/>
                </w:rPr>
                <w:t>REGENERON PHARMACEUTICALS INC</w:t>
              </w:r>
            </w:hyperlink>
          </w:p>
        </w:tc>
        <w:tc>
          <w:tcPr>
            <w:tcW w:w="100" w:type="dxa"/>
            <w:vAlign w:val="bottom"/>
          </w:tcPr>
          <w:p>
            <w:pPr>
              <w:spacing w:after="0"/>
              <w:rPr>
                <w:sz w:val="18"/>
                <w:szCs w:val="18"/>
                <w:color w:val="auto"/>
              </w:rPr>
            </w:pPr>
          </w:p>
        </w:tc>
        <w:tc>
          <w:tcPr>
            <w:tcW w:w="190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180" w:type="dxa"/>
            <w:vAlign w:val="bottom"/>
            <w:gridSpan w:val="2"/>
            <w:vMerge w:val="restart"/>
          </w:tcPr>
          <w:p>
            <w:pPr>
              <w:ind w:left="60"/>
              <w:spacing w:after="0"/>
              <w:rPr>
                <w:sz w:val="20"/>
                <w:szCs w:val="20"/>
                <w:color w:val="auto"/>
              </w:rPr>
            </w:pPr>
            <w:r>
              <w:rPr>
                <w:rFonts w:ascii="Arial" w:cs="Arial" w:eastAsia="Arial" w:hAnsi="Arial"/>
                <w:sz w:val="21"/>
                <w:szCs w:val="21"/>
                <w:color w:val="auto"/>
              </w:rPr>
              <w:t>[</w:t>
            </w:r>
          </w:p>
        </w:tc>
        <w:tc>
          <w:tcPr>
            <w:tcW w:w="380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REGN </w:t>
            </w:r>
            <w:r>
              <w:rPr>
                <w:rFonts w:ascii="Arial" w:cs="Arial" w:eastAsia="Arial" w:hAnsi="Arial"/>
                <w:sz w:val="21"/>
                <w:szCs w:val="21"/>
                <w:color w:val="000000"/>
              </w:rPr>
              <w:t>]</w:t>
            </w:r>
          </w:p>
        </w:tc>
        <w:tc>
          <w:tcPr>
            <w:tcW w:w="500" w:type="dxa"/>
            <w:vAlign w:val="bottom"/>
          </w:tcPr>
          <w:p>
            <w:pPr>
              <w:spacing w:after="0"/>
              <w:rPr>
                <w:sz w:val="11"/>
                <w:szCs w:val="11"/>
                <w:color w:val="auto"/>
              </w:rPr>
            </w:pPr>
          </w:p>
        </w:tc>
        <w:tc>
          <w:tcPr>
            <w:tcW w:w="1400" w:type="dxa"/>
            <w:vAlign w:val="bottom"/>
          </w:tcPr>
          <w:p>
            <w:pPr>
              <w:ind w:left="100"/>
              <w:spacing w:after="0" w:line="131" w:lineRule="exact"/>
              <w:rPr>
                <w:sz w:val="20"/>
                <w:szCs w:val="20"/>
                <w:color w:val="auto"/>
              </w:rPr>
            </w:pPr>
            <w:r>
              <w:rPr>
                <w:rFonts w:ascii="Arial" w:cs="Arial" w:eastAsia="Arial" w:hAnsi="Arial"/>
                <w:sz w:val="13"/>
                <w:szCs w:val="13"/>
                <w:color w:val="auto"/>
              </w:rPr>
              <w:t>Director</w:t>
            </w:r>
          </w:p>
        </w:tc>
        <w:tc>
          <w:tcPr>
            <w:tcW w:w="1520" w:type="dxa"/>
            <w:vAlign w:val="bottom"/>
          </w:tcPr>
          <w:p>
            <w:pPr>
              <w:ind w:left="340"/>
              <w:spacing w:after="0" w:line="13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2"/>
        </w:trPr>
        <w:tc>
          <w:tcPr>
            <w:tcW w:w="180" w:type="dxa"/>
            <w:vAlign w:val="bottom"/>
            <w:gridSpan w:val="2"/>
            <w:vMerge w:val="continue"/>
          </w:tcPr>
          <w:p>
            <w:pPr>
              <w:spacing w:after="0"/>
              <w:rPr>
                <w:sz w:val="12"/>
                <w:szCs w:val="12"/>
                <w:color w:val="auto"/>
              </w:rPr>
            </w:pPr>
          </w:p>
        </w:tc>
        <w:tc>
          <w:tcPr>
            <w:tcW w:w="3800" w:type="dxa"/>
            <w:vAlign w:val="bottom"/>
            <w:gridSpan w:val="2"/>
            <w:vMerge w:val="continue"/>
          </w:tcPr>
          <w:p>
            <w:pPr>
              <w:spacing w:after="0"/>
              <w:rPr>
                <w:sz w:val="12"/>
                <w:szCs w:val="12"/>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3"/>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7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800" w:type="dxa"/>
            <w:vAlign w:val="bottom"/>
            <w:gridSpan w:val="2"/>
            <w:vMerge w:val="restart"/>
          </w:tcPr>
          <w:p>
            <w:pPr>
              <w:ind w:left="4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180" w:type="dxa"/>
            <w:vAlign w:val="bottom"/>
            <w:gridSpan w:val="2"/>
            <w:vMerge w:val="continue"/>
          </w:tcPr>
          <w:p>
            <w:pPr>
              <w:spacing w:after="0"/>
              <w:rPr>
                <w:sz w:val="12"/>
                <w:szCs w:val="12"/>
                <w:color w:val="auto"/>
              </w:rPr>
            </w:pPr>
          </w:p>
        </w:tc>
        <w:tc>
          <w:tcPr>
            <w:tcW w:w="38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2920" w:type="dxa"/>
            <w:vAlign w:val="bottom"/>
            <w:gridSpan w:val="2"/>
            <w:vMerge w:val="restart"/>
          </w:tcPr>
          <w:p>
            <w:pPr>
              <w:ind w:left="100"/>
              <w:spacing w:after="0"/>
              <w:rPr>
                <w:sz w:val="20"/>
                <w:szCs w:val="20"/>
                <w:color w:val="auto"/>
              </w:rPr>
            </w:pPr>
            <w:r>
              <w:rPr>
                <w:rFonts w:ascii="Arial" w:cs="Arial" w:eastAsia="Arial" w:hAnsi="Arial"/>
                <w:sz w:val="17"/>
                <w:szCs w:val="17"/>
                <w:color w:val="0000FF"/>
              </w:rPr>
              <w:t>SVP, Manuf &amp; Process Sciences</w:t>
            </w:r>
          </w:p>
        </w:tc>
        <w:tc>
          <w:tcPr>
            <w:tcW w:w="0" w:type="dxa"/>
            <w:vAlign w:val="bottom"/>
          </w:tcPr>
          <w:p>
            <w:pPr>
              <w:spacing w:after="0"/>
              <w:rPr>
                <w:sz w:val="1"/>
                <w:szCs w:val="1"/>
                <w:color w:val="auto"/>
              </w:rPr>
            </w:pPr>
          </w:p>
        </w:tc>
      </w:tr>
      <w:tr>
        <w:trPr>
          <w:trHeight w:val="111"/>
        </w:trPr>
        <w:tc>
          <w:tcPr>
            <w:tcW w:w="3880" w:type="dxa"/>
            <w:vAlign w:val="bottom"/>
            <w:gridSpan w:val="3"/>
            <w:vMerge w:val="restart"/>
          </w:tcPr>
          <w:p>
            <w:pPr>
              <w:ind w:left="60"/>
              <w:spacing w:after="0"/>
              <w:rPr>
                <w:sz w:val="20"/>
                <w:szCs w:val="20"/>
                <w:color w:val="auto"/>
              </w:rPr>
            </w:pPr>
            <w:r>
              <w:rPr>
                <w:rFonts w:ascii="Arial" w:cs="Arial" w:eastAsia="Arial" w:hAnsi="Arial"/>
                <w:sz w:val="17"/>
                <w:szCs w:val="17"/>
                <w:color w:val="0000FF"/>
              </w:rPr>
              <w:t>01/05/2005</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8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7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4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800" w:type="dxa"/>
            <w:vAlign w:val="bottom"/>
            <w:gridSpan w:val="2"/>
          </w:tcPr>
          <w:p>
            <w:pPr>
              <w:ind w:left="4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6"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00"/>
            <w:col w:w="7520"/>
          </w:cols>
          <w:pgMar w:left="240" w:top="224" w:right="139" w:bottom="24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2"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2"/>
                <w:szCs w:val="12"/>
                <w:color w:val="auto"/>
              </w:rPr>
            </w:pP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 of</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Incentive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vMerge w:val="restart"/>
          </w:tcPr>
          <w:p>
            <w:pPr>
              <w:jc w:val="right"/>
              <w:ind w:right="263"/>
              <w:spacing w:after="0"/>
              <w:rPr>
                <w:sz w:val="20"/>
                <w:szCs w:val="20"/>
                <w:color w:val="auto"/>
              </w:rPr>
            </w:pPr>
            <w:r>
              <w:rPr>
                <w:rFonts w:ascii="Arial" w:cs="Arial" w:eastAsia="Arial" w:hAnsi="Arial"/>
                <w:sz w:val="11"/>
                <w:szCs w:val="11"/>
                <w:color w:val="008000"/>
              </w:rPr>
              <w:t>(1)</w:t>
            </w:r>
          </w:p>
        </w:tc>
        <w:tc>
          <w:tcPr>
            <w:tcW w:w="76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5,147</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19.43</w:t>
            </w:r>
          </w:p>
        </w:tc>
        <w:tc>
          <w:tcPr>
            <w:tcW w:w="11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01/05/2005</w:t>
            </w:r>
          </w:p>
        </w:tc>
        <w:tc>
          <w:tcPr>
            <w:tcW w:w="1120" w:type="dxa"/>
            <w:vAlign w:val="bottom"/>
          </w:tcPr>
          <w:p>
            <w:pPr>
              <w:spacing w:after="0"/>
              <w:rPr>
                <w:sz w:val="5"/>
                <w:szCs w:val="5"/>
                <w:color w:val="auto"/>
              </w:rPr>
            </w:pPr>
          </w:p>
        </w:tc>
        <w:tc>
          <w:tcPr>
            <w:tcW w:w="420" w:type="dxa"/>
            <w:vAlign w:val="bottom"/>
            <w:vMerge w:val="restart"/>
          </w:tcPr>
          <w:p>
            <w:pPr>
              <w:ind w:left="160"/>
              <w:spacing w:after="0" w:line="145" w:lineRule="exact"/>
              <w:rPr>
                <w:sz w:val="20"/>
                <w:szCs w:val="20"/>
                <w:color w:val="auto"/>
              </w:rPr>
            </w:pPr>
            <w:r>
              <w:rPr>
                <w:rFonts w:ascii="Arial" w:cs="Arial" w:eastAsia="Arial" w:hAnsi="Arial"/>
                <w:sz w:val="13"/>
                <w:szCs w:val="13"/>
                <w:color w:val="0000FF"/>
              </w:rPr>
              <w:t>D</w:t>
            </w: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85"/>
              </w:rPr>
              <w:t>5,147</w:t>
            </w:r>
          </w:p>
        </w:tc>
        <w:tc>
          <w:tcPr>
            <w:tcW w:w="800" w:type="dxa"/>
            <w:vAlign w:val="bottom"/>
            <w:vMerge w:val="continue"/>
          </w:tcPr>
          <w:p>
            <w:pPr>
              <w:spacing w:after="0"/>
              <w:rPr>
                <w:sz w:val="5"/>
                <w:szCs w:val="5"/>
                <w:color w:val="auto"/>
              </w:rPr>
            </w:pPr>
          </w:p>
        </w:tc>
        <w:tc>
          <w:tcPr>
            <w:tcW w:w="76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12/20/2012</w:t>
            </w: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rPr>
              <w:t>0</w:t>
            </w:r>
          </w:p>
        </w:tc>
        <w:tc>
          <w:tcPr>
            <w:tcW w:w="7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Incentive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vMerge w:val="restart"/>
          </w:tcPr>
          <w:p>
            <w:pPr>
              <w:jc w:val="right"/>
              <w:ind w:right="263"/>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4,216</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37.78</w:t>
            </w:r>
          </w:p>
        </w:tc>
        <w:tc>
          <w:tcPr>
            <w:tcW w:w="11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01/05/2005</w:t>
            </w:r>
          </w:p>
        </w:tc>
        <w:tc>
          <w:tcPr>
            <w:tcW w:w="1120" w:type="dxa"/>
            <w:vAlign w:val="bottom"/>
          </w:tcPr>
          <w:p>
            <w:pPr>
              <w:spacing w:after="0"/>
              <w:rPr>
                <w:sz w:val="5"/>
                <w:szCs w:val="5"/>
                <w:color w:val="auto"/>
              </w:rPr>
            </w:pPr>
          </w:p>
        </w:tc>
        <w:tc>
          <w:tcPr>
            <w:tcW w:w="420" w:type="dxa"/>
            <w:vAlign w:val="bottom"/>
            <w:vMerge w:val="restart"/>
          </w:tcPr>
          <w:p>
            <w:pPr>
              <w:ind w:left="160"/>
              <w:spacing w:after="0" w:line="145" w:lineRule="exact"/>
              <w:rPr>
                <w:sz w:val="20"/>
                <w:szCs w:val="20"/>
                <w:color w:val="auto"/>
              </w:rPr>
            </w:pPr>
            <w:r>
              <w:rPr>
                <w:rFonts w:ascii="Arial" w:cs="Arial" w:eastAsia="Arial" w:hAnsi="Arial"/>
                <w:sz w:val="13"/>
                <w:szCs w:val="13"/>
                <w:color w:val="0000FF"/>
              </w:rPr>
              <w:t>D</w:t>
            </w: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85"/>
              </w:rPr>
              <w:t>4,216</w:t>
            </w:r>
          </w:p>
        </w:tc>
        <w:tc>
          <w:tcPr>
            <w:tcW w:w="800" w:type="dxa"/>
            <w:vAlign w:val="bottom"/>
            <w:vMerge w:val="continue"/>
          </w:tcPr>
          <w:p>
            <w:pPr>
              <w:spacing w:after="0"/>
              <w:rPr>
                <w:sz w:val="5"/>
                <w:szCs w:val="5"/>
                <w:color w:val="auto"/>
              </w:rPr>
            </w:pPr>
          </w:p>
        </w:tc>
        <w:tc>
          <w:tcPr>
            <w:tcW w:w="76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12/21/2010</w:t>
            </w: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rPr>
              <w:t>0</w:t>
            </w:r>
          </w:p>
        </w:tc>
        <w:tc>
          <w:tcPr>
            <w:tcW w:w="7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8.5</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01/05/2005</w:t>
            </w:r>
          </w:p>
        </w:tc>
        <w:tc>
          <w:tcPr>
            <w:tcW w:w="1120" w:type="dxa"/>
            <w:vAlign w:val="bottom"/>
          </w:tcPr>
          <w:p>
            <w:pPr>
              <w:spacing w:after="0"/>
              <w:rPr>
                <w:sz w:val="12"/>
                <w:szCs w:val="12"/>
                <w:color w:val="auto"/>
              </w:rPr>
            </w:pPr>
          </w:p>
        </w:tc>
        <w:tc>
          <w:tcPr>
            <w:tcW w:w="4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400" w:type="dxa"/>
            <w:vAlign w:val="bottom"/>
            <w:vMerge w:val="restart"/>
          </w:tcPr>
          <w:p>
            <w:pPr>
              <w:ind w:left="160"/>
              <w:spacing w:after="0"/>
              <w:rPr>
                <w:sz w:val="20"/>
                <w:szCs w:val="20"/>
                <w:color w:val="auto"/>
              </w:rPr>
            </w:pPr>
            <w:r>
              <w:rPr>
                <w:rFonts w:ascii="Arial" w:cs="Arial" w:eastAsia="Arial" w:hAnsi="Arial"/>
                <w:sz w:val="13"/>
                <w:szCs w:val="13"/>
                <w:color w:val="0000FF"/>
              </w:rPr>
              <w:t>V</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92"/>
              </w:rPr>
              <w:t>1,405</w:t>
            </w:r>
          </w:p>
        </w:tc>
        <w:tc>
          <w:tcPr>
            <w:tcW w:w="500" w:type="dxa"/>
            <w:vAlign w:val="bottom"/>
          </w:tcPr>
          <w:p>
            <w:pPr>
              <w:spacing w:after="0"/>
              <w:rPr>
                <w:sz w:val="12"/>
                <w:szCs w:val="12"/>
                <w:color w:val="auto"/>
              </w:rPr>
            </w:pPr>
          </w:p>
        </w:tc>
        <w:tc>
          <w:tcPr>
            <w:tcW w:w="800" w:type="dxa"/>
            <w:vAlign w:val="bottom"/>
            <w:vMerge w:val="restart"/>
          </w:tcPr>
          <w:p>
            <w:pPr>
              <w:jc w:val="right"/>
              <w:ind w:right="263"/>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01/05/2011</w:t>
            </w:r>
          </w:p>
        </w:tc>
        <w:tc>
          <w:tcPr>
            <w:tcW w:w="680" w:type="dxa"/>
            <w:vAlign w:val="bottom"/>
          </w:tcPr>
          <w:p>
            <w:pPr>
              <w:jc w:val="center"/>
              <w:spacing w:after="0" w:line="145" w:lineRule="exact"/>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1,405</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92"/>
              </w:rPr>
              <w:t>1,405</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8.5</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01/05/2005</w:t>
            </w:r>
          </w:p>
        </w:tc>
        <w:tc>
          <w:tcPr>
            <w:tcW w:w="1120" w:type="dxa"/>
            <w:vAlign w:val="bottom"/>
          </w:tcPr>
          <w:p>
            <w:pPr>
              <w:spacing w:after="0"/>
              <w:rPr>
                <w:sz w:val="12"/>
                <w:szCs w:val="12"/>
                <w:color w:val="auto"/>
              </w:rPr>
            </w:pPr>
          </w:p>
        </w:tc>
        <w:tc>
          <w:tcPr>
            <w:tcW w:w="4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400" w:type="dxa"/>
            <w:vAlign w:val="bottom"/>
            <w:vMerge w:val="restart"/>
          </w:tcPr>
          <w:p>
            <w:pPr>
              <w:ind w:left="160"/>
              <w:spacing w:after="0"/>
              <w:rPr>
                <w:sz w:val="20"/>
                <w:szCs w:val="20"/>
                <w:color w:val="auto"/>
              </w:rPr>
            </w:pPr>
            <w:r>
              <w:rPr>
                <w:rFonts w:ascii="Arial" w:cs="Arial" w:eastAsia="Arial" w:hAnsi="Arial"/>
                <w:sz w:val="13"/>
                <w:szCs w:val="13"/>
                <w:color w:val="0000FF"/>
              </w:rPr>
              <w:t>V</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92"/>
              </w:rPr>
              <w:t>8,594</w:t>
            </w:r>
          </w:p>
        </w:tc>
        <w:tc>
          <w:tcPr>
            <w:tcW w:w="500" w:type="dxa"/>
            <w:vAlign w:val="bottom"/>
          </w:tcPr>
          <w:p>
            <w:pPr>
              <w:spacing w:after="0"/>
              <w:rPr>
                <w:sz w:val="12"/>
                <w:szCs w:val="12"/>
                <w:color w:val="auto"/>
              </w:rPr>
            </w:pPr>
          </w:p>
        </w:tc>
        <w:tc>
          <w:tcPr>
            <w:tcW w:w="800" w:type="dxa"/>
            <w:vAlign w:val="bottom"/>
            <w:vMerge w:val="restart"/>
          </w:tcPr>
          <w:p>
            <w:pPr>
              <w:jc w:val="right"/>
              <w:ind w:right="263"/>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01/05/2011</w:t>
            </w:r>
          </w:p>
        </w:tc>
        <w:tc>
          <w:tcPr>
            <w:tcW w:w="680" w:type="dxa"/>
            <w:vAlign w:val="bottom"/>
          </w:tcPr>
          <w:p>
            <w:pPr>
              <w:jc w:val="center"/>
              <w:spacing w:after="0" w:line="145" w:lineRule="exact"/>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8,594</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92"/>
              </w:rPr>
              <w:t>9,999</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8.5</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01/05/2005</w:t>
            </w:r>
          </w:p>
        </w:tc>
        <w:tc>
          <w:tcPr>
            <w:tcW w:w="1120" w:type="dxa"/>
            <w:vAlign w:val="bottom"/>
          </w:tcPr>
          <w:p>
            <w:pPr>
              <w:spacing w:after="0"/>
              <w:rPr>
                <w:sz w:val="16"/>
                <w:szCs w:val="16"/>
                <w:color w:val="auto"/>
              </w:rPr>
            </w:pPr>
          </w:p>
        </w:tc>
        <w:tc>
          <w:tcPr>
            <w:tcW w:w="420" w:type="dxa"/>
            <w:vAlign w:val="bottom"/>
          </w:tcPr>
          <w:p>
            <w:pPr>
              <w:ind w:left="160"/>
              <w:spacing w:after="0"/>
              <w:rPr>
                <w:sz w:val="20"/>
                <w:szCs w:val="20"/>
                <w:color w:val="auto"/>
              </w:rPr>
            </w:pPr>
            <w:r>
              <w:rPr>
                <w:rFonts w:ascii="Arial" w:cs="Arial" w:eastAsia="Arial" w:hAnsi="Arial"/>
                <w:sz w:val="13"/>
                <w:szCs w:val="13"/>
                <w:color w:val="0000FF"/>
              </w:rPr>
              <w:t>A</w:t>
            </w:r>
          </w:p>
        </w:tc>
        <w:tc>
          <w:tcPr>
            <w:tcW w:w="400" w:type="dxa"/>
            <w:vAlign w:val="bottom"/>
          </w:tcPr>
          <w:p>
            <w:pPr>
              <w:ind w:left="160"/>
              <w:spacing w:after="0"/>
              <w:rPr>
                <w:sz w:val="20"/>
                <w:szCs w:val="20"/>
                <w:color w:val="auto"/>
              </w:rPr>
            </w:pPr>
            <w:r>
              <w:rPr>
                <w:rFonts w:ascii="Arial" w:cs="Arial" w:eastAsia="Arial" w:hAnsi="Arial"/>
                <w:sz w:val="13"/>
                <w:szCs w:val="13"/>
                <w:color w:val="0000FF"/>
              </w:rPr>
              <w:t>V</w:t>
            </w:r>
          </w:p>
        </w:tc>
        <w:tc>
          <w:tcPr>
            <w:tcW w:w="500" w:type="dxa"/>
            <w:vAlign w:val="bottom"/>
          </w:tcPr>
          <w:p>
            <w:pPr>
              <w:jc w:val="center"/>
              <w:spacing w:after="0"/>
              <w:rPr>
                <w:sz w:val="20"/>
                <w:szCs w:val="20"/>
                <w:color w:val="auto"/>
              </w:rPr>
            </w:pPr>
            <w:r>
              <w:rPr>
                <w:rFonts w:ascii="Arial" w:cs="Arial" w:eastAsia="Arial" w:hAnsi="Arial"/>
                <w:sz w:val="13"/>
                <w:szCs w:val="13"/>
                <w:color w:val="0000FF"/>
                <w:w w:val="90"/>
              </w:rPr>
              <w:t>15,000</w:t>
            </w:r>
          </w:p>
        </w:tc>
        <w:tc>
          <w:tcPr>
            <w:tcW w:w="500" w:type="dxa"/>
            <w:vAlign w:val="bottom"/>
          </w:tcPr>
          <w:p>
            <w:pPr>
              <w:spacing w:after="0"/>
              <w:rPr>
                <w:sz w:val="16"/>
                <w:szCs w:val="16"/>
                <w:color w:val="auto"/>
              </w:rPr>
            </w:pPr>
          </w:p>
        </w:tc>
        <w:tc>
          <w:tcPr>
            <w:tcW w:w="800" w:type="dxa"/>
            <w:vAlign w:val="bottom"/>
          </w:tcPr>
          <w:p>
            <w:pPr>
              <w:jc w:val="right"/>
              <w:ind w:right="263"/>
              <w:spacing w:after="0"/>
              <w:rPr>
                <w:sz w:val="20"/>
                <w:szCs w:val="20"/>
                <w:color w:val="auto"/>
              </w:rPr>
            </w:pPr>
            <w:r>
              <w:rPr>
                <w:rFonts w:ascii="Arial" w:cs="Arial" w:eastAsia="Arial" w:hAnsi="Arial"/>
                <w:sz w:val="11"/>
                <w:szCs w:val="11"/>
                <w:color w:val="008000"/>
              </w:rPr>
              <w:t>(3)</w:t>
            </w:r>
          </w:p>
        </w:tc>
        <w:tc>
          <w:tcPr>
            <w:tcW w:w="760" w:type="dxa"/>
            <w:vAlign w:val="bottom"/>
          </w:tcPr>
          <w:p>
            <w:pPr>
              <w:ind w:left="80"/>
              <w:spacing w:after="0"/>
              <w:rPr>
                <w:sz w:val="20"/>
                <w:szCs w:val="20"/>
                <w:color w:val="auto"/>
              </w:rPr>
            </w:pPr>
            <w:r>
              <w:rPr>
                <w:rFonts w:ascii="Arial" w:cs="Arial" w:eastAsia="Arial" w:hAnsi="Arial"/>
                <w:sz w:val="13"/>
                <w:szCs w:val="13"/>
                <w:color w:val="0000FF"/>
              </w:rPr>
              <w:t>12/18/2011</w:t>
            </w:r>
          </w:p>
        </w:tc>
        <w:tc>
          <w:tcPr>
            <w:tcW w:w="68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tcPr>
          <w:p>
            <w:pPr>
              <w:jc w:val="center"/>
              <w:spacing w:after="0" w:line="194" w:lineRule="exact"/>
              <w:rPr>
                <w:sz w:val="20"/>
                <w:szCs w:val="20"/>
                <w:color w:val="auto"/>
              </w:rPr>
            </w:pPr>
            <w:r>
              <w:rPr>
                <w:rFonts w:ascii="Arial" w:cs="Arial" w:eastAsia="Arial" w:hAnsi="Arial"/>
                <w:sz w:val="17"/>
                <w:szCs w:val="17"/>
                <w:color w:val="0000FF"/>
                <w:w w:val="88"/>
              </w:rPr>
              <w:t>15,000</w:t>
            </w:r>
          </w:p>
        </w:tc>
        <w:tc>
          <w:tcPr>
            <w:tcW w:w="70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jc w:val="center"/>
              <w:spacing w:after="0"/>
              <w:rPr>
                <w:sz w:val="20"/>
                <w:szCs w:val="20"/>
                <w:color w:val="auto"/>
              </w:rPr>
            </w:pPr>
            <w:r>
              <w:rPr>
                <w:rFonts w:ascii="Arial" w:cs="Arial" w:eastAsia="Arial" w:hAnsi="Arial"/>
                <w:sz w:val="13"/>
                <w:szCs w:val="13"/>
                <w:color w:val="0000FF"/>
                <w:w w:val="90"/>
              </w:rPr>
              <w:t>15,000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700" w:type="dxa"/>
            <w:vAlign w:val="bottom"/>
          </w:tcPr>
          <w:p>
            <w:pPr>
              <w:ind w:left="60"/>
              <w:spacing w:after="0" w:line="97"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jc w:val="center"/>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8.5</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01/05/2005</w:t>
            </w:r>
          </w:p>
        </w:tc>
        <w:tc>
          <w:tcPr>
            <w:tcW w:w="1120" w:type="dxa"/>
            <w:vAlign w:val="bottom"/>
          </w:tcPr>
          <w:p>
            <w:pPr>
              <w:spacing w:after="0"/>
              <w:rPr>
                <w:sz w:val="12"/>
                <w:szCs w:val="12"/>
                <w:color w:val="auto"/>
              </w:rPr>
            </w:pPr>
          </w:p>
        </w:tc>
        <w:tc>
          <w:tcPr>
            <w:tcW w:w="4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400" w:type="dxa"/>
            <w:vAlign w:val="bottom"/>
            <w:vMerge w:val="restart"/>
          </w:tcPr>
          <w:p>
            <w:pPr>
              <w:ind w:left="160"/>
              <w:spacing w:after="0"/>
              <w:rPr>
                <w:sz w:val="20"/>
                <w:szCs w:val="20"/>
                <w:color w:val="auto"/>
              </w:rPr>
            </w:pPr>
            <w:r>
              <w:rPr>
                <w:rFonts w:ascii="Arial" w:cs="Arial" w:eastAsia="Arial" w:hAnsi="Arial"/>
                <w:sz w:val="13"/>
                <w:szCs w:val="13"/>
                <w:color w:val="0000FF"/>
              </w:rPr>
              <w:t>V</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92"/>
              </w:rPr>
              <w:t>3,431</w:t>
            </w:r>
          </w:p>
        </w:tc>
        <w:tc>
          <w:tcPr>
            <w:tcW w:w="500" w:type="dxa"/>
            <w:vAlign w:val="bottom"/>
          </w:tcPr>
          <w:p>
            <w:pPr>
              <w:spacing w:after="0"/>
              <w:rPr>
                <w:sz w:val="12"/>
                <w:szCs w:val="12"/>
                <w:color w:val="auto"/>
              </w:rPr>
            </w:pPr>
          </w:p>
        </w:tc>
        <w:tc>
          <w:tcPr>
            <w:tcW w:w="800" w:type="dxa"/>
            <w:vAlign w:val="bottom"/>
            <w:vMerge w:val="restart"/>
          </w:tcPr>
          <w:p>
            <w:pPr>
              <w:jc w:val="right"/>
              <w:ind w:right="263"/>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12/20/2012</w:t>
            </w:r>
          </w:p>
        </w:tc>
        <w:tc>
          <w:tcPr>
            <w:tcW w:w="680" w:type="dxa"/>
            <w:vAlign w:val="bottom"/>
          </w:tcPr>
          <w:p>
            <w:pPr>
              <w:jc w:val="center"/>
              <w:spacing w:after="0" w:line="145" w:lineRule="exact"/>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3,431</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92"/>
              </w:rPr>
              <w:t>3,431</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8.5</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01/05/2005</w:t>
            </w:r>
          </w:p>
        </w:tc>
        <w:tc>
          <w:tcPr>
            <w:tcW w:w="1120" w:type="dxa"/>
            <w:vAlign w:val="bottom"/>
          </w:tcPr>
          <w:p>
            <w:pPr>
              <w:spacing w:after="0"/>
              <w:rPr>
                <w:sz w:val="16"/>
                <w:szCs w:val="16"/>
                <w:color w:val="auto"/>
              </w:rPr>
            </w:pPr>
          </w:p>
        </w:tc>
        <w:tc>
          <w:tcPr>
            <w:tcW w:w="420" w:type="dxa"/>
            <w:vAlign w:val="bottom"/>
          </w:tcPr>
          <w:p>
            <w:pPr>
              <w:ind w:left="160"/>
              <w:spacing w:after="0"/>
              <w:rPr>
                <w:sz w:val="20"/>
                <w:szCs w:val="20"/>
                <w:color w:val="auto"/>
              </w:rPr>
            </w:pPr>
            <w:r>
              <w:rPr>
                <w:rFonts w:ascii="Arial" w:cs="Arial" w:eastAsia="Arial" w:hAnsi="Arial"/>
                <w:sz w:val="13"/>
                <w:szCs w:val="13"/>
                <w:color w:val="0000FF"/>
              </w:rPr>
              <w:t>A</w:t>
            </w:r>
          </w:p>
        </w:tc>
        <w:tc>
          <w:tcPr>
            <w:tcW w:w="400" w:type="dxa"/>
            <w:vAlign w:val="bottom"/>
          </w:tcPr>
          <w:p>
            <w:pPr>
              <w:ind w:left="160"/>
              <w:spacing w:after="0"/>
              <w:rPr>
                <w:sz w:val="20"/>
                <w:szCs w:val="20"/>
                <w:color w:val="auto"/>
              </w:rPr>
            </w:pPr>
            <w:r>
              <w:rPr>
                <w:rFonts w:ascii="Arial" w:cs="Arial" w:eastAsia="Arial" w:hAnsi="Arial"/>
                <w:sz w:val="13"/>
                <w:szCs w:val="13"/>
                <w:color w:val="0000FF"/>
              </w:rPr>
              <w:t>V</w:t>
            </w:r>
          </w:p>
        </w:tc>
        <w:tc>
          <w:tcPr>
            <w:tcW w:w="500" w:type="dxa"/>
            <w:vAlign w:val="bottom"/>
          </w:tcPr>
          <w:p>
            <w:pPr>
              <w:jc w:val="center"/>
              <w:spacing w:after="0"/>
              <w:rPr>
                <w:sz w:val="20"/>
                <w:szCs w:val="20"/>
                <w:color w:val="auto"/>
              </w:rPr>
            </w:pPr>
            <w:r>
              <w:rPr>
                <w:rFonts w:ascii="Arial" w:cs="Arial" w:eastAsia="Arial" w:hAnsi="Arial"/>
                <w:sz w:val="13"/>
                <w:szCs w:val="13"/>
                <w:color w:val="0000FF"/>
                <w:w w:val="90"/>
              </w:rPr>
              <w:t>29,902</w:t>
            </w:r>
          </w:p>
        </w:tc>
        <w:tc>
          <w:tcPr>
            <w:tcW w:w="500" w:type="dxa"/>
            <w:vAlign w:val="bottom"/>
          </w:tcPr>
          <w:p>
            <w:pPr>
              <w:spacing w:after="0"/>
              <w:rPr>
                <w:sz w:val="16"/>
                <w:szCs w:val="16"/>
                <w:color w:val="auto"/>
              </w:rPr>
            </w:pPr>
          </w:p>
        </w:tc>
        <w:tc>
          <w:tcPr>
            <w:tcW w:w="800" w:type="dxa"/>
            <w:vAlign w:val="bottom"/>
          </w:tcPr>
          <w:p>
            <w:pPr>
              <w:jc w:val="right"/>
              <w:ind w:right="263"/>
              <w:spacing w:after="0"/>
              <w:rPr>
                <w:sz w:val="20"/>
                <w:szCs w:val="20"/>
                <w:color w:val="auto"/>
              </w:rPr>
            </w:pPr>
            <w:r>
              <w:rPr>
                <w:rFonts w:ascii="Arial" w:cs="Arial" w:eastAsia="Arial" w:hAnsi="Arial"/>
                <w:sz w:val="11"/>
                <w:szCs w:val="11"/>
                <w:color w:val="008000"/>
              </w:rPr>
              <w:t>(3)</w:t>
            </w:r>
          </w:p>
        </w:tc>
        <w:tc>
          <w:tcPr>
            <w:tcW w:w="760" w:type="dxa"/>
            <w:vAlign w:val="bottom"/>
          </w:tcPr>
          <w:p>
            <w:pPr>
              <w:ind w:left="80"/>
              <w:spacing w:after="0"/>
              <w:rPr>
                <w:sz w:val="20"/>
                <w:szCs w:val="20"/>
                <w:color w:val="auto"/>
              </w:rPr>
            </w:pPr>
            <w:r>
              <w:rPr>
                <w:rFonts w:ascii="Arial" w:cs="Arial" w:eastAsia="Arial" w:hAnsi="Arial"/>
                <w:sz w:val="13"/>
                <w:szCs w:val="13"/>
                <w:color w:val="0000FF"/>
              </w:rPr>
              <w:t>12/20/2012</w:t>
            </w:r>
          </w:p>
        </w:tc>
        <w:tc>
          <w:tcPr>
            <w:tcW w:w="68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tcPr>
          <w:p>
            <w:pPr>
              <w:jc w:val="center"/>
              <w:spacing w:after="0" w:line="194" w:lineRule="exact"/>
              <w:rPr>
                <w:sz w:val="20"/>
                <w:szCs w:val="20"/>
                <w:color w:val="auto"/>
              </w:rPr>
            </w:pPr>
            <w:r>
              <w:rPr>
                <w:rFonts w:ascii="Arial" w:cs="Arial" w:eastAsia="Arial" w:hAnsi="Arial"/>
                <w:sz w:val="17"/>
                <w:szCs w:val="17"/>
                <w:color w:val="0000FF"/>
                <w:w w:val="88"/>
              </w:rPr>
              <w:t>29,902</w:t>
            </w:r>
          </w:p>
        </w:tc>
        <w:tc>
          <w:tcPr>
            <w:tcW w:w="70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jc w:val="center"/>
              <w:spacing w:after="0"/>
              <w:rPr>
                <w:sz w:val="20"/>
                <w:szCs w:val="20"/>
                <w:color w:val="auto"/>
              </w:rPr>
            </w:pPr>
            <w:r>
              <w:rPr>
                <w:rFonts w:ascii="Arial" w:cs="Arial" w:eastAsia="Arial" w:hAnsi="Arial"/>
                <w:sz w:val="13"/>
                <w:szCs w:val="13"/>
                <w:color w:val="0000FF"/>
                <w:w w:val="90"/>
              </w:rPr>
              <w:t>33,333</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700" w:type="dxa"/>
            <w:vAlign w:val="bottom"/>
          </w:tcPr>
          <w:p>
            <w:pPr>
              <w:ind w:left="60"/>
              <w:spacing w:after="0" w:line="97"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jc w:val="center"/>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19.43</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01/05/2005</w:t>
            </w:r>
          </w:p>
        </w:tc>
        <w:tc>
          <w:tcPr>
            <w:tcW w:w="112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Arial" w:cs="Arial" w:eastAsia="Arial" w:hAnsi="Arial"/>
                <w:sz w:val="13"/>
                <w:szCs w:val="13"/>
                <w:color w:val="0000FF"/>
              </w:rPr>
              <w:t>D</w:t>
            </w: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90"/>
              </w:rPr>
              <w:t>44,853</w:t>
            </w:r>
          </w:p>
        </w:tc>
        <w:tc>
          <w:tcPr>
            <w:tcW w:w="800" w:type="dxa"/>
            <w:vAlign w:val="bottom"/>
          </w:tcPr>
          <w:p>
            <w:pPr>
              <w:jc w:val="right"/>
              <w:ind w:right="263"/>
              <w:spacing w:after="0"/>
              <w:rPr>
                <w:sz w:val="20"/>
                <w:szCs w:val="20"/>
                <w:color w:val="auto"/>
              </w:rPr>
            </w:pPr>
            <w:r>
              <w:rPr>
                <w:rFonts w:ascii="Arial" w:cs="Arial" w:eastAsia="Arial" w:hAnsi="Arial"/>
                <w:sz w:val="11"/>
                <w:szCs w:val="11"/>
                <w:color w:val="008000"/>
              </w:rPr>
              <w:t>(1)</w:t>
            </w:r>
          </w:p>
        </w:tc>
        <w:tc>
          <w:tcPr>
            <w:tcW w:w="760" w:type="dxa"/>
            <w:vAlign w:val="bottom"/>
          </w:tcPr>
          <w:p>
            <w:pPr>
              <w:ind w:left="80"/>
              <w:spacing w:after="0"/>
              <w:rPr>
                <w:sz w:val="20"/>
                <w:szCs w:val="20"/>
                <w:color w:val="auto"/>
              </w:rPr>
            </w:pPr>
            <w:r>
              <w:rPr>
                <w:rFonts w:ascii="Arial" w:cs="Arial" w:eastAsia="Arial" w:hAnsi="Arial"/>
                <w:sz w:val="13"/>
                <w:szCs w:val="13"/>
                <w:color w:val="0000FF"/>
              </w:rPr>
              <w:t>12/20/2012</w:t>
            </w:r>
          </w:p>
        </w:tc>
        <w:tc>
          <w:tcPr>
            <w:tcW w:w="68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tcPr>
          <w:p>
            <w:pPr>
              <w:jc w:val="center"/>
              <w:spacing w:after="0"/>
              <w:rPr>
                <w:sz w:val="20"/>
                <w:szCs w:val="20"/>
                <w:color w:val="auto"/>
              </w:rPr>
            </w:pPr>
            <w:r>
              <w:rPr>
                <w:rFonts w:ascii="Arial" w:cs="Arial" w:eastAsia="Arial" w:hAnsi="Arial"/>
                <w:sz w:val="17"/>
                <w:szCs w:val="17"/>
                <w:color w:val="0000FF"/>
                <w:w w:val="88"/>
              </w:rPr>
              <w:t>44,853</w:t>
            </w:r>
          </w:p>
        </w:tc>
        <w:tc>
          <w:tcPr>
            <w:tcW w:w="70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jc w:val="center"/>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Option</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jc w:val="center"/>
              <w:spacing w:after="0" w:line="94" w:lineRule="exact"/>
              <w:rPr>
                <w:sz w:val="20"/>
                <w:szCs w:val="20"/>
                <w:color w:val="auto"/>
              </w:rPr>
            </w:pPr>
            <w:r>
              <w:rPr>
                <w:rFonts w:ascii="Arial" w:cs="Arial" w:eastAsia="Arial" w:hAnsi="Arial"/>
                <w:sz w:val="10"/>
                <w:szCs w:val="10"/>
                <w:color w:val="0000FF"/>
              </w:rPr>
              <w:t>Stock</w:t>
            </w: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2" w:lineRule="auto"/>
        <w:rPr>
          <w:sz w:val="20"/>
          <w:szCs w:val="20"/>
          <w:color w:val="auto"/>
        </w:rPr>
      </w:pPr>
      <w:r>
        <w:rPr>
          <w:rFonts w:ascii="Arial" w:cs="Arial" w:eastAsia="Arial" w:hAnsi="Arial"/>
          <w:sz w:val="13"/>
          <w:szCs w:val="13"/>
          <w:color w:val="0000FF"/>
        </w:rPr>
        <w:t>(right to</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4" w:right="139" w:bottom="24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2800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4725" cy="2800350"/>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 of</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28.01</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01/05/2005</w:t>
            </w:r>
          </w:p>
        </w:tc>
        <w:tc>
          <w:tcPr>
            <w:tcW w:w="112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D</w:t>
            </w:r>
          </w:p>
        </w:tc>
        <w:tc>
          <w:tcPr>
            <w:tcW w:w="500" w:type="dxa"/>
            <w:vAlign w:val="bottom"/>
          </w:tcPr>
          <w:p>
            <w:pPr>
              <w:spacing w:after="0"/>
              <w:rPr>
                <w:sz w:val="17"/>
                <w:szCs w:val="17"/>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0000FF"/>
              </w:rPr>
              <w:t>30,000</w:t>
            </w:r>
          </w:p>
        </w:tc>
        <w:tc>
          <w:tcPr>
            <w:tcW w:w="800" w:type="dxa"/>
            <w:vAlign w:val="bottom"/>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12/18/2011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30,000</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ind w:left="160"/>
              <w:spacing w:after="0" w:line="84"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37.78</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01/05/2005</w:t>
            </w:r>
          </w:p>
        </w:tc>
        <w:tc>
          <w:tcPr>
            <w:tcW w:w="112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D</w:t>
            </w:r>
          </w:p>
        </w:tc>
        <w:tc>
          <w:tcPr>
            <w:tcW w:w="500" w:type="dxa"/>
            <w:vAlign w:val="bottom"/>
          </w:tcPr>
          <w:p>
            <w:pPr>
              <w:spacing w:after="0"/>
              <w:rPr>
                <w:sz w:val="17"/>
                <w:szCs w:val="17"/>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0000FF"/>
              </w:rPr>
              <w:t>25,784</w:t>
            </w: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ind w:left="80"/>
              <w:spacing w:after="0"/>
              <w:rPr>
                <w:sz w:val="20"/>
                <w:szCs w:val="20"/>
                <w:color w:val="auto"/>
              </w:rPr>
            </w:pPr>
            <w:r>
              <w:rPr>
                <w:rFonts w:ascii="Arial" w:cs="Arial" w:eastAsia="Arial" w:hAnsi="Arial"/>
                <w:sz w:val="13"/>
                <w:szCs w:val="13"/>
                <w:color w:val="0000FF"/>
              </w:rPr>
              <w:t>12/21/2010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25,784</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Option</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0"/>
        <w:spacing w:after="0" w:line="232"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20" w:right="180" w:firstLine="5"/>
        <w:spacing w:after="0" w:line="258" w:lineRule="auto"/>
        <w:tabs>
          <w:tab w:leader="none" w:pos="15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(combined incentive stock option and non-qualified stock option) was originally granted on December 20, 2002 and vests in four equal annual installments, commencing one year after the date of grant.</w:t>
      </w:r>
    </w:p>
    <w:p>
      <w:pPr>
        <w:spacing w:after="0" w:line="21" w:lineRule="exact"/>
        <w:rPr>
          <w:rFonts w:ascii="Arial" w:cs="Arial" w:eastAsia="Arial" w:hAnsi="Arial"/>
          <w:sz w:val="13"/>
          <w:szCs w:val="13"/>
          <w:color w:val="008000"/>
        </w:rPr>
      </w:pPr>
    </w:p>
    <w:p>
      <w:pPr>
        <w:ind w:left="20" w:right="200" w:firstLine="5"/>
        <w:spacing w:after="0" w:line="258" w:lineRule="auto"/>
        <w:tabs>
          <w:tab w:leader="none" w:pos="15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(combined incentive stock option and non-qualified stock option) was originally granted on December 21, 2000 and vests in five equal annual installments, commencing one year after the date of grant.</w:t>
      </w:r>
    </w:p>
    <w:p>
      <w:pPr>
        <w:spacing w:after="0" w:line="21" w:lineRule="exact"/>
        <w:rPr>
          <w:rFonts w:ascii="Arial" w:cs="Arial" w:eastAsia="Arial" w:hAnsi="Arial"/>
          <w:sz w:val="13"/>
          <w:szCs w:val="13"/>
          <w:color w:val="008000"/>
        </w:rPr>
      </w:pPr>
    </w:p>
    <w:p>
      <w:pPr>
        <w:ind w:left="20" w:right="240" w:firstLine="5"/>
        <w:spacing w:after="0" w:line="245" w:lineRule="auto"/>
        <w:tabs>
          <w:tab w:leader="none" w:pos="15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becomes fully exercisable with respect to all shares underlying the option if the Company's products achieve aggregate, worldwide gross sales of at least US$100 million during any consecutive twelve-month period based on sales directly by the Company and/or its licensees, affiliates, and distributors (the "Milestone Date") unless the Milestone Date occurs before the third anniversary of the grant date, in which case all of the shares underlying the option become fully vested on the third anniversary of the grant date.</w:t>
      </w:r>
    </w:p>
    <w:p>
      <w:pPr>
        <w:spacing w:after="0" w:line="29" w:lineRule="exact"/>
        <w:rPr>
          <w:rFonts w:ascii="Arial" w:cs="Arial" w:eastAsia="Arial" w:hAnsi="Arial"/>
          <w:sz w:val="13"/>
          <w:szCs w:val="13"/>
          <w:color w:val="008000"/>
        </w:rPr>
      </w:pPr>
    </w:p>
    <w:p>
      <w:pPr>
        <w:ind w:left="20" w:right="180" w:firstLine="5"/>
        <w:spacing w:after="0" w:line="258" w:lineRule="auto"/>
        <w:tabs>
          <w:tab w:leader="none" w:pos="15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(combined incentive stock option and non-qualified stock option) was originally granted on December 18, 2001 and vests in four equal annual installments, commencing one year after the date of grant.</w:t>
      </w:r>
    </w:p>
    <w:p>
      <w:pPr>
        <w:spacing w:after="0" w:line="32"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15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/s/**Randall G. Rupp</w:t>
            </w:r>
          </w:p>
        </w:tc>
        <w:tc>
          <w:tcPr>
            <w:tcW w:w="80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01/07/2005</w:t>
            </w:r>
          </w:p>
        </w:tc>
      </w:tr>
      <w:tr>
        <w:trPr>
          <w:trHeight w:val="229"/>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20" w:right="3860" w:firstLine="5"/>
        <w:spacing w:after="0" w:line="315" w:lineRule="auto"/>
        <w:tabs>
          <w:tab w:leader="none" w:pos="15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9"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26688"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2019-12-18T09:39:27Z</dcterms:created>
  <dcterms:modified xsi:type="dcterms:W3CDTF">2019-12-18T09:39:27Z</dcterms:modified>
</cp:coreProperties>
</file>