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0"/>
          <w:szCs w:val="20"/>
          <w:color w:val="auto"/>
        </w:rPr>
      </w:pPr>
    </w:p>
    <w:p>
      <w:pPr>
        <w:spacing w:after="0" w:line="262" w:lineRule="exact"/>
        <w:rPr>
          <w:sz w:val="20"/>
          <w:szCs w:val="20"/>
          <w:color w:val="auto"/>
        </w:rPr>
      </w:pPr>
    </w:p>
    <w:p>
      <w:pPr>
        <w:ind w:left="520"/>
        <w:spacing w:after="0"/>
        <w:tabs>
          <w:tab w:leader="none" w:pos="42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58420</wp:posOffset>
            </wp:positionV>
            <wp:extent cx="19939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3900" cy="3429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0" w:type="dxa"/>
            <w:vAlign w:val="bottom"/>
            <w:gridSpan w:val="6"/>
          </w:tcPr>
          <w:p>
            <w:pPr>
              <w:jc w:val="center"/>
              <w:ind w:right="4000"/>
              <w:spacing w:after="0"/>
              <w:rPr>
                <w:sz w:val="20"/>
                <w:szCs w:val="20"/>
                <w:color w:val="auto"/>
              </w:rPr>
            </w:pPr>
            <w:r>
              <w:rPr>
                <w:rFonts w:ascii="Arial" w:cs="Arial" w:eastAsia="Arial" w:hAnsi="Arial"/>
                <w:sz w:val="18"/>
                <w:szCs w:val="18"/>
                <w:color w:val="auto"/>
                <w:w w:val="88"/>
              </w:rPr>
              <w:t>OR</w:t>
            </w:r>
          </w:p>
        </w:tc>
      </w:tr>
      <w:tr>
        <w:trPr>
          <w:trHeight w:val="432"/>
        </w:trPr>
        <w:tc>
          <w:tcPr>
            <w:tcW w:w="10020" w:type="dxa"/>
            <w:vAlign w:val="bottom"/>
            <w:gridSpan w:val="16"/>
          </w:tcPr>
          <w:p>
            <w:pPr>
              <w:spacing w:after="0"/>
              <w:rPr>
                <w:sz w:val="20"/>
                <w:szCs w:val="20"/>
                <w:color w:val="auto"/>
              </w:rPr>
            </w:pPr>
            <w:r>
              <w:rPr>
                <w:rFonts w:ascii="Arial" w:cs="Arial" w:eastAsia="Arial" w:hAnsi="Arial"/>
                <w:sz w:val="18"/>
                <w:szCs w:val="18"/>
                <w:color w:val="auto"/>
                <w:w w:val="92"/>
              </w:rPr>
              <w:t>( )TRANSITION REPORT PURSUANT TO SECTION 13 OR 15 (d) OF THE SECURITIES EXCHANGE ACT OF 1934</w:t>
            </w:r>
          </w:p>
        </w:tc>
      </w:tr>
      <w:tr>
        <w:trPr>
          <w:trHeight w:val="675"/>
        </w:trPr>
        <w:tc>
          <w:tcPr>
            <w:tcW w:w="5020" w:type="dxa"/>
            <w:vAlign w:val="bottom"/>
            <w:gridSpan w:val="9"/>
          </w:tcPr>
          <w:p>
            <w:pPr>
              <w:ind w:left="520"/>
              <w:spacing w:after="0"/>
              <w:rPr>
                <w:sz w:val="20"/>
                <w:szCs w:val="20"/>
                <w:color w:val="auto"/>
              </w:rPr>
            </w:pPr>
            <w:r>
              <w:rPr>
                <w:rFonts w:ascii="Arial" w:cs="Arial" w:eastAsia="Arial" w:hAnsi="Arial"/>
                <w:sz w:val="18"/>
                <w:szCs w:val="18"/>
                <w:color w:val="auto"/>
              </w:rPr>
              <w:t>For the transition period from</w:t>
            </w:r>
          </w:p>
        </w:tc>
        <w:tc>
          <w:tcPr>
            <w:tcW w:w="5000" w:type="dxa"/>
            <w:vAlign w:val="bottom"/>
            <w:gridSpan w:val="7"/>
          </w:tcPr>
          <w:p>
            <w:pPr>
              <w:spacing w:after="0"/>
              <w:rPr>
                <w:sz w:val="20"/>
                <w:szCs w:val="20"/>
                <w:color w:val="auto"/>
              </w:rPr>
            </w:pPr>
            <w:r>
              <w:rPr>
                <w:rFonts w:ascii="Arial" w:cs="Arial" w:eastAsia="Arial" w:hAnsi="Arial"/>
                <w:sz w:val="18"/>
                <w:szCs w:val="18"/>
                <w:color w:val="auto"/>
              </w:rPr>
              <w:t>to</w:t>
            </w:r>
          </w:p>
        </w:tc>
      </w:tr>
      <w:tr>
        <w:trPr>
          <w:trHeight w:val="97"/>
        </w:trPr>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532"/>
        </w:trPr>
        <w:tc>
          <w:tcPr>
            <w:tcW w:w="2460" w:type="dxa"/>
            <w:vAlign w:val="bottom"/>
            <w:gridSpan w:val="2"/>
          </w:tcPr>
          <w:p>
            <w:pPr>
              <w:ind w:left="520"/>
              <w:spacing w:after="0"/>
              <w:rPr>
                <w:sz w:val="20"/>
                <w:szCs w:val="20"/>
                <w:color w:val="auto"/>
              </w:rPr>
            </w:pPr>
            <w:r>
              <w:rPr>
                <w:rFonts w:ascii="Arial" w:cs="Arial" w:eastAsia="Arial" w:hAnsi="Arial"/>
                <w:sz w:val="18"/>
                <w:szCs w:val="18"/>
                <w:color w:val="auto"/>
                <w:w w:val="95"/>
              </w:rPr>
              <w:t>Commission File Number</w:t>
            </w:r>
          </w:p>
        </w:tc>
        <w:tc>
          <w:tcPr>
            <w:tcW w:w="2440" w:type="dxa"/>
            <w:vAlign w:val="bottom"/>
            <w:gridSpan w:val="5"/>
          </w:tcPr>
          <w:p>
            <w:pPr>
              <w:jc w:val="right"/>
              <w:ind w:right="1192"/>
              <w:spacing w:after="0"/>
              <w:rPr>
                <w:sz w:val="20"/>
                <w:szCs w:val="20"/>
                <w:color w:val="auto"/>
              </w:rPr>
            </w:pPr>
            <w:r>
              <w:rPr>
                <w:rFonts w:ascii="Arial" w:cs="Arial" w:eastAsia="Arial" w:hAnsi="Arial"/>
                <w:sz w:val="18"/>
                <w:szCs w:val="18"/>
                <w:color w:val="auto"/>
              </w:rPr>
              <w:t>0-19034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97"/>
        </w:trPr>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920" w:type="dxa"/>
            <w:vAlign w:val="bottom"/>
            <w:gridSpan w:val="4"/>
          </w:tcPr>
          <w:p>
            <w:pPr>
              <w:spacing w:after="0"/>
              <w:rPr>
                <w:sz w:val="8"/>
                <w:szCs w:val="8"/>
                <w:color w:val="auto"/>
              </w:rPr>
            </w:pPr>
          </w:p>
        </w:tc>
        <w:tc>
          <w:tcPr>
            <w:tcW w:w="420" w:type="dxa"/>
            <w:vAlign w:val="bottom"/>
          </w:tcPr>
          <w:p>
            <w:pPr>
              <w:spacing w:after="0"/>
              <w:rPr>
                <w:sz w:val="8"/>
                <w:szCs w:val="8"/>
                <w:color w:val="auto"/>
              </w:rPr>
            </w:pPr>
          </w:p>
        </w:tc>
        <w:tc>
          <w:tcPr>
            <w:tcW w:w="17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532"/>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gridSpan w:val="10"/>
          </w:tcPr>
          <w:p>
            <w:pPr>
              <w:jc w:val="center"/>
              <w:ind w:right="2020"/>
              <w:spacing w:after="0"/>
              <w:rPr>
                <w:sz w:val="20"/>
                <w:szCs w:val="20"/>
                <w:color w:val="auto"/>
              </w:rPr>
            </w:pPr>
            <w:r>
              <w:rPr>
                <w:rFonts w:ascii="Arial" w:cs="Arial" w:eastAsia="Arial" w:hAnsi="Arial"/>
                <w:sz w:val="18"/>
                <w:szCs w:val="18"/>
                <w:color w:val="auto"/>
                <w:w w:val="94"/>
              </w:rPr>
              <w:t>REGENERON PHARMACEUTICALS, INC.</w:t>
            </w:r>
          </w:p>
        </w:tc>
      </w:tr>
      <w:tr>
        <w:trPr>
          <w:trHeight w:val="97"/>
        </w:trPr>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gridSpan w:val="5"/>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gridSpan w:val="10"/>
          </w:tcPr>
          <w:p>
            <w:pPr>
              <w:jc w:val="center"/>
              <w:ind w:right="202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5"/>
          </w:tcPr>
          <w:p>
            <w:pPr>
              <w:jc w:val="center"/>
              <w:ind w:right="900"/>
              <w:spacing w:after="0"/>
              <w:rPr>
                <w:sz w:val="20"/>
                <w:szCs w:val="20"/>
                <w:color w:val="auto"/>
              </w:rPr>
            </w:pPr>
            <w:r>
              <w:rPr>
                <w:rFonts w:ascii="Arial" w:cs="Arial" w:eastAsia="Arial" w:hAnsi="Arial"/>
                <w:sz w:val="18"/>
                <w:szCs w:val="18"/>
                <w:color w:val="auto"/>
                <w:w w:val="92"/>
              </w:rPr>
              <w:t>New York</w:t>
            </w:r>
          </w:p>
        </w:tc>
        <w:tc>
          <w:tcPr>
            <w:tcW w:w="5000" w:type="dxa"/>
            <w:vAlign w:val="bottom"/>
            <w:gridSpan w:val="7"/>
          </w:tcPr>
          <w:p>
            <w:pPr>
              <w:jc w:val="center"/>
              <w:ind w:left="1092"/>
              <w:spacing w:after="0"/>
              <w:rPr>
                <w:sz w:val="20"/>
                <w:szCs w:val="20"/>
                <w:color w:val="auto"/>
              </w:rPr>
            </w:pPr>
            <w:r>
              <w:rPr>
                <w:rFonts w:ascii="Arial" w:cs="Arial" w:eastAsia="Arial" w:hAnsi="Arial"/>
                <w:sz w:val="18"/>
                <w:szCs w:val="18"/>
                <w:color w:val="auto"/>
                <w:w w:val="89"/>
              </w:rPr>
              <w:t>13-3444607</w:t>
            </w:r>
          </w:p>
        </w:tc>
      </w:tr>
      <w:tr>
        <w:trPr>
          <w:trHeight w:val="97"/>
        </w:trPr>
        <w:tc>
          <w:tcPr>
            <w:tcW w:w="14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4"/>
          </w:tcPr>
          <w:p>
            <w:pPr>
              <w:spacing w:after="0"/>
              <w:rPr>
                <w:sz w:val="8"/>
                <w:szCs w:val="8"/>
                <w:color w:val="auto"/>
              </w:rPr>
            </w:pPr>
          </w:p>
        </w:tc>
        <w:tc>
          <w:tcPr>
            <w:tcW w:w="1600" w:type="dxa"/>
            <w:vAlign w:val="bottom"/>
            <w:tcBorders>
              <w:bottom w:val="single" w:sz="8" w:color="808080"/>
            </w:tcBorders>
            <w:gridSpan w:val="3"/>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780" w:type="dxa"/>
            <w:vAlign w:val="bottom"/>
            <w:tcBorders>
              <w:bottom w:val="single" w:sz="8" w:color="808080"/>
            </w:tcBorders>
            <w:gridSpan w:val="2"/>
          </w:tcPr>
          <w:p>
            <w:pPr>
              <w:spacing w:after="0"/>
              <w:rPr>
                <w:sz w:val="8"/>
                <w:szCs w:val="8"/>
                <w:color w:val="auto"/>
              </w:rPr>
            </w:pPr>
          </w:p>
        </w:tc>
        <w:tc>
          <w:tcPr>
            <w:tcW w:w="2000" w:type="dxa"/>
            <w:vAlign w:val="bottom"/>
            <w:tcBorders>
              <w:bottom w:val="single" w:sz="8" w:color="808080"/>
            </w:tcBorders>
            <w:gridSpan w:val="2"/>
          </w:tcPr>
          <w:p>
            <w:pPr>
              <w:spacing w:after="0"/>
              <w:rPr>
                <w:sz w:val="8"/>
                <w:szCs w:val="8"/>
                <w:color w:val="auto"/>
              </w:rPr>
            </w:pPr>
          </w:p>
        </w:tc>
      </w:tr>
      <w:tr>
        <w:trPr>
          <w:trHeight w:val="282"/>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60" w:type="dxa"/>
            <w:vAlign w:val="bottom"/>
            <w:gridSpan w:val="7"/>
          </w:tcPr>
          <w:p>
            <w:pPr>
              <w:jc w:val="center"/>
              <w:ind w:right="240"/>
              <w:spacing w:after="0"/>
              <w:rPr>
                <w:sz w:val="20"/>
                <w:szCs w:val="20"/>
                <w:color w:val="auto"/>
              </w:rPr>
            </w:pPr>
            <w:r>
              <w:rPr>
                <w:rFonts w:ascii="Arial" w:cs="Arial" w:eastAsia="Arial" w:hAnsi="Arial"/>
                <w:sz w:val="18"/>
                <w:szCs w:val="18"/>
                <w:color w:val="auto"/>
                <w:w w:val="90"/>
              </w:rPr>
              <w:t>(State or other jurisdiction of</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4"/>
          </w:tcPr>
          <w:p>
            <w:pPr>
              <w:jc w:val="center"/>
              <w:ind w:right="40"/>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60" w:type="dxa"/>
            <w:vAlign w:val="bottom"/>
            <w:gridSpan w:val="7"/>
          </w:tcPr>
          <w:p>
            <w:pPr>
              <w:jc w:val="center"/>
              <w:ind w:right="240"/>
              <w:spacing w:after="0"/>
              <w:rPr>
                <w:sz w:val="20"/>
                <w:szCs w:val="20"/>
                <w:color w:val="auto"/>
              </w:rPr>
            </w:pPr>
            <w:r>
              <w:rPr>
                <w:rFonts w:ascii="Arial" w:cs="Arial" w:eastAsia="Arial" w:hAnsi="Arial"/>
                <w:sz w:val="18"/>
                <w:szCs w:val="18"/>
                <w:color w:val="auto"/>
                <w:w w:val="90"/>
              </w:rPr>
              <w:t>incorporation or organization)</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60" w:type="dxa"/>
            <w:vAlign w:val="bottom"/>
            <w:gridSpan w:val="7"/>
          </w:tcPr>
          <w:p>
            <w:pPr>
              <w:jc w:val="center"/>
              <w:ind w:right="240"/>
              <w:spacing w:after="0"/>
              <w:rPr>
                <w:sz w:val="20"/>
                <w:szCs w:val="20"/>
                <w:color w:val="auto"/>
              </w:rPr>
            </w:pPr>
            <w:r>
              <w:rPr>
                <w:rFonts w:ascii="Arial" w:cs="Arial" w:eastAsia="Arial" w:hAnsi="Arial"/>
                <w:sz w:val="18"/>
                <w:szCs w:val="18"/>
                <w:color w:val="auto"/>
                <w:w w:val="92"/>
              </w:rPr>
              <w:t>777 Old Saw Mill River Road</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6"/>
          </w:tcPr>
          <w:p>
            <w:pPr>
              <w:jc w:val="center"/>
              <w:ind w:right="620"/>
              <w:spacing w:after="0"/>
              <w:rPr>
                <w:sz w:val="20"/>
                <w:szCs w:val="20"/>
                <w:color w:val="auto"/>
              </w:rPr>
            </w:pPr>
            <w:r>
              <w:rPr>
                <w:rFonts w:ascii="Arial" w:cs="Arial" w:eastAsia="Arial" w:hAnsi="Arial"/>
                <w:sz w:val="18"/>
                <w:szCs w:val="18"/>
                <w:color w:val="auto"/>
                <w:w w:val="90"/>
              </w:rPr>
              <w:t>Tarrytown, New York</w:t>
            </w:r>
          </w:p>
        </w:tc>
        <w:tc>
          <w:tcPr>
            <w:tcW w:w="5000" w:type="dxa"/>
            <w:vAlign w:val="bottom"/>
            <w:gridSpan w:val="7"/>
          </w:tcPr>
          <w:p>
            <w:pPr>
              <w:jc w:val="center"/>
              <w:ind w:left="1092"/>
              <w:spacing w:after="0"/>
              <w:rPr>
                <w:sz w:val="20"/>
                <w:szCs w:val="20"/>
                <w:color w:val="auto"/>
              </w:rPr>
            </w:pPr>
            <w:r>
              <w:rPr>
                <w:rFonts w:ascii="Arial" w:cs="Arial" w:eastAsia="Arial" w:hAnsi="Arial"/>
                <w:sz w:val="18"/>
                <w:szCs w:val="18"/>
                <w:color w:val="auto"/>
                <w:w w:val="89"/>
              </w:rPr>
              <w:t>10591-6707</w:t>
            </w:r>
          </w:p>
        </w:tc>
      </w:tr>
      <w:tr>
        <w:trPr>
          <w:trHeight w:val="97"/>
        </w:trPr>
        <w:tc>
          <w:tcPr>
            <w:tcW w:w="1440" w:type="dxa"/>
            <w:vAlign w:val="bottom"/>
          </w:tcPr>
          <w:p>
            <w:pPr>
              <w:spacing w:after="0"/>
              <w:rPr>
                <w:sz w:val="8"/>
                <w:szCs w:val="8"/>
                <w:color w:val="auto"/>
              </w:rPr>
            </w:pPr>
          </w:p>
        </w:tc>
        <w:tc>
          <w:tcPr>
            <w:tcW w:w="1980" w:type="dxa"/>
            <w:vAlign w:val="bottom"/>
            <w:tcBorders>
              <w:bottom w:val="single" w:sz="8" w:color="808080"/>
            </w:tcBorders>
            <w:gridSpan w:val="5"/>
          </w:tcPr>
          <w:p>
            <w:pPr>
              <w:spacing w:after="0"/>
              <w:rPr>
                <w:sz w:val="8"/>
                <w:szCs w:val="8"/>
                <w:color w:val="auto"/>
              </w:rPr>
            </w:pPr>
          </w:p>
        </w:tc>
        <w:tc>
          <w:tcPr>
            <w:tcW w:w="1600" w:type="dxa"/>
            <w:vAlign w:val="bottom"/>
            <w:tcBorders>
              <w:bottom w:val="single" w:sz="8" w:color="808080"/>
            </w:tcBorders>
            <w:gridSpan w:val="3"/>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gridSpan w:val="2"/>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3580" w:type="dxa"/>
            <w:vAlign w:val="bottom"/>
            <w:gridSpan w:val="8"/>
          </w:tcPr>
          <w:p>
            <w:pPr>
              <w:jc w:val="center"/>
              <w:ind w:left="692"/>
              <w:spacing w:after="0"/>
              <w:rPr>
                <w:sz w:val="20"/>
                <w:szCs w:val="20"/>
                <w:color w:val="auto"/>
              </w:rPr>
            </w:pPr>
            <w:r>
              <w:rPr>
                <w:rFonts w:ascii="Arial" w:cs="Arial" w:eastAsia="Arial" w:hAnsi="Arial"/>
                <w:sz w:val="18"/>
                <w:szCs w:val="18"/>
                <w:color w:val="auto"/>
                <w:w w:val="90"/>
              </w:rPr>
              <w:t>(Address of principal executive offices)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8"/>
                <w:szCs w:val="18"/>
                <w:color w:val="auto"/>
                <w:w w:val="91"/>
              </w:rPr>
              <w:t>(Zip code)</w:t>
            </w:r>
          </w:p>
        </w:tc>
      </w:tr>
      <w:tr>
        <w:trPr>
          <w:trHeight w:val="459"/>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center"/>
              <w:ind w:right="492"/>
              <w:spacing w:after="0"/>
              <w:rPr>
                <w:sz w:val="20"/>
                <w:szCs w:val="20"/>
                <w:color w:val="auto"/>
              </w:rPr>
            </w:pPr>
            <w:r>
              <w:rPr>
                <w:rFonts w:ascii="Arial" w:cs="Arial" w:eastAsia="Arial" w:hAnsi="Arial"/>
                <w:sz w:val="18"/>
                <w:szCs w:val="18"/>
                <w:color w:val="auto"/>
                <w:w w:val="89"/>
              </w:rPr>
              <w:t>(914) 347-7000</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97"/>
        </w:trPr>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0" w:type="dxa"/>
            <w:vAlign w:val="bottom"/>
            <w:tcBorders>
              <w:bottom w:val="single" w:sz="8" w:color="808080"/>
            </w:tcBorders>
            <w:gridSpan w:val="8"/>
          </w:tcPr>
          <w:p>
            <w:pPr>
              <w:spacing w:after="0"/>
              <w:rPr>
                <w:sz w:val="8"/>
                <w:szCs w:val="8"/>
                <w:color w:val="auto"/>
              </w:rPr>
            </w:pPr>
          </w:p>
        </w:tc>
        <w:tc>
          <w:tcPr>
            <w:tcW w:w="2000" w:type="dxa"/>
            <w:vAlign w:val="bottom"/>
            <w:gridSpan w:val="2"/>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gridSpan w:val="10"/>
          </w:tcPr>
          <w:p>
            <w:pPr>
              <w:jc w:val="center"/>
              <w:ind w:right="2000"/>
              <w:spacing w:after="0"/>
              <w:rPr>
                <w:sz w:val="20"/>
                <w:szCs w:val="20"/>
                <w:color w:val="auto"/>
              </w:rPr>
            </w:pPr>
            <w:r>
              <w:rPr>
                <w:rFonts w:ascii="Arial" w:cs="Arial" w:eastAsia="Arial" w:hAnsi="Arial"/>
                <w:sz w:val="18"/>
                <w:szCs w:val="18"/>
                <w:color w:val="auto"/>
                <w:w w:val="87"/>
              </w:rPr>
              <w:t>(Registrant’s telephone number, including area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-2934970</wp:posOffset>
            </wp:positionV>
            <wp:extent cx="342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-2934970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-2523490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-2523490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0"/>
          <w:szCs w:val="20"/>
          <w:color w:val="auto"/>
        </w:rPr>
      </w:pPr>
    </w:p>
    <w:p>
      <w:pPr>
        <w:spacing w:after="0" w:line="237" w:lineRule="exact"/>
        <w:rPr>
          <w:sz w:val="20"/>
          <w:szCs w:val="20"/>
          <w:color w:val="auto"/>
        </w:rPr>
      </w:pPr>
    </w:p>
    <w:p>
      <w:pPr>
        <w:ind w:left="4580"/>
        <w:spacing w:after="0"/>
        <w:tabs>
          <w:tab w:leader="none" w:pos="4980" w:val="left"/>
          <w:tab w:leader="none" w:pos="614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58420</wp:posOffset>
            </wp:positionV>
            <wp:extent cx="3130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055" cy="342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75565</wp:posOffset>
            </wp:positionV>
            <wp:extent cx="3130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055" cy="342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2001:</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3920" w:type="dxa"/>
            <w:vAlign w:val="bottom"/>
          </w:tcPr>
          <w:p>
            <w:pPr>
              <w:ind w:left="1300"/>
              <w:spacing w:after="0"/>
              <w:rPr>
                <w:sz w:val="20"/>
                <w:szCs w:val="20"/>
                <w:color w:val="auto"/>
              </w:rPr>
            </w:pPr>
            <w:r>
              <w:rPr>
                <w:rFonts w:ascii="Arial" w:cs="Arial" w:eastAsia="Arial" w:hAnsi="Arial"/>
                <w:sz w:val="14"/>
                <w:szCs w:val="14"/>
                <w:color w:val="auto"/>
              </w:rPr>
              <w:t>Class of Common Stock</w:t>
            </w:r>
          </w:p>
        </w:tc>
        <w:tc>
          <w:tcPr>
            <w:tcW w:w="260" w:type="dxa"/>
            <w:vAlign w:val="bottom"/>
          </w:tcPr>
          <w:p>
            <w:pPr>
              <w:spacing w:after="0"/>
              <w:rPr>
                <w:sz w:val="14"/>
                <w:szCs w:val="14"/>
                <w:color w:val="auto"/>
              </w:rPr>
            </w:pPr>
          </w:p>
        </w:tc>
        <w:tc>
          <w:tcPr>
            <w:tcW w:w="2100" w:type="dxa"/>
            <w:vAlign w:val="bottom"/>
          </w:tcPr>
          <w:p>
            <w:pPr>
              <w:jc w:val="right"/>
              <w:ind w:right="492"/>
              <w:spacing w:after="0"/>
              <w:rPr>
                <w:sz w:val="20"/>
                <w:szCs w:val="20"/>
                <w:color w:val="auto"/>
              </w:rPr>
            </w:pPr>
            <w:r>
              <w:rPr>
                <w:rFonts w:ascii="Arial" w:cs="Arial" w:eastAsia="Arial" w:hAnsi="Arial"/>
                <w:sz w:val="14"/>
                <w:szCs w:val="14"/>
                <w:color w:val="auto"/>
              </w:rPr>
              <w:t>Number of Shares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Class A Stock, $0.001 par value</w:t>
            </w:r>
          </w:p>
        </w:tc>
        <w:tc>
          <w:tcPr>
            <w:tcW w:w="236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2,570,789</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2360" w:type="dxa"/>
            <w:vAlign w:val="bottom"/>
            <w:gridSpan w:val="2"/>
          </w:tcPr>
          <w:p>
            <w:pPr>
              <w:jc w:val="right"/>
              <w:ind w:right="592"/>
              <w:spacing w:after="0"/>
              <w:rPr>
                <w:sz w:val="20"/>
                <w:szCs w:val="20"/>
                <w:color w:val="auto"/>
              </w:rPr>
            </w:pPr>
            <w:r>
              <w:rPr>
                <w:rFonts w:ascii="Arial" w:cs="Arial" w:eastAsia="Arial" w:hAnsi="Arial"/>
                <w:sz w:val="18"/>
                <w:szCs w:val="18"/>
                <w:color w:val="auto"/>
              </w:rPr>
              <w:t>41,163,133</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2"/>
        </w:trPr>
        <w:tc>
          <w:tcPr>
            <w:tcW w:w="258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BALANCE SHEETS AT SEPTEMBER 30, 2001 AND DECEMBER 31, 2000 (Unaudited)</w:t>
        </w:r>
      </w:hyperlink>
    </w:p>
    <w:p>
      <w:pPr>
        <w:spacing w:after="0" w:line="15" w:lineRule="exact"/>
        <w:rPr>
          <w:sz w:val="20"/>
          <w:szCs w:val="20"/>
          <w:color w:val="auto"/>
        </w:rPr>
      </w:pPr>
    </w:p>
    <w:p>
      <w:pPr>
        <w:ind w:left="62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CONDENSED STATEMENTS OF OPERATIONS (Unaudited)</w:t>
        </w:r>
      </w:hyperlink>
    </w:p>
    <w:p>
      <w:pPr>
        <w:ind w:left="620" w:right="24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CONDENSED STATEMENT OF STOCKHOLDERS’ EQUITY (Unaudited) For the nine months ended</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September 30, 2001</w:t>
        </w:r>
      </w:hyperlink>
    </w:p>
    <w:p>
      <w:pPr>
        <w:ind w:left="6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CONDENSED STATEMENTS OF CASH FLOWS (Unaudited) (In thousands)</w:t>
        </w:r>
      </w:hyperlink>
    </w:p>
    <w:p>
      <w:pPr>
        <w:ind w:left="6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Financial Statements</w:t>
        </w:r>
      </w:hyperlink>
    </w:p>
    <w:p>
      <w:pPr>
        <w:spacing w:after="0" w:line="1" w:lineRule="exact"/>
        <w:rPr>
          <w:sz w:val="20"/>
          <w:szCs w:val="20"/>
          <w:color w:val="auto"/>
        </w:rPr>
      </w:pPr>
    </w:p>
    <w:p>
      <w:pPr>
        <w:ind w:left="320" w:right="120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3. Quantitative and Qualitative Disclosure About Market Risk.</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6. Exhibits and Reports on Form 8-K</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820" w:top="111" w:right="11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Page Numbers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PART I</w:t>
            </w:r>
          </w:p>
        </w:tc>
        <w:tc>
          <w:tcPr>
            <w:tcW w:w="84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FINANCIAL INFORMATION</w:t>
            </w:r>
          </w:p>
        </w:tc>
        <w:tc>
          <w:tcPr>
            <w:tcW w:w="142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320" w:type="dxa"/>
            <w:vAlign w:val="bottom"/>
            <w:vMerge w:val="continue"/>
          </w:tcPr>
          <w:p>
            <w:pPr>
              <w:spacing w:after="0"/>
              <w:rPr>
                <w:sz w:val="24"/>
                <w:szCs w:val="24"/>
                <w:color w:val="auto"/>
              </w:rPr>
            </w:pPr>
          </w:p>
        </w:tc>
        <w:tc>
          <w:tcPr>
            <w:tcW w:w="84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20" w:type="dxa"/>
            <w:vAlign w:val="bottom"/>
          </w:tcPr>
          <w:p>
            <w:pPr>
              <w:ind w:left="300"/>
              <w:spacing w:after="0"/>
              <w:rPr>
                <w:sz w:val="20"/>
                <w:szCs w:val="20"/>
                <w:color w:val="auto"/>
              </w:rPr>
            </w:pPr>
            <w:r>
              <w:rPr>
                <w:rFonts w:ascii="Arial" w:cs="Arial" w:eastAsia="Arial" w:hAnsi="Arial"/>
                <w:sz w:val="18"/>
                <w:szCs w:val="18"/>
                <w:color w:val="auto"/>
              </w:rPr>
              <w:t>Item 1</w:t>
            </w:r>
          </w:p>
        </w:tc>
        <w:tc>
          <w:tcPr>
            <w:tcW w:w="8400" w:type="dxa"/>
            <w:vAlign w:val="bottom"/>
          </w:tcPr>
          <w:p>
            <w:pPr>
              <w:ind w:left="360"/>
              <w:spacing w:after="0"/>
              <w:rPr>
                <w:sz w:val="20"/>
                <w:szCs w:val="20"/>
                <w:color w:val="auto"/>
              </w:rPr>
            </w:pPr>
            <w:r>
              <w:rPr>
                <w:rFonts w:ascii="Arial" w:cs="Arial" w:eastAsia="Arial" w:hAnsi="Arial"/>
                <w:sz w:val="18"/>
                <w:szCs w:val="18"/>
                <w:color w:val="auto"/>
              </w:rPr>
              <w:t>Financial Statements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Condensed balance sheets (unaudited) at September 30, 2001 and December 31, 2000</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Condensed statements of operations (unaudited) for the three months and nine months ended</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September 30, 2001 and 2000</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79"/>
              </w:rPr>
              <w:t>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w w:val="95"/>
              </w:rPr>
              <w:t>Condensed statement of stockholders’ equity (unaudited) for the nine months ended September 30, 2001</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79"/>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w w:val="94"/>
              </w:rPr>
              <w:t>Condensed statements of cash flows (unaudited) for the nine months ended September 30, 2001 and 2000</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79"/>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Notes to condensed financial statements</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88"/>
              </w:rPr>
              <w:t>7-15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20" w:type="dxa"/>
            <w:vAlign w:val="bottom"/>
          </w:tcPr>
          <w:p>
            <w:pPr>
              <w:ind w:left="300"/>
              <w:spacing w:after="0"/>
              <w:rPr>
                <w:sz w:val="20"/>
                <w:szCs w:val="20"/>
                <w:color w:val="auto"/>
              </w:rPr>
            </w:pPr>
            <w:r>
              <w:rPr>
                <w:rFonts w:ascii="Arial" w:cs="Arial" w:eastAsia="Arial" w:hAnsi="Arial"/>
                <w:sz w:val="18"/>
                <w:szCs w:val="18"/>
                <w:color w:val="auto"/>
              </w:rPr>
              <w:t>Item 2</w:t>
            </w:r>
          </w:p>
        </w:tc>
        <w:tc>
          <w:tcPr>
            <w:tcW w:w="8400" w:type="dxa"/>
            <w:vAlign w:val="bottom"/>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86"/>
              </w:rPr>
              <w:t>16-27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ind w:left="300"/>
              <w:spacing w:after="0"/>
              <w:rPr>
                <w:sz w:val="20"/>
                <w:szCs w:val="20"/>
                <w:color w:val="auto"/>
              </w:rPr>
            </w:pPr>
            <w:r>
              <w:rPr>
                <w:rFonts w:ascii="Arial" w:cs="Arial" w:eastAsia="Arial" w:hAnsi="Arial"/>
                <w:sz w:val="18"/>
                <w:szCs w:val="18"/>
                <w:color w:val="auto"/>
              </w:rPr>
              <w:t>Item 3</w:t>
            </w:r>
          </w:p>
        </w:tc>
        <w:tc>
          <w:tcPr>
            <w:tcW w:w="8400" w:type="dxa"/>
            <w:vAlign w:val="bottom"/>
          </w:tcPr>
          <w:p>
            <w:pPr>
              <w:ind w:left="360"/>
              <w:spacing w:after="0"/>
              <w:rPr>
                <w:sz w:val="20"/>
                <w:szCs w:val="20"/>
                <w:color w:val="auto"/>
              </w:rPr>
            </w:pPr>
            <w:r>
              <w:rPr>
                <w:rFonts w:ascii="Arial" w:cs="Arial" w:eastAsia="Arial" w:hAnsi="Arial"/>
                <w:sz w:val="18"/>
                <w:szCs w:val="18"/>
                <w:color w:val="auto"/>
              </w:rPr>
              <w:t>Quantitative &amp; Qualitative Disclosure About Market Risk</w:t>
            </w:r>
          </w:p>
        </w:tc>
        <w:tc>
          <w:tcPr>
            <w:tcW w:w="1420" w:type="dxa"/>
            <w:vAlign w:val="bottom"/>
          </w:tcPr>
          <w:p>
            <w:pPr>
              <w:jc w:val="center"/>
              <w:ind w:left="354"/>
              <w:spacing w:after="0"/>
              <w:rPr>
                <w:sz w:val="20"/>
                <w:szCs w:val="20"/>
                <w:color w:val="auto"/>
              </w:rPr>
            </w:pPr>
            <w:r>
              <w:rPr>
                <w:rFonts w:ascii="Arial" w:cs="Arial" w:eastAsia="Arial" w:hAnsi="Arial"/>
                <w:sz w:val="18"/>
                <w:szCs w:val="18"/>
                <w:color w:val="auto"/>
                <w:w w:val="89"/>
              </w:rPr>
              <w:t>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PART II</w:t>
            </w:r>
          </w:p>
        </w:tc>
        <w:tc>
          <w:tcPr>
            <w:tcW w:w="8400" w:type="dxa"/>
            <w:vAlign w:val="bottom"/>
          </w:tcPr>
          <w:p>
            <w:pPr>
              <w:ind w:left="360"/>
              <w:spacing w:after="0"/>
              <w:rPr>
                <w:sz w:val="20"/>
                <w:szCs w:val="20"/>
                <w:color w:val="auto"/>
              </w:rPr>
            </w:pPr>
            <w:r>
              <w:rPr>
                <w:rFonts w:ascii="Arial" w:cs="Arial" w:eastAsia="Arial" w:hAnsi="Arial"/>
                <w:sz w:val="18"/>
                <w:szCs w:val="18"/>
                <w:b w:val="1"/>
                <w:bCs w:val="1"/>
                <w:color w:val="auto"/>
              </w:rPr>
              <w:t>OTHER INFORMATION</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ind w:left="300"/>
              <w:spacing w:after="0"/>
              <w:rPr>
                <w:sz w:val="20"/>
                <w:szCs w:val="20"/>
                <w:color w:val="auto"/>
              </w:rPr>
            </w:pPr>
            <w:r>
              <w:rPr>
                <w:rFonts w:ascii="Arial" w:cs="Arial" w:eastAsia="Arial" w:hAnsi="Arial"/>
                <w:sz w:val="18"/>
                <w:szCs w:val="18"/>
                <w:color w:val="auto"/>
              </w:rPr>
              <w:t>Item 6</w:t>
            </w:r>
          </w:p>
        </w:tc>
        <w:tc>
          <w:tcPr>
            <w:tcW w:w="8400" w:type="dxa"/>
            <w:vAlign w:val="bottom"/>
          </w:tcPr>
          <w:p>
            <w:pPr>
              <w:ind w:left="360"/>
              <w:spacing w:after="0"/>
              <w:rPr>
                <w:sz w:val="20"/>
                <w:szCs w:val="20"/>
                <w:color w:val="auto"/>
              </w:rPr>
            </w:pPr>
            <w:r>
              <w:rPr>
                <w:rFonts w:ascii="Arial" w:cs="Arial" w:eastAsia="Arial" w:hAnsi="Arial"/>
                <w:sz w:val="18"/>
                <w:szCs w:val="18"/>
                <w:color w:val="auto"/>
              </w:rPr>
              <w:t>Exhibits and Reports on Form 8-K</w:t>
            </w:r>
          </w:p>
        </w:tc>
        <w:tc>
          <w:tcPr>
            <w:tcW w:w="1420" w:type="dxa"/>
            <w:vAlign w:val="bottom"/>
          </w:tcPr>
          <w:p>
            <w:pPr>
              <w:jc w:val="center"/>
              <w:ind w:left="354"/>
              <w:spacing w:after="0"/>
              <w:rPr>
                <w:sz w:val="20"/>
                <w:szCs w:val="20"/>
                <w:color w:val="auto"/>
              </w:rPr>
            </w:pPr>
            <w:r>
              <w:rPr>
                <w:rFonts w:ascii="Arial" w:cs="Arial" w:eastAsia="Arial" w:hAnsi="Arial"/>
                <w:sz w:val="18"/>
                <w:szCs w:val="18"/>
                <w:color w:val="auto"/>
                <w:w w:val="89"/>
              </w:rPr>
              <w:t>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720" w:type="dxa"/>
            <w:vAlign w:val="bottom"/>
            <w:gridSpan w:val="2"/>
          </w:tcPr>
          <w:p>
            <w:pPr>
              <w:ind w:left="300"/>
              <w:spacing w:after="0"/>
              <w:rPr>
                <w:sz w:val="20"/>
                <w:szCs w:val="20"/>
                <w:color w:val="auto"/>
              </w:rPr>
            </w:pPr>
            <w:r>
              <w:rPr>
                <w:rFonts w:ascii="Arial" w:cs="Arial" w:eastAsia="Arial" w:hAnsi="Arial"/>
                <w:sz w:val="18"/>
                <w:szCs w:val="18"/>
                <w:b w:val="1"/>
                <w:bCs w:val="1"/>
                <w:color w:val="auto"/>
              </w:rPr>
              <w:t>SIGNATURE PAGE</w:t>
            </w:r>
          </w:p>
        </w:tc>
        <w:tc>
          <w:tcPr>
            <w:tcW w:w="1420" w:type="dxa"/>
            <w:vAlign w:val="bottom"/>
          </w:tcPr>
          <w:p>
            <w:pPr>
              <w:jc w:val="center"/>
              <w:ind w:left="354"/>
              <w:spacing w:after="0"/>
              <w:rPr>
                <w:sz w:val="20"/>
                <w:szCs w:val="20"/>
                <w:color w:val="auto"/>
              </w:rPr>
            </w:pPr>
            <w:r>
              <w:rPr>
                <w:rFonts w:ascii="Arial" w:cs="Arial" w:eastAsia="Arial" w:hAnsi="Arial"/>
                <w:sz w:val="18"/>
                <w:szCs w:val="18"/>
                <w:color w:val="auto"/>
                <w:w w:val="89"/>
              </w:rPr>
              <w:t>30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400" w:type="dxa"/>
            <w:vAlign w:val="bottom"/>
          </w:tcPr>
          <w:p>
            <w:pPr>
              <w:ind w:left="436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84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7050405</wp:posOffset>
            </wp:positionH>
            <wp:positionV relativeFrom="paragraph">
              <wp:posOffset>-4361815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2001 AND DECEMBER 31, 2000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0" w:type="dxa"/>
            <w:vAlign w:val="bottom"/>
            <w:vMerge w:val="restart"/>
          </w:tcPr>
          <w:p>
            <w:pPr>
              <w:ind w:left="3320"/>
              <w:spacing w:after="0"/>
              <w:rPr>
                <w:sz w:val="20"/>
                <w:szCs w:val="20"/>
                <w:color w:val="auto"/>
              </w:rPr>
            </w:pPr>
            <w:r>
              <w:rPr>
                <w:rFonts w:ascii="Arial" w:cs="Arial" w:eastAsia="Arial" w:hAnsi="Arial"/>
                <w:sz w:val="18"/>
                <w:szCs w:val="18"/>
                <w:b w:val="1"/>
                <w:bCs w:val="1"/>
                <w:color w:val="auto"/>
              </w:rPr>
              <w:t>ASSETS</w:t>
            </w:r>
          </w:p>
        </w:tc>
        <w:tc>
          <w:tcPr>
            <w:tcW w:w="150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99,974</w:t>
            </w:r>
          </w:p>
        </w:tc>
        <w:tc>
          <w:tcPr>
            <w:tcW w:w="42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30,978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Marketable securities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140,735</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Receivable due from The Procter &amp; Gamble Company</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Receivable due from Merck &amp; Co., Inc.</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Receivable due from Amgen-Regeneron Partners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Receivable due from Sumitomo Pharmaceuticals Co., Ltd.</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Inventory</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3,056</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252,727</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134,142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27,319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36,758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Investment in Amgen-Regeneron Partners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37,418</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EEEEEE"/>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318,613</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208,274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00" w:type="dxa"/>
            <w:vAlign w:val="bottom"/>
            <w:vMerge w:val="restart"/>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10,120</w:t>
            </w:r>
          </w:p>
        </w:tc>
        <w:tc>
          <w:tcPr>
            <w:tcW w:w="42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Deferred revenue, current portion</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3,772</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Capital lease obligations, current portion</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Note payable, current portion</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14,415</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13,786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7,394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Note payable</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1,416</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outstanding — none</w:t>
            </w:r>
          </w:p>
        </w:tc>
        <w:tc>
          <w:tcPr>
            <w:tcW w:w="44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2,570,789 shares issued and outstanding in 2001</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2,612,845 shares issued and outstanding in 2000</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Common Stock, $.001 par value; 60,000,000 shares authorized;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41,160,798 shares issued and outstanding in 2001</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34,197,104 shares issued and outstanding in 2000</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565,435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406,391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Unearned compensation</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(999)</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(271,320)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(223,518)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1,711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294,871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182,130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EEEEEE"/>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318,613</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208,274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140"/>
          </w:cols>
          <w:pgMar w:left="240" w:top="419" w:right="519" w:bottom="545" w:gutter="0" w:footer="0" w:header="0"/>
        </w:sect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545"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86"/>
              </w:rPr>
              <w:t>Three months ended September 30,</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c>
          <w:tcPr>
            <w:tcW w:w="12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2,819</w:t>
            </w:r>
          </w:p>
        </w:tc>
        <w:tc>
          <w:tcPr>
            <w:tcW w:w="4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  8,876</w:t>
            </w:r>
          </w:p>
        </w:tc>
        <w:tc>
          <w:tcPr>
            <w:tcW w:w="3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9,351</w:t>
            </w:r>
          </w:p>
        </w:tc>
        <w:tc>
          <w:tcPr>
            <w:tcW w:w="4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  27,322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Research progress payments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2,661</w:t>
            </w:r>
          </w:p>
        </w:tc>
        <w:tc>
          <w:tcPr>
            <w:tcW w:w="42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2,623</w:t>
            </w:r>
          </w:p>
        </w:tc>
        <w:tc>
          <w:tcPr>
            <w:tcW w:w="3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8,221</w:t>
            </w:r>
          </w:p>
        </w:tc>
        <w:tc>
          <w:tcPr>
            <w:tcW w:w="4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6,617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5,480</w:t>
            </w:r>
          </w:p>
        </w:tc>
        <w:tc>
          <w:tcPr>
            <w:tcW w:w="4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14,999</w:t>
            </w:r>
          </w:p>
        </w:tc>
        <w:tc>
          <w:tcPr>
            <w:tcW w:w="3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17,572</w:t>
            </w:r>
          </w:p>
        </w:tc>
        <w:tc>
          <w:tcPr>
            <w:tcW w:w="4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40,139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43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25,039</w:t>
            </w:r>
          </w:p>
        </w:tc>
        <w:tc>
          <w:tcPr>
            <w:tcW w:w="4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15,207</w:t>
            </w:r>
          </w:p>
        </w:tc>
        <w:tc>
          <w:tcPr>
            <w:tcW w:w="3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61,440</w:t>
            </w:r>
          </w:p>
        </w:tc>
        <w:tc>
          <w:tcPr>
            <w:tcW w:w="4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43,508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1,274</w:t>
            </w:r>
          </w:p>
        </w:tc>
        <w:tc>
          <w:tcPr>
            <w:tcW w:w="4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2,512</w:t>
            </w:r>
          </w:p>
        </w:tc>
        <w:tc>
          <w:tcPr>
            <w:tcW w:w="3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5,347</w:t>
            </w:r>
          </w:p>
        </w:tc>
        <w:tc>
          <w:tcPr>
            <w:tcW w:w="4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6,828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2,461</w:t>
            </w:r>
          </w:p>
        </w:tc>
        <w:tc>
          <w:tcPr>
            <w:tcW w:w="4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1,769</w:t>
            </w:r>
          </w:p>
        </w:tc>
        <w:tc>
          <w:tcPr>
            <w:tcW w:w="3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6,875</w:t>
            </w:r>
          </w:p>
        </w:tc>
        <w:tc>
          <w:tcPr>
            <w:tcW w:w="4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5,290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28,774</w:t>
            </w:r>
          </w:p>
        </w:tc>
        <w:tc>
          <w:tcPr>
            <w:tcW w:w="4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19,488</w:t>
            </w:r>
          </w:p>
        </w:tc>
        <w:tc>
          <w:tcPr>
            <w:tcW w:w="3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73,662</w:t>
            </w:r>
          </w:p>
        </w:tc>
        <w:tc>
          <w:tcPr>
            <w:tcW w:w="4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55,626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(23,294)</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(4,489)</w:t>
            </w:r>
          </w:p>
        </w:tc>
        <w:tc>
          <w:tcPr>
            <w:tcW w:w="17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(56,090)</w:t>
            </w:r>
          </w:p>
        </w:tc>
        <w:tc>
          <w:tcPr>
            <w:tcW w:w="17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108"/>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43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Investment income</w:t>
            </w: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3,162</w:t>
            </w:r>
          </w:p>
        </w:tc>
        <w:tc>
          <w:tcPr>
            <w:tcW w:w="4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2,530</w:t>
            </w:r>
          </w:p>
        </w:tc>
        <w:tc>
          <w:tcPr>
            <w:tcW w:w="3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9,474</w:t>
            </w:r>
          </w:p>
        </w:tc>
        <w:tc>
          <w:tcPr>
            <w:tcW w:w="4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w w:val="99"/>
              </w:rPr>
              <w:t>Earnings from (loss in) Amgen-Regeneron Partners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(1,099)</w:t>
            </w: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(1,056)</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(40)</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(60)</w:t>
            </w:r>
          </w:p>
        </w:tc>
        <w:tc>
          <w:tcPr>
            <w:tcW w:w="17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(130)</w:t>
            </w:r>
          </w:p>
        </w:tc>
        <w:tc>
          <w:tcPr>
            <w:tcW w:w="17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3,363</w:t>
            </w:r>
          </w:p>
        </w:tc>
        <w:tc>
          <w:tcPr>
            <w:tcW w:w="4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1,371</w:t>
            </w:r>
          </w:p>
        </w:tc>
        <w:tc>
          <w:tcPr>
            <w:tcW w:w="3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8,288</w:t>
            </w:r>
          </w:p>
        </w:tc>
        <w:tc>
          <w:tcPr>
            <w:tcW w:w="4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2,290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Net loss before cumulative effect of a change in</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(19,931)</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(3,118)</w:t>
            </w:r>
          </w:p>
        </w:tc>
        <w:tc>
          <w:tcPr>
            <w:tcW w:w="17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(47,802)</w:t>
            </w:r>
          </w:p>
        </w:tc>
        <w:tc>
          <w:tcPr>
            <w:tcW w:w="17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Cumulative effect of adopting Staff Accounting Bulletin</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101 (“SAB 101”)</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($19,931)</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($3,118)</w:t>
            </w:r>
          </w:p>
        </w:tc>
        <w:tc>
          <w:tcPr>
            <w:tcW w:w="17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($47,802)</w:t>
            </w:r>
          </w:p>
        </w:tc>
        <w:tc>
          <w:tcPr>
            <w:tcW w:w="17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105"/>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amounts, basic and diluted:</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40" w:type="dxa"/>
            <w:vAlign w:val="bottom"/>
            <w:gridSpan w:val="2"/>
            <w:vMerge w:val="continue"/>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3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loss before cumulative effect of a change in</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accounting principle</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($0.46)</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($0.09)</w:t>
            </w:r>
          </w:p>
        </w:tc>
        <w:tc>
          <w:tcPr>
            <w:tcW w:w="17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($1.15)</w:t>
            </w:r>
          </w:p>
        </w:tc>
        <w:tc>
          <w:tcPr>
            <w:tcW w:w="17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Cumulative effect of adopting SAB 101</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Net loss</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($0.46)</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($0.09)</w:t>
            </w:r>
          </w:p>
        </w:tc>
        <w:tc>
          <w:tcPr>
            <w:tcW w:w="17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($1.15)</w:t>
            </w:r>
          </w:p>
        </w:tc>
        <w:tc>
          <w:tcPr>
            <w:tcW w:w="17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3"/>
              </w:rPr>
              <w:t>Class A Stock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9"/>
          </w:tcPr>
          <w:p>
            <w:pP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9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9"/>
              </w:rPr>
              <w:t>Paid-in</w:t>
            </w:r>
          </w:p>
        </w:tc>
        <w:tc>
          <w:tcPr>
            <w:tcW w:w="1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1640" w:type="dxa"/>
            <w:vAlign w:val="bottom"/>
            <w:gridSpan w:val="3"/>
            <w:vMerge w:val="restart"/>
          </w:tcPr>
          <w:p>
            <w:pPr>
              <w:jc w:val="center"/>
              <w:ind w:right="1080"/>
              <w:spacing w:after="0"/>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4"/>
          </w:tcPr>
          <w:p>
            <w:pPr>
              <w:ind w:left="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2000</w:t>
            </w: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2,613</w:t>
            </w:r>
          </w:p>
        </w:tc>
        <w:tc>
          <w:tcPr>
            <w:tcW w:w="180" w:type="dxa"/>
            <w:vAlign w:val="bottom"/>
            <w:shd w:val="clear" w:color="auto" w:fill="EEEEEE"/>
          </w:tcPr>
          <w:p>
            <w:pPr>
              <w:spacing w:after="0"/>
              <w:rPr>
                <w:sz w:val="18"/>
                <w:szCs w:val="18"/>
                <w:color w:val="auto"/>
              </w:rPr>
            </w:pPr>
          </w:p>
        </w:tc>
        <w:tc>
          <w:tcPr>
            <w:tcW w:w="7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$ 3</w:t>
            </w:r>
          </w:p>
        </w:tc>
        <w:tc>
          <w:tcPr>
            <w:tcW w:w="24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34,197</w:t>
            </w:r>
          </w:p>
        </w:tc>
        <w:tc>
          <w:tcPr>
            <w:tcW w:w="20" w:type="dxa"/>
            <w:vAlign w:val="bottom"/>
            <w:shd w:val="clear" w:color="auto" w:fill="EEEEEE"/>
          </w:tcPr>
          <w:p>
            <w:pPr>
              <w:spacing w:after="0"/>
              <w:rPr>
                <w:sz w:val="18"/>
                <w:szCs w:val="18"/>
                <w:color w:val="auto"/>
              </w:rPr>
            </w:pPr>
          </w:p>
        </w:tc>
        <w:tc>
          <w:tcPr>
            <w:tcW w:w="8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$406,391</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($1,314)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Issuance of Common Stock in a public offering at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$25.00 per share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6,630</w:t>
            </w:r>
          </w:p>
        </w:tc>
        <w:tc>
          <w:tcPr>
            <w:tcW w:w="20" w:type="dxa"/>
            <w:vAlign w:val="bottom"/>
          </w:tcPr>
          <w:p>
            <w:pPr>
              <w:spacing w:after="0"/>
              <w:rPr>
                <w:sz w:val="19"/>
                <w:szCs w:val="19"/>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165,743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Cost associated with issuance of equity securities</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7"/>
            <w:shd w:val="clear" w:color="auto" w:fill="EEEEEE"/>
          </w:tcPr>
          <w:p>
            <w:pPr>
              <w:jc w:val="right"/>
              <w:ind w:right="200"/>
              <w:spacing w:after="0"/>
              <w:rPr>
                <w:sz w:val="20"/>
                <w:szCs w:val="20"/>
                <w:color w:val="auto"/>
              </w:rPr>
            </w:pPr>
            <w:r>
              <w:rPr>
                <w:rFonts w:ascii="Arial" w:cs="Arial" w:eastAsia="Arial" w:hAnsi="Arial"/>
                <w:sz w:val="18"/>
                <w:szCs w:val="18"/>
                <w:color w:val="auto"/>
              </w:rPr>
              <w:t>(9,076)</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Issuance of Common Stock in connection with exercise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1,678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w w:val="94"/>
              </w:rPr>
              <w:t>Issuance of restricted Common Stock under Long-Term</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Incentive Plan</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8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(222)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Issuance of Common Stock to Medtronic, Inc.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connection with a cashless exercise of warrants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in connection with</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Company 401(k) Savings Plan contribution</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tcBorders>
              <w:left w:val="single" w:sz="8" w:color="EEEEEE"/>
            </w:tcBorders>
            <w:shd w:val="clear" w:color="auto" w:fill="EEEEEE"/>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Conversion of Class A Stock to Common Stock</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537</w:t>
            </w: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w w:val="95"/>
              </w:rPr>
              <w:t>Change in net unrealized gain on marketable securities</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Balance, September 30, 2001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2,571</w:t>
            </w:r>
          </w:p>
        </w:tc>
        <w:tc>
          <w:tcPr>
            <w:tcW w:w="180" w:type="dxa"/>
            <w:vAlign w:val="bottom"/>
          </w:tcPr>
          <w:p>
            <w:pPr>
              <w:spacing w:after="0"/>
              <w:rPr>
                <w:sz w:val="24"/>
                <w:szCs w:val="24"/>
                <w:color w:val="auto"/>
              </w:rPr>
            </w:pPr>
          </w:p>
        </w:tc>
        <w:tc>
          <w:tcPr>
            <w:tcW w:w="740" w:type="dxa"/>
            <w:vAlign w:val="bottom"/>
            <w:gridSpan w:val="5"/>
          </w:tcPr>
          <w:p>
            <w:pPr>
              <w:jc w:val="right"/>
              <w:ind w:right="160"/>
              <w:spacing w:after="0"/>
              <w:rPr>
                <w:sz w:val="20"/>
                <w:szCs w:val="20"/>
                <w:color w:val="auto"/>
              </w:rPr>
            </w:pPr>
            <w:r>
              <w:rPr>
                <w:rFonts w:ascii="Arial" w:cs="Arial" w:eastAsia="Arial" w:hAnsi="Arial"/>
                <w:sz w:val="18"/>
                <w:szCs w:val="18"/>
                <w:color w:val="auto"/>
              </w:rPr>
              <w:t>$ 3</w:t>
            </w:r>
          </w:p>
        </w:tc>
        <w:tc>
          <w:tcPr>
            <w:tcW w:w="24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41,161</w:t>
            </w:r>
          </w:p>
        </w:tc>
        <w:tc>
          <w:tcPr>
            <w:tcW w:w="2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$565,435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8"/>
                <w:szCs w:val="18"/>
                <w:color w:val="auto"/>
              </w:rPr>
              <w:t>($999)</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4"/>
          </w:tcPr>
          <w:p>
            <w:pPr>
              <w:ind w:left="80"/>
              <w:spacing w:after="0"/>
              <w:rPr>
                <w:sz w:val="20"/>
                <w:szCs w:val="20"/>
                <w:color w:val="auto"/>
              </w:rPr>
            </w:pPr>
            <w:r>
              <w:rPr>
                <w:rFonts w:ascii="Arial" w:cs="Arial" w:eastAsia="Arial" w:hAnsi="Arial"/>
                <w:sz w:val="18"/>
                <w:szCs w:val="18"/>
                <w:color w:val="auto"/>
                <w:w w:val="91"/>
              </w:rPr>
              <w:t>[Additional columns below]</w:t>
            </w: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w w:val="98"/>
              </w:rPr>
              <w:t>[Continued from above table, first column(s) repeated]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9"/>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4"/>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2000</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w w:val="89"/>
              </w:rPr>
              <w:t>($223,518)</w:t>
            </w: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$182,130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Issuance of Common Stock in a public offering at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$25.00 per share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165,750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Cost associated with issuance of equity securities</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(9,076)</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Issuance of Common Stock in connection with exercise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w w:val="94"/>
              </w:rPr>
              <w:t>Issuance of restricted Common Stock under Long-Term</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Incentive Plan</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tcBorders>
              <w:left w:val="single" w:sz="8" w:color="EEEEEE"/>
            </w:tcBorders>
            <w:shd w:val="clear" w:color="auto" w:fill="EEEEEE"/>
          </w:tcPr>
          <w:p>
            <w:pPr>
              <w:spacing w:after="0"/>
              <w:rPr>
                <w:sz w:val="19"/>
                <w:szCs w:val="19"/>
                <w:color w:val="auto"/>
              </w:rPr>
            </w:pPr>
          </w:p>
        </w:tc>
        <w:tc>
          <w:tcPr>
            <w:tcW w:w="640" w:type="dxa"/>
            <w:vAlign w:val="bottom"/>
            <w:tcBorders>
              <w:left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Issuance of Common Stock to Medtronic, Inc.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connection with a cashless exercise of warrants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w w:val="93"/>
              </w:rPr>
              <w:t>Issuance of Common Stock in connection with Company</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401(k) Savings Plan contribution</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tcBorders>
              <w:left w:val="single" w:sz="8" w:color="EEEEEE"/>
            </w:tcBorders>
            <w:shd w:val="clear" w:color="auto" w:fill="EEEEEE"/>
          </w:tcPr>
          <w:p>
            <w:pPr>
              <w:spacing w:after="0"/>
              <w:rPr>
                <w:sz w:val="19"/>
                <w:szCs w:val="19"/>
                <w:color w:val="auto"/>
              </w:rPr>
            </w:pPr>
          </w:p>
        </w:tc>
        <w:tc>
          <w:tcPr>
            <w:tcW w:w="640" w:type="dxa"/>
            <w:vAlign w:val="bottom"/>
            <w:tcBorders>
              <w:left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Conversion of Class A Stock to Common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6"/>
          </w:tcPr>
          <w:p>
            <w:pPr>
              <w:jc w:val="right"/>
              <w:ind w:right="180"/>
              <w:spacing w:after="0"/>
              <w:rPr>
                <w:sz w:val="20"/>
                <w:szCs w:val="20"/>
                <w:color w:val="auto"/>
              </w:rPr>
            </w:pPr>
            <w:r>
              <w:rPr>
                <w:rFonts w:ascii="Arial" w:cs="Arial" w:eastAsia="Arial" w:hAnsi="Arial"/>
                <w:sz w:val="18"/>
                <w:szCs w:val="18"/>
                <w:color w:val="auto"/>
              </w:rPr>
              <w:t>(47,802)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6"/>
          </w:tcPr>
          <w:p>
            <w:pPr>
              <w:jc w:val="right"/>
              <w:ind w:right="100"/>
              <w:spacing w:after="0"/>
              <w:rPr>
                <w:sz w:val="20"/>
                <w:szCs w:val="20"/>
                <w:color w:val="auto"/>
              </w:rPr>
            </w:pPr>
            <w:r>
              <w:rPr>
                <w:rFonts w:ascii="Arial" w:cs="Arial" w:eastAsia="Arial" w:hAnsi="Arial"/>
                <w:sz w:val="18"/>
                <w:szCs w:val="18"/>
                <w:color w:val="auto"/>
              </w:rPr>
              <w:t>(47,802)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8"/>
                <w:szCs w:val="18"/>
                <w:color w:val="auto"/>
              </w:rPr>
              <w:t>($47,802)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w w:val="95"/>
              </w:rPr>
              <w:t>Change in net unrealized gain on marketable securities</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1,177</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1,177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1,177</w:t>
            </w:r>
          </w:p>
        </w:tc>
        <w:tc>
          <w:tcPr>
            <w:tcW w:w="460" w:type="dxa"/>
            <w:vAlign w:val="bottom"/>
            <w:tcBorders>
              <w:left w:val="single" w:sz="8" w:color="EEEEEE"/>
            </w:tcBorders>
            <w:shd w:val="clear" w:color="auto" w:fill="EEEEEE"/>
          </w:tcPr>
          <w:p>
            <w:pPr>
              <w:spacing w:after="0"/>
              <w:rPr>
                <w:sz w:val="18"/>
                <w:szCs w:val="18"/>
                <w:color w:val="auto"/>
              </w:rPr>
            </w:pPr>
          </w:p>
        </w:tc>
        <w:tc>
          <w:tcPr>
            <w:tcW w:w="64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gridSpan w:val="4"/>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gridSpan w:val="5"/>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Balance, September 30, 2001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6"/>
          </w:tcPr>
          <w:p>
            <w:pPr>
              <w:jc w:val="right"/>
              <w:ind w:right="180"/>
              <w:spacing w:after="0"/>
              <w:rPr>
                <w:sz w:val="20"/>
                <w:szCs w:val="20"/>
                <w:color w:val="auto"/>
              </w:rPr>
            </w:pPr>
            <w:r>
              <w:rPr>
                <w:rFonts w:ascii="Arial" w:cs="Arial" w:eastAsia="Arial" w:hAnsi="Arial"/>
                <w:sz w:val="18"/>
                <w:szCs w:val="18"/>
                <w:color w:val="auto"/>
                <w:w w:val="89"/>
              </w:rPr>
              <w:t>($271,320)</w:t>
            </w: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$294,871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8"/>
                <w:szCs w:val="18"/>
                <w:color w:val="auto"/>
              </w:rPr>
              <w:t>($46,625)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6865620</wp:posOffset>
            </wp:positionH>
            <wp:positionV relativeFrom="paragraph">
              <wp:posOffset>-6690360</wp:posOffset>
            </wp:positionV>
            <wp:extent cx="17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-4068445</wp:posOffset>
            </wp:positionV>
            <wp:extent cx="10731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-4068445</wp:posOffset>
            </wp:positionV>
            <wp:extent cx="11557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20"/>
          </w:cols>
          <w:pgMar w:left="240" w:top="419"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9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($47,802)</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40"/>
              <w:spacing w:after="0"/>
              <w:rPr>
                <w:sz w:val="20"/>
                <w:szCs w:val="20"/>
                <w:color w:val="auto"/>
              </w:rPr>
            </w:pPr>
            <w:r>
              <w:rPr>
                <w:rFonts w:ascii="Arial" w:cs="Arial" w:eastAsia="Arial" w:hAnsi="Arial"/>
                <w:sz w:val="18"/>
                <w:szCs w:val="18"/>
                <w:color w:val="auto"/>
              </w:rPr>
              <w:t>Loss in Amgen-Regeneron Partners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4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3,450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4,267</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40"/>
              <w:spacing w:after="0"/>
              <w:rPr>
                <w:sz w:val="20"/>
                <w:szCs w:val="20"/>
                <w:color w:val="auto"/>
              </w:rPr>
            </w:pPr>
            <w:r>
              <w:rPr>
                <w:rFonts w:ascii="Arial" w:cs="Arial" w:eastAsia="Arial" w:hAnsi="Arial"/>
                <w:sz w:val="18"/>
                <w:szCs w:val="18"/>
                <w:color w:val="auto"/>
              </w:rPr>
              <w:t>Cumulative effect of a change in accounting principle</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1,563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Non-cash compensation expense</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537</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Decrease (increase) in amounts due from The Procter &amp; Gamble Company</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4,407</w:t>
            </w:r>
          </w:p>
        </w:tc>
        <w:tc>
          <w:tcPr>
            <w:tcW w:w="42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Arial" w:cs="Arial" w:eastAsia="Arial" w:hAnsi="Arial"/>
                <w:sz w:val="18"/>
                <w:szCs w:val="18"/>
                <w:color w:val="auto"/>
              </w:rPr>
              <w:t>Decrease (increase) in amounts due from Merck &amp; Co., Inc.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1,113</w:t>
            </w:r>
          </w:p>
        </w:tc>
        <w:tc>
          <w:tcPr>
            <w:tcW w:w="420" w:type="dxa"/>
            <w:vAlign w:val="bottom"/>
          </w:tcPr>
          <w:p>
            <w:pPr>
              <w:spacing w:after="0"/>
              <w:rPr>
                <w:sz w:val="18"/>
                <w:szCs w:val="18"/>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Decrease (increase) in amounts due from Amgen-Regeneron Partners</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891</w:t>
            </w:r>
          </w:p>
        </w:tc>
        <w:tc>
          <w:tcPr>
            <w:tcW w:w="42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Arial" w:cs="Arial" w:eastAsia="Arial" w:hAnsi="Arial"/>
                <w:sz w:val="18"/>
                <w:szCs w:val="18"/>
                <w:color w:val="auto"/>
              </w:rPr>
              <w:t>Decrease (increase) in amounts due from Sumitomo Pharmaceuticals Co., Ltd.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3,877</w:t>
            </w:r>
          </w:p>
        </w:tc>
        <w:tc>
          <w:tcPr>
            <w:tcW w:w="420" w:type="dxa"/>
            <w:vAlign w:val="bottom"/>
          </w:tcPr>
          <w:p>
            <w:pPr>
              <w:spacing w:after="0"/>
              <w:rPr>
                <w:sz w:val="18"/>
                <w:szCs w:val="18"/>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Increase in investment in Amgen-Regeneron Partners</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(1,656)</w:t>
            </w: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Arial" w:cs="Arial" w:eastAsia="Arial" w:hAnsi="Arial"/>
                <w:sz w:val="18"/>
                <w:szCs w:val="18"/>
                <w:color w:val="auto"/>
              </w:rPr>
              <w:t>Increase in prepaid expenses and other assets</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(4,674)</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Increase in inventory</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(304)</w:t>
            </w: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Arial" w:cs="Arial" w:eastAsia="Arial" w:hAnsi="Arial"/>
                <w:sz w:val="18"/>
                <w:szCs w:val="18"/>
                <w:color w:val="auto"/>
              </w:rPr>
              <w:t>Decrease in deferred revenue</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(2,557)</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1,179</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20" w:type="dxa"/>
            <w:vAlign w:val="bottom"/>
          </w:tcPr>
          <w:p>
            <w:pPr>
              <w:ind w:left="1380"/>
              <w:spacing w:after="0"/>
              <w:rPr>
                <w:sz w:val="20"/>
                <w:szCs w:val="20"/>
                <w:color w:val="auto"/>
              </w:rPr>
            </w:pPr>
            <w:r>
              <w:rPr>
                <w:rFonts w:ascii="Arial" w:cs="Arial" w:eastAsia="Arial" w:hAnsi="Arial"/>
                <w:sz w:val="18"/>
                <w:szCs w:val="18"/>
                <w:color w:val="auto"/>
              </w:rPr>
              <w:t>Total adjustments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8,136</w:t>
            </w:r>
          </w:p>
        </w:tc>
        <w:tc>
          <w:tcPr>
            <w:tcW w:w="420" w:type="dxa"/>
            <w:vAlign w:val="bottom"/>
          </w:tcPr>
          <w:p>
            <w:pPr>
              <w:spacing w:after="0"/>
              <w:rPr>
                <w:sz w:val="24"/>
                <w:szCs w:val="24"/>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(39,666)</w:t>
            </w: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(24,140)</w:t>
            </w:r>
          </w:p>
        </w:tc>
        <w:tc>
          <w:tcPr>
            <w:tcW w:w="0" w:type="dxa"/>
            <w:vAlign w:val="bottom"/>
          </w:tcPr>
          <w:p>
            <w:pPr>
              <w:spacing w:after="0"/>
              <w:rPr>
                <w:sz w:val="1"/>
                <w:szCs w:val="1"/>
                <w:color w:val="auto"/>
              </w:rPr>
            </w:pPr>
          </w:p>
        </w:tc>
      </w:tr>
      <w:tr>
        <w:trPr>
          <w:trHeight w:val="108"/>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Purchases of marketable securities</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(120,766)</w:t>
            </w: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(75,517)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Sales of marketable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77,211</w:t>
            </w:r>
          </w:p>
        </w:tc>
        <w:tc>
          <w:tcPr>
            <w:tcW w:w="4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37,904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Capital expenditures</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(5,623)</w:t>
            </w: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20" w:type="dxa"/>
            <w:vAlign w:val="bottom"/>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(49,178)</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(42,943)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the issuance of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158,352</w:t>
            </w:r>
          </w:p>
        </w:tc>
        <w:tc>
          <w:tcPr>
            <w:tcW w:w="4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94,204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Principal payments on note payable</w:t>
            </w:r>
          </w:p>
        </w:tc>
        <w:tc>
          <w:tcPr>
            <w:tcW w:w="13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(50)</w:t>
            </w:r>
          </w:p>
        </w:tc>
        <w:tc>
          <w:tcPr>
            <w:tcW w:w="17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Capital lease payments</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(462)</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157,840</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93,028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20" w:type="dxa"/>
            <w:vAlign w:val="bottom"/>
          </w:tcPr>
          <w:p>
            <w:pPr>
              <w:ind w:left="112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68,996</w:t>
            </w:r>
          </w:p>
        </w:tc>
        <w:tc>
          <w:tcPr>
            <w:tcW w:w="4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25,945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30,978</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23,697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20" w:type="dxa"/>
            <w:vAlign w:val="bottom"/>
          </w:tcPr>
          <w:p>
            <w:pPr>
              <w:ind w:left="11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99,974</w:t>
            </w:r>
          </w:p>
        </w:tc>
        <w:tc>
          <w:tcPr>
            <w:tcW w:w="4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49,642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31"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2000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2000. As discussed in Notes 2 and 13 below, the operating results for the three and nine months ended September 30, 2000 have been restated from amounts previously reported to reflect the adoption of a new accounting principle for revenue recognition and reclassification of depreciation and amortization expense, respectively.</w:t>
      </w:r>
    </w:p>
    <w:p>
      <w:pPr>
        <w:spacing w:after="0" w:line="157"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Change in Accounting Principle</w:t>
      </w:r>
    </w:p>
    <w:p>
      <w:pPr>
        <w:spacing w:after="0" w:line="231" w:lineRule="exact"/>
        <w:rPr>
          <w:rFonts w:ascii="Arial" w:cs="Arial" w:eastAsia="Arial" w:hAnsi="Arial"/>
          <w:sz w:val="18"/>
          <w:szCs w:val="18"/>
          <w:b w:val="1"/>
          <w:bCs w:val="1"/>
          <w:color w:val="auto"/>
        </w:rPr>
      </w:pPr>
    </w:p>
    <w:p>
      <w:pPr>
        <w:ind w:left="46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the fourth quarter of 2000, the Company changed its method of accounting for revenue recognition to conform with the guidance provided by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The change in accounting method was effective January 1, 2000 and, accordingly, the previously issued interim financial statements for the quarters ended March 31, June 30, and September 30, 2000 have been restated to reflect the adoption of SAB 101 as if it had occurred on January 1, 2000. The cumulative effect of adopting SAB 101 at January 1, 2000 amounted to $1,563 of additional loss as of that date, with a corresponding increase to deferred revenue to be recognized in subsequent periods. $279 of that deferred revenue, or $93 per quarter, is included in contract research and development revenue in both the nine month period ended September 30, 2001 and 2000. The $1,563 represents a portion of a 1989 payment received from Sumitomo Chemical Company, Ltd. in consideration for a fifteen year limited right of first negotiation to license up to three of the Company’s product candidates in Japan. The effect of income taxes on the cumulative effect adjustment was immaterial.</w:t>
      </w:r>
    </w:p>
    <w:p>
      <w:pPr>
        <w:spacing w:after="0" w:line="167"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Included in accounts payable and accrued expenses at September 30, 2001 and December 31, 2000 are $637 and $672, respectively, of accrued capital expenditures. Included in accounts payable and accrued expenses at September 30, 2000 and December 31, 1999 are $988 and $697, respectively, of accrued capital expenditures.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9"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Included in accounts payable and accrued expenses at December 31, 2000 and 1999 are $477 and $421, respectively, of accrued Company 401(k) Savings Plan contribution expense. In the first quarter of both 2001 and 2000, the Company contributed 17,484 and 54,003 shares, respectively, of Common Stock to the 401(k) Savings Plan in satisfaction of these obligations.</w:t>
      </w:r>
    </w:p>
    <w:p>
      <w:pPr>
        <w:spacing w:after="0" w:line="194" w:lineRule="exact"/>
        <w:rPr>
          <w:sz w:val="20"/>
          <w:szCs w:val="20"/>
          <w:color w:val="auto"/>
        </w:rPr>
      </w:pPr>
    </w:p>
    <w:p>
      <w:pPr>
        <w:jc w:val="both"/>
        <w:ind w:left="460" w:right="140"/>
        <w:spacing w:after="0" w:line="332" w:lineRule="auto"/>
        <w:rPr>
          <w:sz w:val="20"/>
          <w:szCs w:val="20"/>
          <w:color w:val="auto"/>
        </w:rPr>
      </w:pPr>
      <w:r>
        <w:rPr>
          <w:rFonts w:ascii="Arial" w:cs="Arial" w:eastAsia="Arial" w:hAnsi="Arial"/>
          <w:sz w:val="16"/>
          <w:szCs w:val="16"/>
          <w:color w:val="auto"/>
        </w:rPr>
        <w:t>Included in marketable securities at September 30, 2001 and December 31, 2000 are $2,276 and $2,346 of accrued interest income, respectively. Included in marketable securities at September 30, 2000 and December 31, 1999 are $2,214 and $1,163 of accrued interest income, respectively.</w:t>
      </w:r>
    </w:p>
    <w:p>
      <w:pPr>
        <w:spacing w:after="0" w:line="13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Inventories consist primarily of raw materials and other direct and indirect costs associated with production of an intermediate for a Merck &amp; Co., Inc. pediatric vaccine under a long-term manufacturing agreement.</w:t>
      </w:r>
    </w:p>
    <w:p>
      <w:pPr>
        <w:spacing w:after="0" w:line="1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September 30, 2001 and December 31, 2000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4"/>
                <w:szCs w:val="14"/>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385</w:t>
            </w:r>
          </w:p>
        </w:tc>
        <w:tc>
          <w:tcPr>
            <w:tcW w:w="4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535</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2,627</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1,327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3,056</w:t>
            </w:r>
          </w:p>
        </w:tc>
        <w:tc>
          <w:tcPr>
            <w:tcW w:w="4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78" w:lineRule="exact"/>
        <w:rPr>
          <w:sz w:val="20"/>
          <w:szCs w:val="20"/>
          <w:color w:val="auto"/>
        </w:rPr>
      </w:pPr>
    </w:p>
    <w:p>
      <w:pPr>
        <w:ind w:left="680" w:hanging="213"/>
        <w:spacing w:after="0"/>
        <w:tabs>
          <w:tab w:leader="none" w:pos="680" w:val="left"/>
        </w:tabs>
        <w:numPr>
          <w:ilvl w:val="1"/>
          <w:numId w:val="4"/>
        </w:numPr>
        <w:rPr>
          <w:rFonts w:ascii="Arial" w:cs="Arial" w:eastAsia="Arial" w:hAnsi="Arial"/>
          <w:sz w:val="26"/>
          <w:szCs w:val="26"/>
          <w:color w:val="auto"/>
          <w:vertAlign w:val="superscript"/>
        </w:rPr>
      </w:pPr>
      <w:r>
        <w:rPr>
          <w:rFonts w:ascii="Arial" w:cs="Arial" w:eastAsia="Arial" w:hAnsi="Arial"/>
          <w:sz w:val="16"/>
          <w:szCs w:val="16"/>
          <w:color w:val="auto"/>
        </w:rPr>
        <w:t>Net of reserves of $230.</w:t>
      </w:r>
    </w:p>
    <w:p>
      <w:pPr>
        <w:spacing w:after="0" w:line="48" w:lineRule="exact"/>
        <w:rPr>
          <w:rFonts w:ascii="Arial" w:cs="Arial" w:eastAsia="Arial" w:hAnsi="Arial"/>
          <w:sz w:val="26"/>
          <w:szCs w:val="26"/>
          <w:color w:val="auto"/>
          <w:vertAlign w:val="superscript"/>
        </w:rPr>
      </w:pPr>
    </w:p>
    <w:p>
      <w:pPr>
        <w:ind w:left="680" w:hanging="213"/>
        <w:spacing w:after="0" w:line="181" w:lineRule="auto"/>
        <w:tabs>
          <w:tab w:leader="none" w:pos="680" w:val="left"/>
        </w:tabs>
        <w:numPr>
          <w:ilvl w:val="1"/>
          <w:numId w:val="4"/>
        </w:numPr>
        <w:rPr>
          <w:rFonts w:ascii="Arial" w:cs="Arial" w:eastAsia="Arial" w:hAnsi="Arial"/>
          <w:sz w:val="24"/>
          <w:szCs w:val="24"/>
          <w:color w:val="auto"/>
          <w:vertAlign w:val="superscript"/>
        </w:rPr>
      </w:pPr>
      <w:r>
        <w:rPr>
          <w:rFonts w:ascii="Arial" w:cs="Arial" w:eastAsia="Arial" w:hAnsi="Arial"/>
          <w:sz w:val="15"/>
          <w:szCs w:val="15"/>
          <w:color w:val="auto"/>
        </w:rPr>
        <w:t>Net of reserves of $255.</w:t>
      </w:r>
    </w:p>
    <w:p>
      <w:pPr>
        <w:spacing w:after="0" w:line="48" w:lineRule="exact"/>
        <w:rPr>
          <w:rFonts w:ascii="Arial" w:cs="Arial" w:eastAsia="Arial" w:hAnsi="Arial"/>
          <w:sz w:val="24"/>
          <w:szCs w:val="24"/>
          <w:color w:val="auto"/>
          <w:vertAlign w:val="superscript"/>
        </w:rPr>
      </w:pPr>
    </w:p>
    <w:p>
      <w:pPr>
        <w:ind w:left="680" w:hanging="213"/>
        <w:spacing w:after="0" w:line="181" w:lineRule="auto"/>
        <w:tabs>
          <w:tab w:leader="none" w:pos="680" w:val="left"/>
        </w:tabs>
        <w:numPr>
          <w:ilvl w:val="1"/>
          <w:numId w:val="4"/>
        </w:numPr>
        <w:rPr>
          <w:rFonts w:ascii="Arial" w:cs="Arial" w:eastAsia="Arial" w:hAnsi="Arial"/>
          <w:sz w:val="24"/>
          <w:szCs w:val="24"/>
          <w:color w:val="auto"/>
          <w:vertAlign w:val="superscript"/>
        </w:rPr>
      </w:pPr>
      <w:r>
        <w:rPr>
          <w:rFonts w:ascii="Arial" w:cs="Arial" w:eastAsia="Arial" w:hAnsi="Arial"/>
          <w:sz w:val="15"/>
          <w:szCs w:val="15"/>
          <w:color w:val="auto"/>
        </w:rPr>
        <w:t>Net of reserves of $830.</w:t>
      </w:r>
    </w:p>
    <w:p>
      <w:pPr>
        <w:spacing w:after="0" w:line="204" w:lineRule="exact"/>
        <w:rPr>
          <w:rFonts w:ascii="Arial" w:cs="Arial" w:eastAsia="Arial" w:hAnsi="Arial"/>
          <w:sz w:val="24"/>
          <w:szCs w:val="24"/>
          <w:color w:val="auto"/>
          <w:vertAlign w:val="superscript"/>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September 30, 2001 and December 31, 2000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color w:val="auto"/>
              </w:rPr>
              <w:t>December 31,</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2001</w:t>
            </w:r>
          </w:p>
        </w:tc>
        <w:tc>
          <w:tcPr>
            <w:tcW w:w="440" w:type="dxa"/>
            <w:vAlign w:val="bottom"/>
          </w:tcPr>
          <w:p>
            <w:pPr>
              <w:spacing w:after="0"/>
              <w:rPr>
                <w:sz w:val="14"/>
                <w:szCs w:val="14"/>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2000</w:t>
            </w:r>
          </w:p>
        </w:tc>
        <w:tc>
          <w:tcPr>
            <w:tcW w:w="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2,511</w:t>
            </w:r>
          </w:p>
        </w:tc>
        <w:tc>
          <w:tcPr>
            <w:tcW w:w="4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$2,590</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3,327</w:t>
            </w:r>
          </w:p>
        </w:tc>
        <w:tc>
          <w:tcPr>
            <w:tcW w:w="4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2,630</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17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3,003</w:t>
            </w:r>
          </w:p>
        </w:tc>
        <w:tc>
          <w:tcPr>
            <w:tcW w:w="4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2,308</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Accrued expenses, other</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1,279</w:t>
            </w:r>
          </w:p>
        </w:tc>
        <w:tc>
          <w:tcPr>
            <w:tcW w:w="4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1,918</w:t>
            </w: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10,120</w:t>
            </w:r>
          </w:p>
        </w:tc>
        <w:tc>
          <w:tcPr>
            <w:tcW w:w="4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$9,446</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20" w:type="dxa"/>
            <w:vAlign w:val="bottom"/>
            <w:vMerge w:val="restart"/>
          </w:tcPr>
          <w:p>
            <w:pPr>
              <w:jc w:val="right"/>
              <w:ind w:right="892"/>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Amgen-Regeneron Partners Research Collaboration Agreement</w:t>
      </w:r>
    </w:p>
    <w:p>
      <w:pPr>
        <w:spacing w:after="0" w:line="231" w:lineRule="exact"/>
        <w:rPr>
          <w:rFonts w:ascii="Arial" w:cs="Arial" w:eastAsia="Arial" w:hAnsi="Arial"/>
          <w:sz w:val="18"/>
          <w:szCs w:val="18"/>
          <w:b w:val="1"/>
          <w:bCs w:val="1"/>
          <w:color w:val="auto"/>
        </w:rPr>
      </w:pPr>
    </w:p>
    <w:p>
      <w:pPr>
        <w:ind w:left="460" w:righ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August 1990, the Company entered into a collaboration with Amgen Inc. (“Amgen”) to develop and attempt to commercialize brain derived neurotrophic factor (“BDNF”) and neurotrophin-3 (“NT-3”) in the United States. Pursuant to that agreement, the Company and Amgen formed a partnership, Amgen-Regeneron Partners (the “Partnership”). The Company accounts for its investment in the Partnership in accordance with the equity method of accounting.</w:t>
      </w:r>
    </w:p>
    <w:p>
      <w:pPr>
        <w:spacing w:after="0" w:line="197" w:lineRule="exact"/>
        <w:rPr>
          <w:rFonts w:ascii="Arial" w:cs="Arial" w:eastAsia="Arial" w:hAnsi="Arial"/>
          <w:sz w:val="18"/>
          <w:szCs w:val="18"/>
          <w:b w:val="1"/>
          <w:bCs w:val="1"/>
          <w:color w:val="auto"/>
        </w:rPr>
      </w:pPr>
    </w:p>
    <w:p>
      <w:pPr>
        <w:ind w:left="460" w:right="5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January 2001, the Partnership discontinued all clinical development of BDNF for the potential treatment of amyotrophic lateral sclerosis (“ALS”) following notification that BDNF did not provide a therapeutic advantage to ALS patients in clinical trials.</w:t>
      </w:r>
    </w:p>
    <w:p>
      <w:pPr>
        <w:spacing w:after="0" w:line="1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Selected operating statement data of the Partnership for the three and nine months ended September 30, 2001 and 2000 is as follows: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6"/>
          </w:tcPr>
          <w:p>
            <w:pPr>
              <w:jc w:val="center"/>
              <w:ind w:right="580"/>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6"/>
          </w:tcPr>
          <w:p>
            <w:pPr>
              <w:jc w:val="right"/>
              <w:ind w:right="900"/>
              <w:spacing w:after="0"/>
              <w:rPr>
                <w:sz w:val="20"/>
                <w:szCs w:val="20"/>
                <w:color w:val="auto"/>
              </w:rPr>
            </w:pPr>
            <w:r>
              <w:rPr>
                <w:rFonts w:ascii="Arial" w:cs="Arial" w:eastAsia="Arial" w:hAnsi="Arial"/>
                <w:sz w:val="14"/>
                <w:szCs w:val="14"/>
                <w:color w:val="auto"/>
                <w:w w:val="89"/>
              </w:rPr>
              <w:t>Nine Months Ended</w:t>
            </w:r>
          </w:p>
        </w:tc>
      </w:tr>
      <w:tr>
        <w:trPr>
          <w:trHeight w:val="172"/>
        </w:trPr>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5"/>
          </w:tcPr>
          <w:p>
            <w:pPr>
              <w:jc w:val="center"/>
              <w:ind w:right="820"/>
              <w:spacing w:after="0"/>
              <w:rPr>
                <w:sz w:val="20"/>
                <w:szCs w:val="20"/>
                <w:color w:val="auto"/>
              </w:rPr>
            </w:pPr>
            <w:r>
              <w:rPr>
                <w:rFonts w:ascii="Arial" w:cs="Arial" w:eastAsia="Arial" w:hAnsi="Arial"/>
                <w:sz w:val="14"/>
                <w:szCs w:val="14"/>
                <w:color w:val="auto"/>
                <w:w w:val="84"/>
              </w:rPr>
              <w:t>September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1060"/>
              <w:spacing w:after="0"/>
              <w:rPr>
                <w:sz w:val="20"/>
                <w:szCs w:val="20"/>
                <w:color w:val="auto"/>
              </w:rPr>
            </w:pPr>
            <w:r>
              <w:rPr>
                <w:rFonts w:ascii="Arial" w:cs="Arial" w:eastAsia="Arial" w:hAnsi="Arial"/>
                <w:sz w:val="14"/>
                <w:szCs w:val="14"/>
                <w:color w:val="auto"/>
                <w:w w:val="89"/>
              </w:rPr>
              <w:t>September 30,</w:t>
            </w:r>
          </w:p>
        </w:tc>
      </w:tr>
      <w:tr>
        <w:trPr>
          <w:trHeight w:val="95"/>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63"/>
        </w:trPr>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gridSpan w:val="2"/>
          </w:tcPr>
          <w:p>
            <w:pPr>
              <w:jc w:val="right"/>
              <w:ind w:right="132"/>
              <w:spacing w:after="0"/>
              <w:rPr>
                <w:sz w:val="20"/>
                <w:szCs w:val="20"/>
                <w:color w:val="auto"/>
              </w:rPr>
            </w:pPr>
            <w:r>
              <w:rPr>
                <w:rFonts w:ascii="Arial" w:cs="Arial" w:eastAsia="Arial" w:hAnsi="Arial"/>
                <w:sz w:val="14"/>
                <w:szCs w:val="14"/>
                <w:color w:val="auto"/>
                <w:w w:val="96"/>
              </w:rPr>
              <w:t>2001</w:t>
            </w:r>
          </w:p>
        </w:tc>
        <w:tc>
          <w:tcPr>
            <w:tcW w:w="1360" w:type="dxa"/>
            <w:vAlign w:val="bottom"/>
            <w:gridSpan w:val="4"/>
          </w:tcPr>
          <w:p>
            <w:pPr>
              <w:jc w:val="center"/>
              <w:ind w:left="780"/>
              <w:spacing w:after="0"/>
              <w:rPr>
                <w:sz w:val="20"/>
                <w:szCs w:val="20"/>
                <w:color w:val="auto"/>
              </w:rPr>
            </w:pPr>
            <w:r>
              <w:rPr>
                <w:rFonts w:ascii="Arial" w:cs="Arial" w:eastAsia="Arial" w:hAnsi="Arial"/>
                <w:sz w:val="14"/>
                <w:szCs w:val="14"/>
                <w:color w:val="auto"/>
                <w:w w:val="83"/>
              </w:rPr>
              <w:t>2000</w:t>
            </w:r>
          </w:p>
        </w:tc>
        <w:tc>
          <w:tcPr>
            <w:tcW w:w="400" w:type="dxa"/>
            <w:vAlign w:val="bottom"/>
          </w:tcPr>
          <w:p>
            <w:pPr>
              <w:spacing w:after="0"/>
              <w:rPr>
                <w:sz w:val="22"/>
                <w:szCs w:val="22"/>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2"/>
                <w:szCs w:val="22"/>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4"/>
                <w:szCs w:val="14"/>
                <w:color w:val="auto"/>
              </w:rPr>
              <w:t>2000</w:t>
            </w:r>
          </w:p>
        </w:tc>
        <w:tc>
          <w:tcPr>
            <w:tcW w:w="400" w:type="dxa"/>
            <w:vAlign w:val="bottom"/>
          </w:tcPr>
          <w:p>
            <w:pPr>
              <w:spacing w:after="0"/>
              <w:rPr>
                <w:sz w:val="22"/>
                <w:szCs w:val="22"/>
                <w:color w:val="auto"/>
              </w:rPr>
            </w:pPr>
          </w:p>
        </w:tc>
      </w:tr>
      <w:tr>
        <w:trPr>
          <w:trHeight w:val="95"/>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4"/>
            <w:shd w:val="clear" w:color="auto" w:fill="EEEEEE"/>
          </w:tcPr>
          <w:p>
            <w:pPr>
              <w:jc w:val="center"/>
              <w:ind w:left="760"/>
              <w:spacing w:after="0"/>
              <w:rPr>
                <w:sz w:val="20"/>
                <w:szCs w:val="20"/>
                <w:color w:val="auto"/>
              </w:rPr>
            </w:pPr>
            <w:r>
              <w:rPr>
                <w:rFonts w:ascii="Arial" w:cs="Arial" w:eastAsia="Arial" w:hAnsi="Arial"/>
                <w:sz w:val="18"/>
                <w:szCs w:val="18"/>
                <w:color w:val="auto"/>
              </w:rPr>
              <w:t>$   96</w:t>
            </w:r>
          </w:p>
        </w:tc>
        <w:tc>
          <w:tcPr>
            <w:tcW w:w="40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150</w:t>
            </w:r>
          </w:p>
        </w:tc>
        <w:tc>
          <w:tcPr>
            <w:tcW w:w="12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295</w:t>
            </w:r>
          </w:p>
        </w:tc>
        <w:tc>
          <w:tcPr>
            <w:tcW w:w="400" w:type="dxa"/>
            <w:vAlign w:val="bottom"/>
            <w:shd w:val="clear" w:color="auto" w:fill="EEEEEE"/>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19"/>
                <w:szCs w:val="19"/>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446</w:t>
            </w:r>
            <w:r>
              <w:rPr>
                <w:rFonts w:ascii="Arial" w:cs="Arial" w:eastAsia="Arial" w:hAnsi="Arial"/>
                <w:sz w:val="14"/>
                <w:szCs w:val="14"/>
                <w:color w:val="auto"/>
                <w:w w:val="89"/>
              </w:rPr>
              <w:t>(a)</w:t>
            </w:r>
          </w:p>
        </w:tc>
        <w:tc>
          <w:tcPr>
            <w:tcW w:w="1760" w:type="dxa"/>
            <w:vAlign w:val="bottom"/>
            <w:gridSpan w:val="5"/>
          </w:tcPr>
          <w:p>
            <w:pPr>
              <w:jc w:val="right"/>
              <w:ind w:right="360"/>
              <w:spacing w:after="0"/>
              <w:rPr>
                <w:sz w:val="20"/>
                <w:szCs w:val="20"/>
                <w:color w:val="auto"/>
              </w:rPr>
            </w:pPr>
            <w:r>
              <w:rPr>
                <w:rFonts w:ascii="Arial" w:cs="Arial" w:eastAsia="Arial" w:hAnsi="Arial"/>
                <w:sz w:val="18"/>
                <w:szCs w:val="18"/>
                <w:color w:val="auto"/>
              </w:rPr>
              <w:t>(2,295)</w:t>
            </w:r>
          </w:p>
        </w:tc>
        <w:tc>
          <w:tcPr>
            <w:tcW w:w="1340" w:type="dxa"/>
            <w:vAlign w:val="bottom"/>
            <w:gridSpan w:val="4"/>
          </w:tcPr>
          <w:p>
            <w:pPr>
              <w:jc w:val="right"/>
              <w:ind w:right="12"/>
              <w:spacing w:after="0"/>
              <w:rPr>
                <w:sz w:val="20"/>
                <w:szCs w:val="20"/>
                <w:color w:val="auto"/>
              </w:rPr>
            </w:pPr>
            <w:r>
              <w:rPr>
                <w:rFonts w:ascii="Arial" w:cs="Arial" w:eastAsia="Arial" w:hAnsi="Arial"/>
                <w:sz w:val="18"/>
                <w:szCs w:val="18"/>
                <w:color w:val="auto"/>
              </w:rPr>
              <w:t>(2,261)</w:t>
            </w:r>
          </w:p>
        </w:tc>
        <w:tc>
          <w:tcPr>
            <w:tcW w:w="1900" w:type="dxa"/>
            <w:vAlign w:val="bottom"/>
            <w:gridSpan w:val="5"/>
          </w:tcPr>
          <w:p>
            <w:pPr>
              <w:jc w:val="right"/>
              <w:ind w:right="340"/>
              <w:spacing w:after="0"/>
              <w:rPr>
                <w:sz w:val="20"/>
                <w:szCs w:val="20"/>
                <w:color w:val="auto"/>
              </w:rPr>
            </w:pPr>
            <w:r>
              <w:rPr>
                <w:rFonts w:ascii="Arial" w:cs="Arial" w:eastAsia="Arial" w:hAnsi="Arial"/>
                <w:sz w:val="18"/>
                <w:szCs w:val="18"/>
                <w:color w:val="auto"/>
              </w:rPr>
              <w:t>(5,312)</w:t>
            </w: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483</w:t>
            </w:r>
          </w:p>
        </w:tc>
        <w:tc>
          <w:tcPr>
            <w:tcW w:w="240" w:type="dxa"/>
            <w:vAlign w:val="bottom"/>
            <w:shd w:val="clear" w:color="auto" w:fill="EEEEEE"/>
          </w:tcPr>
          <w:p>
            <w:pPr>
              <w:spacing w:after="0"/>
              <w:rPr>
                <w:sz w:val="18"/>
                <w:szCs w:val="18"/>
                <w:color w:val="auto"/>
              </w:rPr>
            </w:pPr>
          </w:p>
        </w:tc>
        <w:tc>
          <w:tcPr>
            <w:tcW w:w="1760" w:type="dxa"/>
            <w:vAlign w:val="bottom"/>
            <w:gridSpan w:val="5"/>
            <w:shd w:val="clear" w:color="auto" w:fill="EEEEEE"/>
          </w:tcPr>
          <w:p>
            <w:pPr>
              <w:jc w:val="center"/>
              <w:ind w:left="360"/>
              <w:spacing w:after="0"/>
              <w:rPr>
                <w:sz w:val="20"/>
                <w:szCs w:val="20"/>
                <w:color w:val="auto"/>
              </w:rPr>
            </w:pPr>
            <w:r>
              <w:rPr>
                <w:rFonts w:ascii="Arial" w:cs="Arial" w:eastAsia="Arial" w:hAnsi="Arial"/>
                <w:sz w:val="18"/>
                <w:szCs w:val="18"/>
                <w:color w:val="auto"/>
                <w:w w:val="89"/>
              </w:rPr>
              <w:t>($2,199)</w:t>
            </w:r>
          </w:p>
        </w:tc>
        <w:tc>
          <w:tcPr>
            <w:tcW w:w="1340" w:type="dxa"/>
            <w:vAlign w:val="bottom"/>
            <w:gridSpan w:val="4"/>
            <w:shd w:val="clear" w:color="auto" w:fill="EEEEEE"/>
          </w:tcPr>
          <w:p>
            <w:pPr>
              <w:jc w:val="right"/>
              <w:ind w:right="12"/>
              <w:spacing w:after="0"/>
              <w:rPr>
                <w:sz w:val="20"/>
                <w:szCs w:val="20"/>
                <w:color w:val="auto"/>
              </w:rPr>
            </w:pPr>
            <w:r>
              <w:rPr>
                <w:rFonts w:ascii="Arial" w:cs="Arial" w:eastAsia="Arial" w:hAnsi="Arial"/>
                <w:sz w:val="18"/>
                <w:szCs w:val="18"/>
                <w:color w:val="auto"/>
              </w:rPr>
              <w:t>($2,111)</w:t>
            </w:r>
          </w:p>
        </w:tc>
        <w:tc>
          <w:tcPr>
            <w:tcW w:w="190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($5,017)</w:t>
            </w:r>
          </w:p>
        </w:tc>
      </w:tr>
      <w:tr>
        <w:trPr>
          <w:trHeight w:val="105"/>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321"/>
        </w:trPr>
        <w:tc>
          <w:tcPr>
            <w:tcW w:w="1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40" w:lineRule="exact"/>
        <w:rPr>
          <w:sz w:val="20"/>
          <w:szCs w:val="20"/>
          <w:color w:val="auto"/>
        </w:rPr>
      </w:pPr>
    </w:p>
    <w:p>
      <w:pPr>
        <w:ind w:left="640" w:right="340" w:hanging="173"/>
        <w:spacing w:after="0" w:line="234" w:lineRule="auto"/>
        <w:tabs>
          <w:tab w:leader="none" w:pos="671" w:val="left"/>
        </w:tabs>
        <w:numPr>
          <w:ilvl w:val="1"/>
          <w:numId w:val="7"/>
        </w:numPr>
        <w:rPr>
          <w:rFonts w:ascii="Arial" w:cs="Arial" w:eastAsia="Arial" w:hAnsi="Arial"/>
          <w:sz w:val="24"/>
          <w:szCs w:val="24"/>
          <w:color w:val="auto"/>
          <w:vertAlign w:val="superscript"/>
        </w:rPr>
      </w:pPr>
      <w:r>
        <w:rPr>
          <w:rFonts w:ascii="Arial" w:cs="Arial" w:eastAsia="Arial" w:hAnsi="Arial"/>
          <w:sz w:val="15"/>
          <w:szCs w:val="15"/>
          <w:color w:val="auto"/>
        </w:rPr>
        <w:t>In connection with the discontinuance of BDNF clinical development, in the third quarter of 2001, the Partnership reduced previously estimated and accrued costs to wind-down the BDNF clinical study by $773.</w:t>
      </w:r>
    </w:p>
    <w:p>
      <w:pPr>
        <w:spacing w:after="0" w:line="205" w:lineRule="exact"/>
        <w:rPr>
          <w:rFonts w:ascii="Arial" w:cs="Arial" w:eastAsia="Arial" w:hAnsi="Arial"/>
          <w:sz w:val="24"/>
          <w:szCs w:val="24"/>
          <w:color w:val="auto"/>
          <w:vertAlign w:val="superscript"/>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31"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nine months ended September 30, 2001 and 2000, the components of comprehensive loss are:</w:t>
      </w:r>
    </w:p>
    <w:p>
      <w:pPr>
        <w:spacing w:after="0" w:line="200" w:lineRule="exact"/>
        <w:rPr>
          <w:sz w:val="20"/>
          <w:szCs w:val="20"/>
          <w:color w:val="auto"/>
        </w:rPr>
      </w:pPr>
    </w:p>
    <w:p>
      <w:pPr>
        <w:spacing w:after="0" w:line="238" w:lineRule="exact"/>
        <w:rPr>
          <w:sz w:val="20"/>
          <w:szCs w:val="20"/>
          <w:color w:val="auto"/>
        </w:rPr>
      </w:pPr>
    </w:p>
    <w:p>
      <w:pPr>
        <w:jc w:val="center"/>
        <w:ind w:left="5740"/>
        <w:spacing w:after="0"/>
        <w:rPr>
          <w:sz w:val="20"/>
          <w:szCs w:val="20"/>
          <w:color w:val="auto"/>
        </w:rPr>
      </w:pPr>
      <w:r>
        <w:rPr>
          <w:rFonts w:ascii="Arial" w:cs="Arial" w:eastAsia="Arial" w:hAnsi="Arial"/>
          <w:sz w:val="14"/>
          <w:szCs w:val="14"/>
          <w:color w:val="auto"/>
        </w:rPr>
        <w:t>Nine Months Ended</w:t>
      </w:r>
    </w:p>
    <w:p>
      <w:pPr>
        <w:jc w:val="center"/>
        <w:ind w:left="574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59690</wp:posOffset>
            </wp:positionV>
            <wp:extent cx="1792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620" w:type="dxa"/>
            <w:vAlign w:val="bottom"/>
            <w:gridSpan w:val="3"/>
          </w:tcPr>
          <w:p>
            <w:pPr>
              <w:jc w:val="right"/>
              <w:ind w:right="180"/>
              <w:spacing w:after="0"/>
              <w:rPr>
                <w:sz w:val="20"/>
                <w:szCs w:val="20"/>
                <w:color w:val="auto"/>
              </w:rPr>
            </w:pPr>
            <w:r>
              <w:rPr>
                <w:rFonts w:ascii="Arial" w:cs="Arial" w:eastAsia="Arial" w:hAnsi="Arial"/>
                <w:sz w:val="14"/>
                <w:szCs w:val="14"/>
                <w:color w:val="auto"/>
              </w:rPr>
              <w:t>2001</w:t>
            </w:r>
          </w:p>
        </w:tc>
        <w:tc>
          <w:tcPr>
            <w:tcW w:w="30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2000</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92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($47,802)</w:t>
            </w:r>
          </w:p>
        </w:tc>
        <w:tc>
          <w:tcPr>
            <w:tcW w:w="158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($14,760)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Change in net unrealized gain on marketable securities</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comprehensive loss</w:t>
            </w:r>
          </w:p>
        </w:tc>
        <w:tc>
          <w:tcPr>
            <w:tcW w:w="292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($46,625)</w:t>
            </w:r>
          </w:p>
        </w:tc>
        <w:tc>
          <w:tcPr>
            <w:tcW w:w="158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($14,469)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80" w:type="dxa"/>
            <w:vAlign w:val="bottom"/>
            <w:vMerge w:val="restart"/>
          </w:tcPr>
          <w:p>
            <w:pPr>
              <w:jc w:val="right"/>
              <w:ind w:right="1316"/>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 Transactions</w:t>
      </w:r>
    </w:p>
    <w:p>
      <w:pPr>
        <w:spacing w:after="0" w:line="231"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March 23, 2001 the Company completed a public offering in which it issued 6.5 million shares of Common Stock at a price of $25.00 per share and received proceeds, after commissions and expenses, of $153.6 million. On April 11, 2001, the Company sold an additional 130,000 shares of Common Stock pursuant to the underwriters’ over-allotment option from the March 2001 public offering at a price of $25.00 per share for proceeds to the Company, after commissions and expenses, of $3.1 million.</w:t>
      </w:r>
    </w:p>
    <w:p>
      <w:pPr>
        <w:spacing w:after="0" w:line="197"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March 2001, Medtronic, Inc. exercised 107,400 warrants with an exercise price of $21.72 per share on a “cashless” basis and received 37,306 shares of the Company’s Common Stock.</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3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awards shares of Restricted Stock under the Regeneron Pharmaceuticals, Inc. Long-Term Incentive Plan. Restrictions on these shares lapse with respect to 25% of the shares every six months over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two year period that the restrictions lapse. For the three and nine months ended September 30, 2001, the Company recognized compensation expense related to Restricted Stock awards of $168 and $537, respectively. No stock-based compensation expense was recognized during 2000.</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60" w:hanging="552"/>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31" w:lineRule="exact"/>
        <w:rPr>
          <w:rFonts w:ascii="Arial" w:cs="Arial" w:eastAsia="Arial" w:hAnsi="Arial"/>
          <w:sz w:val="18"/>
          <w:szCs w:val="18"/>
          <w:b w:val="1"/>
          <w:bCs w:val="1"/>
          <w:color w:val="auto"/>
        </w:rPr>
      </w:pPr>
    </w:p>
    <w:p>
      <w:pPr>
        <w:ind w:left="56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basic net loss per share amounts have been computed by dividing net loss by the weighted average number of Common and Class A shares outstanding. For the three and nine months ended September 30, 2001 and 2000,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2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4"/>
                <w:szCs w:val="14"/>
                <w:color w:val="auto"/>
                <w:w w:val="86"/>
              </w:rPr>
              <w:t>Three Months Ended September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color w:val="auto"/>
                <w:w w:val="89"/>
              </w:rPr>
              <w:t>Net Loss, in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78"/>
              </w:rPr>
              <w:t>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80" w:type="dxa"/>
            <w:vAlign w:val="bottom"/>
          </w:tcPr>
          <w:p>
            <w:pPr>
              <w:jc w:val="center"/>
              <w:ind w:left="264"/>
              <w:spacing w:after="0" w:line="149" w:lineRule="exact"/>
              <w:rPr>
                <w:sz w:val="20"/>
                <w:szCs w:val="20"/>
                <w:color w:val="auto"/>
              </w:rPr>
            </w:pPr>
            <w:r>
              <w:rPr>
                <w:rFonts w:ascii="Arial" w:cs="Arial" w:eastAsia="Arial" w:hAnsi="Arial"/>
                <w:sz w:val="14"/>
                <w:szCs w:val="14"/>
                <w:color w:val="auto"/>
                <w:w w:val="83"/>
              </w:rPr>
              <w:t>thousands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in thousands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2"/>
              </w:rPr>
              <w:t>Per Share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tcPr>
          <w:p>
            <w:pPr>
              <w:jc w:val="center"/>
              <w:ind w:left="244"/>
              <w:spacing w:after="0"/>
              <w:rPr>
                <w:sz w:val="20"/>
                <w:szCs w:val="20"/>
                <w:color w:val="auto"/>
              </w:rPr>
            </w:pPr>
            <w:r>
              <w:rPr>
                <w:rFonts w:ascii="Arial" w:cs="Arial" w:eastAsia="Arial" w:hAnsi="Arial"/>
                <w:sz w:val="14"/>
                <w:szCs w:val="14"/>
                <w:color w:val="auto"/>
                <w:w w:val="90"/>
              </w:rPr>
              <w:t>(Numerator)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(Denominator)</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EEEEEE"/>
          </w:tcPr>
          <w:p>
            <w:pPr>
              <w:jc w:val="right"/>
              <w:ind w:right="1652"/>
              <w:spacing w:after="0"/>
              <w:rPr>
                <w:sz w:val="20"/>
                <w:szCs w:val="20"/>
                <w:color w:val="auto"/>
              </w:rPr>
            </w:pPr>
            <w:r>
              <w:rPr>
                <w:rFonts w:ascii="Arial" w:cs="Arial" w:eastAsia="Arial" w:hAnsi="Arial"/>
                <w:sz w:val="18"/>
                <w:szCs w:val="18"/>
                <w:color w:val="auto"/>
                <w:w w:val="79"/>
              </w:rPr>
              <w:t>2001:</w:t>
            </w: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080" w:type="dxa"/>
            <w:vAlign w:val="bottom"/>
          </w:tcPr>
          <w:p>
            <w:pPr>
              <w:jc w:val="right"/>
              <w:spacing w:after="0"/>
              <w:rPr>
                <w:sz w:val="20"/>
                <w:szCs w:val="20"/>
                <w:color w:val="auto"/>
              </w:rPr>
            </w:pPr>
            <w:r>
              <w:rPr>
                <w:rFonts w:ascii="Arial" w:cs="Arial" w:eastAsia="Arial" w:hAnsi="Arial"/>
                <w:sz w:val="18"/>
                <w:szCs w:val="18"/>
                <w:color w:val="auto"/>
              </w:rPr>
              <w:t>($19,931)</w:t>
            </w:r>
          </w:p>
        </w:tc>
        <w:tc>
          <w:tcPr>
            <w:tcW w:w="178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43,682</w:t>
            </w: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EEEEEE"/>
          </w:tcPr>
          <w:p>
            <w:pPr>
              <w:jc w:val="right"/>
              <w:ind w:right="1652"/>
              <w:spacing w:after="0"/>
              <w:rPr>
                <w:sz w:val="20"/>
                <w:szCs w:val="20"/>
                <w:color w:val="auto"/>
              </w:rPr>
            </w:pPr>
            <w:r>
              <w:rPr>
                <w:rFonts w:ascii="Arial" w:cs="Arial" w:eastAsia="Arial" w:hAnsi="Arial"/>
                <w:sz w:val="18"/>
                <w:szCs w:val="18"/>
                <w:color w:val="auto"/>
                <w:w w:val="79"/>
              </w:rPr>
              <w:t>2000:</w:t>
            </w: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080" w:type="dxa"/>
            <w:vAlign w:val="bottom"/>
          </w:tcPr>
          <w:p>
            <w:pPr>
              <w:jc w:val="right"/>
              <w:spacing w:after="0"/>
              <w:rPr>
                <w:sz w:val="20"/>
                <w:szCs w:val="20"/>
                <w:color w:val="auto"/>
              </w:rPr>
            </w:pPr>
            <w:r>
              <w:rPr>
                <w:rFonts w:ascii="Arial" w:cs="Arial" w:eastAsia="Arial" w:hAnsi="Arial"/>
                <w:sz w:val="18"/>
                <w:szCs w:val="18"/>
                <w:color w:val="auto"/>
              </w:rPr>
              <w:t>($3,118)</w:t>
            </w:r>
          </w:p>
        </w:tc>
        <w:tc>
          <w:tcPr>
            <w:tcW w:w="178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36,134</w:t>
            </w:r>
          </w:p>
        </w:tc>
        <w:tc>
          <w:tcPr>
            <w:tcW w:w="2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($0.09)</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4"/>
          </w:tcPr>
          <w:p>
            <w:pPr>
              <w:jc w:val="center"/>
              <w:ind w:right="40"/>
              <w:spacing w:after="0"/>
              <w:rPr>
                <w:sz w:val="20"/>
                <w:szCs w:val="20"/>
                <w:color w:val="auto"/>
              </w:rPr>
            </w:pPr>
            <w:r>
              <w:rPr>
                <w:rFonts w:ascii="Arial" w:cs="Arial" w:eastAsia="Arial" w:hAnsi="Arial"/>
                <w:sz w:val="14"/>
                <w:szCs w:val="14"/>
                <w:color w:val="auto"/>
                <w:w w:val="86"/>
              </w:rPr>
              <w:t>Nine Months Ended September 30,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color w:val="auto"/>
                <w:w w:val="89"/>
              </w:rPr>
              <w:t>Net Loss, in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78"/>
              </w:rPr>
              <w:t>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80" w:type="dxa"/>
            <w:vAlign w:val="bottom"/>
          </w:tcPr>
          <w:p>
            <w:pPr>
              <w:jc w:val="center"/>
              <w:ind w:left="264"/>
              <w:spacing w:after="0" w:line="149" w:lineRule="exact"/>
              <w:rPr>
                <w:sz w:val="20"/>
                <w:szCs w:val="20"/>
                <w:color w:val="auto"/>
              </w:rPr>
            </w:pPr>
            <w:r>
              <w:rPr>
                <w:rFonts w:ascii="Arial" w:cs="Arial" w:eastAsia="Arial" w:hAnsi="Arial"/>
                <w:sz w:val="14"/>
                <w:szCs w:val="14"/>
                <w:color w:val="auto"/>
                <w:w w:val="83"/>
              </w:rPr>
              <w:t>thousands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in thousands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2"/>
              </w:rPr>
              <w:t>Per Share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tcPr>
          <w:p>
            <w:pPr>
              <w:jc w:val="center"/>
              <w:ind w:left="244"/>
              <w:spacing w:after="0"/>
              <w:rPr>
                <w:sz w:val="20"/>
                <w:szCs w:val="20"/>
                <w:color w:val="auto"/>
              </w:rPr>
            </w:pPr>
            <w:r>
              <w:rPr>
                <w:rFonts w:ascii="Arial" w:cs="Arial" w:eastAsia="Arial" w:hAnsi="Arial"/>
                <w:sz w:val="14"/>
                <w:szCs w:val="14"/>
                <w:color w:val="auto"/>
                <w:w w:val="90"/>
              </w:rPr>
              <w:t>(Numerator)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(Denominator)</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EEEEEE"/>
          </w:tcPr>
          <w:p>
            <w:pPr>
              <w:jc w:val="right"/>
              <w:ind w:right="1652"/>
              <w:spacing w:after="0"/>
              <w:rPr>
                <w:sz w:val="20"/>
                <w:szCs w:val="20"/>
                <w:color w:val="auto"/>
              </w:rPr>
            </w:pPr>
            <w:r>
              <w:rPr>
                <w:rFonts w:ascii="Arial" w:cs="Arial" w:eastAsia="Arial" w:hAnsi="Arial"/>
                <w:sz w:val="18"/>
                <w:szCs w:val="18"/>
                <w:color w:val="auto"/>
                <w:w w:val="79"/>
              </w:rPr>
              <w:t>2001:</w:t>
            </w: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080" w:type="dxa"/>
            <w:vAlign w:val="bottom"/>
          </w:tcPr>
          <w:p>
            <w:pPr>
              <w:jc w:val="right"/>
              <w:spacing w:after="0"/>
              <w:rPr>
                <w:sz w:val="20"/>
                <w:szCs w:val="20"/>
                <w:color w:val="auto"/>
              </w:rPr>
            </w:pPr>
            <w:r>
              <w:rPr>
                <w:rFonts w:ascii="Arial" w:cs="Arial" w:eastAsia="Arial" w:hAnsi="Arial"/>
                <w:sz w:val="18"/>
                <w:szCs w:val="18"/>
                <w:color w:val="auto"/>
              </w:rPr>
              <w:t>($47,802)</w:t>
            </w:r>
          </w:p>
        </w:tc>
        <w:tc>
          <w:tcPr>
            <w:tcW w:w="178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41,567</w:t>
            </w: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EEEEEE"/>
          </w:tcPr>
          <w:p>
            <w:pPr>
              <w:jc w:val="right"/>
              <w:ind w:right="1652"/>
              <w:spacing w:after="0"/>
              <w:rPr>
                <w:sz w:val="20"/>
                <w:szCs w:val="20"/>
                <w:color w:val="auto"/>
              </w:rPr>
            </w:pPr>
            <w:r>
              <w:rPr>
                <w:rFonts w:ascii="Arial" w:cs="Arial" w:eastAsia="Arial" w:hAnsi="Arial"/>
                <w:sz w:val="18"/>
                <w:szCs w:val="18"/>
                <w:color w:val="auto"/>
                <w:w w:val="79"/>
              </w:rPr>
              <w:t>2000:</w:t>
            </w: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080" w:type="dxa"/>
            <w:vAlign w:val="bottom"/>
          </w:tcPr>
          <w:p>
            <w:pPr>
              <w:jc w:val="right"/>
              <w:spacing w:after="0"/>
              <w:rPr>
                <w:sz w:val="20"/>
                <w:szCs w:val="20"/>
                <w:color w:val="auto"/>
              </w:rPr>
            </w:pPr>
            <w:r>
              <w:rPr>
                <w:rFonts w:ascii="Arial" w:cs="Arial" w:eastAsia="Arial" w:hAnsi="Arial"/>
                <w:sz w:val="18"/>
                <w:szCs w:val="18"/>
                <w:color w:val="auto"/>
              </w:rPr>
              <w:t>($14,760)</w:t>
            </w:r>
          </w:p>
        </w:tc>
        <w:tc>
          <w:tcPr>
            <w:tcW w:w="178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34,344</w:t>
            </w:r>
          </w:p>
        </w:tc>
        <w:tc>
          <w:tcPr>
            <w:tcW w:w="2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($0.43)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right="740"/>
        <w:spacing w:after="0" w:line="268" w:lineRule="auto"/>
        <w:rPr>
          <w:sz w:val="20"/>
          <w:szCs w:val="20"/>
          <w:color w:val="auto"/>
        </w:rPr>
      </w:pPr>
      <w:r>
        <w:rPr>
          <w:rFonts w:ascii="Arial" w:cs="Arial" w:eastAsia="Arial" w:hAnsi="Arial"/>
          <w:sz w:val="18"/>
          <w:szCs w:val="18"/>
          <w:color w:val="auto"/>
        </w:rPr>
        <w:t>Options and warrants which have been excluded from the diluted per share amounts because their effect would have been antidilutive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60" w:type="dxa"/>
            <w:vAlign w:val="bottom"/>
            <w:gridSpan w:val="4"/>
          </w:tcPr>
          <w:p>
            <w:pPr>
              <w:jc w:val="right"/>
              <w:ind w:right="48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color w:val="auto"/>
              </w:rPr>
              <w:t>Nine months ended</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60" w:type="dxa"/>
            <w:vAlign w:val="bottom"/>
            <w:gridSpan w:val="4"/>
          </w:tcPr>
          <w:p>
            <w:pPr>
              <w:ind w:left="640"/>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4"/>
                <w:szCs w:val="14"/>
                <w:color w:val="auto"/>
                <w:w w:val="82"/>
              </w:rPr>
              <w:t>September 30,</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2001</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2000</w:t>
            </w:r>
          </w:p>
        </w:tc>
        <w:tc>
          <w:tcPr>
            <w:tcW w:w="960" w:type="dxa"/>
            <w:vAlign w:val="bottom"/>
            <w:gridSpan w:val="2"/>
          </w:tcPr>
          <w:p>
            <w:pPr>
              <w:jc w:val="right"/>
              <w:ind w:right="12"/>
              <w:spacing w:after="0"/>
              <w:rPr>
                <w:sz w:val="20"/>
                <w:szCs w:val="20"/>
                <w:color w:val="auto"/>
              </w:rPr>
            </w:pPr>
            <w:r>
              <w:rPr>
                <w:rFonts w:ascii="Arial" w:cs="Arial" w:eastAsia="Arial" w:hAnsi="Arial"/>
                <w:sz w:val="14"/>
                <w:szCs w:val="14"/>
                <w:color w:val="auto"/>
              </w:rPr>
              <w:t>2001</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2000</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00" w:type="dxa"/>
            <w:vAlign w:val="bottom"/>
            <w:vMerge w:val="continue"/>
          </w:tcPr>
          <w:p>
            <w:pPr>
              <w:spacing w:after="0"/>
              <w:rPr>
                <w:sz w:val="18"/>
                <w:szCs w:val="18"/>
                <w:color w:val="auto"/>
              </w:rPr>
            </w:pPr>
          </w:p>
        </w:tc>
        <w:tc>
          <w:tcPr>
            <w:tcW w:w="2980" w:type="dxa"/>
            <w:vAlign w:val="bottom"/>
            <w:shd w:val="clear" w:color="auto" w:fill="EEEEEE"/>
          </w:tcPr>
          <w:p>
            <w:pPr>
              <w:jc w:val="center"/>
              <w:ind w:right="1592"/>
              <w:spacing w:after="0"/>
              <w:rPr>
                <w:sz w:val="20"/>
                <w:szCs w:val="20"/>
                <w:color w:val="auto"/>
              </w:rPr>
            </w:pPr>
            <w:r>
              <w:rPr>
                <w:rFonts w:ascii="Arial" w:cs="Arial" w:eastAsia="Arial" w:hAnsi="Arial"/>
                <w:sz w:val="18"/>
                <w:szCs w:val="18"/>
                <w:color w:val="auto"/>
                <w:w w:val="87"/>
              </w:rPr>
              <w:t>Weighted Average</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29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Number, in thousands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7,467</w:t>
            </w:r>
          </w:p>
        </w:tc>
        <w:tc>
          <w:tcPr>
            <w:tcW w:w="14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6,480</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7,542</w:t>
            </w:r>
          </w:p>
        </w:tc>
        <w:tc>
          <w:tcPr>
            <w:tcW w:w="14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7,057</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0" w:type="dxa"/>
            <w:vAlign w:val="bottom"/>
            <w:vMerge w:val="continue"/>
          </w:tcPr>
          <w:p>
            <w:pPr>
              <w:spacing w:after="0"/>
              <w:rPr>
                <w:sz w:val="18"/>
                <w:szCs w:val="18"/>
                <w:color w:val="auto"/>
              </w:rPr>
            </w:pPr>
          </w:p>
        </w:tc>
        <w:tc>
          <w:tcPr>
            <w:tcW w:w="2980" w:type="dxa"/>
            <w:vAlign w:val="bottom"/>
            <w:shd w:val="clear" w:color="auto" w:fill="EEEEEE"/>
          </w:tcPr>
          <w:p>
            <w:pPr>
              <w:jc w:val="center"/>
              <w:ind w:right="1592"/>
              <w:spacing w:after="0"/>
              <w:rPr>
                <w:sz w:val="20"/>
                <w:szCs w:val="20"/>
                <w:color w:val="auto"/>
              </w:rPr>
            </w:pPr>
            <w:r>
              <w:rPr>
                <w:rFonts w:ascii="Arial" w:cs="Arial" w:eastAsia="Arial" w:hAnsi="Arial"/>
                <w:sz w:val="18"/>
                <w:szCs w:val="18"/>
                <w:color w:val="auto"/>
                <w:w w:val="87"/>
              </w:rPr>
              <w:t>Weighted Average</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2980" w:type="dxa"/>
            <w:vAlign w:val="bottom"/>
            <w:shd w:val="clear" w:color="auto" w:fill="EEEEEE"/>
          </w:tcPr>
          <w:p>
            <w:pPr>
              <w:jc w:val="center"/>
              <w:ind w:right="1592"/>
              <w:spacing w:after="0"/>
              <w:rPr>
                <w:sz w:val="20"/>
                <w:szCs w:val="20"/>
                <w:color w:val="auto"/>
              </w:rPr>
            </w:pPr>
            <w:r>
              <w:rPr>
                <w:rFonts w:ascii="Arial" w:cs="Arial" w:eastAsia="Arial" w:hAnsi="Arial"/>
                <w:sz w:val="18"/>
                <w:szCs w:val="18"/>
                <w:color w:val="auto"/>
                <w:w w:val="88"/>
              </w:rPr>
              <w:t>Exercise Price</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$19.22</w:t>
            </w:r>
          </w:p>
        </w:tc>
        <w:tc>
          <w:tcPr>
            <w:tcW w:w="14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$12.31</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$19.10</w:t>
            </w:r>
          </w:p>
        </w:tc>
        <w:tc>
          <w:tcPr>
            <w:tcW w:w="14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$11.65</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principally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540" w:right="28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xml:space="preserve">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94" w:lineRule="exact"/>
        <w:rPr>
          <w:rFonts w:ascii="Arial" w:cs="Arial" w:eastAsia="Arial" w:hAnsi="Arial"/>
          <w:sz w:val="18"/>
          <w:szCs w:val="18"/>
          <w:b w:val="1"/>
          <w:bCs w:val="1"/>
          <w:color w:val="auto"/>
        </w:rPr>
      </w:pPr>
    </w:p>
    <w:p>
      <w:pPr>
        <w:ind w:left="540" w:right="20"/>
        <w:spacing w:after="0" w:line="306"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Contract manufacturing:</w:t>
      </w:r>
      <w:r>
        <w:rPr>
          <w:rFonts w:ascii="Arial" w:cs="Arial" w:eastAsia="Arial" w:hAnsi="Arial"/>
          <w:sz w:val="16"/>
          <w:szCs w:val="16"/>
          <w:color w:val="auto"/>
        </w:rPr>
        <w:t xml:space="preserve"> Includes all revenues and expenses related to the commercial production of products under contract manufacturing arrangements. The Company produces an intermediate for a Merck &amp; Co., Inc. pediatric vaccine under a long-term manufacturing agreement and, in 2000, produced BDNF for Sumitomo Pharmaceuticals Co., Ltd. under a research and development agreement.</w:t>
      </w:r>
    </w:p>
    <w:p>
      <w:pPr>
        <w:spacing w:after="0" w:line="16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tables below present information about reported segments for the three and nine months ended September 30, 2001 and 2000:</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80" w:type="dxa"/>
            <w:vAlign w:val="bottom"/>
            <w:gridSpan w:val="4"/>
          </w:tcPr>
          <w:p>
            <w:pPr>
              <w:jc w:val="right"/>
              <w:ind w:right="118"/>
              <w:spacing w:after="0"/>
              <w:rPr>
                <w:sz w:val="20"/>
                <w:szCs w:val="20"/>
                <w:color w:val="auto"/>
              </w:rPr>
            </w:pPr>
            <w:r>
              <w:rPr>
                <w:rFonts w:ascii="Arial" w:cs="Arial" w:eastAsia="Arial" w:hAnsi="Arial"/>
                <w:sz w:val="14"/>
                <w:szCs w:val="14"/>
                <w:color w:val="auto"/>
                <w:w w:val="90"/>
              </w:rPr>
              <w:t>Three Months Ended September 30, 2001</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95"/>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239"/>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Research &amp;</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6"/>
              </w:rPr>
              <w:t>Contract</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Reconciling</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2"/>
        </w:trPr>
        <w:tc>
          <w:tcPr>
            <w:tcW w:w="1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Development</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Items</w:t>
            </w:r>
          </w:p>
        </w:tc>
        <w:tc>
          <w:tcPr>
            <w:tcW w:w="220" w:type="dxa"/>
            <w:vAlign w:val="bottom"/>
          </w:tcPr>
          <w:p>
            <w:pPr>
              <w:spacing w:after="0"/>
              <w:rPr>
                <w:sz w:val="14"/>
                <w:szCs w:val="14"/>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Total</w:t>
            </w:r>
          </w:p>
        </w:tc>
        <w:tc>
          <w:tcPr>
            <w:tcW w:w="1440" w:type="dxa"/>
            <w:vAlign w:val="bottom"/>
          </w:tcPr>
          <w:p>
            <w:pPr>
              <w:spacing w:after="0"/>
              <w:rPr>
                <w:sz w:val="14"/>
                <w:szCs w:val="14"/>
                <w:color w:val="auto"/>
              </w:rPr>
            </w:pPr>
          </w:p>
        </w:tc>
      </w:tr>
      <w:tr>
        <w:trPr>
          <w:trHeight w:val="95"/>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$2,819</w:t>
            </w:r>
          </w:p>
        </w:tc>
        <w:tc>
          <w:tcPr>
            <w:tcW w:w="1380" w:type="dxa"/>
            <w:vAlign w:val="bottom"/>
            <w:gridSpan w:val="2"/>
            <w:shd w:val="clear" w:color="auto" w:fill="EEEEEE"/>
          </w:tcPr>
          <w:p>
            <w:pPr>
              <w:jc w:val="right"/>
              <w:ind w:right="321"/>
              <w:spacing w:after="0"/>
              <w:rPr>
                <w:sz w:val="20"/>
                <w:szCs w:val="20"/>
                <w:color w:val="auto"/>
              </w:rPr>
            </w:pPr>
            <w:r>
              <w:rPr>
                <w:rFonts w:ascii="Arial" w:cs="Arial" w:eastAsia="Arial" w:hAnsi="Arial"/>
                <w:sz w:val="18"/>
                <w:szCs w:val="18"/>
                <w:color w:val="auto"/>
              </w:rPr>
              <w:t>$ 2,661</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$5,480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Earnings from Amgen-Regeneron Partners</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241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1,519</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61"/>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1,519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40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36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rPr>
              <w:t>(24,470)</w:t>
            </w:r>
          </w:p>
        </w:tc>
        <w:tc>
          <w:tcPr>
            <w:tcW w:w="1380" w:type="dxa"/>
            <w:vAlign w:val="bottom"/>
            <w:gridSpan w:val="2"/>
            <w:shd w:val="clear" w:color="auto" w:fill="EEEEEE"/>
          </w:tcPr>
          <w:p>
            <w:pPr>
              <w:jc w:val="right"/>
              <w:ind w:right="321"/>
              <w:spacing w:after="0"/>
              <w:rPr>
                <w:sz w:val="20"/>
                <w:szCs w:val="20"/>
                <w:color w:val="auto"/>
              </w:rPr>
            </w:pPr>
            <w:r>
              <w:rPr>
                <w:rFonts w:ascii="Arial" w:cs="Arial" w:eastAsia="Arial" w:hAnsi="Arial"/>
                <w:sz w:val="18"/>
                <w:szCs w:val="18"/>
                <w:color w:val="auto"/>
              </w:rPr>
              <w:t>1,377</w:t>
            </w:r>
          </w:p>
        </w:tc>
        <w:tc>
          <w:tcPr>
            <w:tcW w:w="1200" w:type="dxa"/>
            <w:vAlign w:val="bottom"/>
            <w:gridSpan w:val="2"/>
            <w:shd w:val="clear" w:color="auto" w:fill="EEEEEE"/>
          </w:tcPr>
          <w:p>
            <w:pPr>
              <w:jc w:val="right"/>
              <w:ind w:right="78"/>
              <w:spacing w:after="0"/>
              <w:rPr>
                <w:sz w:val="20"/>
                <w:szCs w:val="20"/>
                <w:color w:val="auto"/>
              </w:rPr>
            </w:pPr>
            <w:r>
              <w:rPr>
                <w:rFonts w:ascii="Arial" w:cs="Arial" w:eastAsia="Arial" w:hAnsi="Arial"/>
                <w:sz w:val="18"/>
                <w:szCs w:val="18"/>
                <w:color w:val="auto"/>
              </w:rPr>
              <w:t>$3,162</w:t>
            </w:r>
            <w:r>
              <w:rPr>
                <w:rFonts w:ascii="Arial" w:cs="Arial" w:eastAsia="Arial" w:hAnsi="Arial"/>
                <w:sz w:val="14"/>
                <w:szCs w:val="14"/>
                <w:color w:val="auto"/>
              </w:rPr>
              <w:t>(1)</w:t>
            </w:r>
          </w:p>
        </w:tc>
        <w:tc>
          <w:tcPr>
            <w:tcW w:w="12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(19,931)</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116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1,597</w:t>
            </w:r>
          </w:p>
        </w:tc>
        <w:tc>
          <w:tcPr>
            <w:tcW w:w="1440" w:type="dxa"/>
            <w:vAlign w:val="bottom"/>
          </w:tcPr>
          <w:p>
            <w:pPr>
              <w:spacing w:after="0"/>
              <w:rPr>
                <w:sz w:val="19"/>
                <w:szCs w:val="19"/>
                <w:color w:val="auto"/>
              </w:rPr>
            </w:pPr>
          </w:p>
        </w:tc>
      </w:tr>
      <w:tr>
        <w:trPr>
          <w:trHeight w:val="398"/>
        </w:trPr>
        <w:tc>
          <w:tcPr>
            <w:tcW w:w="1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80" w:type="dxa"/>
            <w:vAlign w:val="bottom"/>
            <w:gridSpan w:val="4"/>
          </w:tcPr>
          <w:p>
            <w:pPr>
              <w:jc w:val="right"/>
              <w:ind w:right="118"/>
              <w:spacing w:after="0"/>
              <w:rPr>
                <w:sz w:val="20"/>
                <w:szCs w:val="20"/>
                <w:color w:val="auto"/>
              </w:rPr>
            </w:pPr>
            <w:r>
              <w:rPr>
                <w:rFonts w:ascii="Arial" w:cs="Arial" w:eastAsia="Arial" w:hAnsi="Arial"/>
                <w:sz w:val="14"/>
                <w:szCs w:val="14"/>
                <w:color w:val="auto"/>
                <w:w w:val="90"/>
              </w:rPr>
              <w:t>Three Months Ended September 30, 2000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5"/>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239"/>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Research &amp;</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6"/>
              </w:rPr>
              <w:t>Contract</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Reconciling</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2"/>
        </w:trPr>
        <w:tc>
          <w:tcPr>
            <w:tcW w:w="1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Development</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Items</w:t>
            </w:r>
          </w:p>
        </w:tc>
        <w:tc>
          <w:tcPr>
            <w:tcW w:w="220" w:type="dxa"/>
            <w:vAlign w:val="bottom"/>
          </w:tcPr>
          <w:p>
            <w:pPr>
              <w:spacing w:after="0"/>
              <w:rPr>
                <w:sz w:val="14"/>
                <w:szCs w:val="14"/>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Total</w:t>
            </w:r>
          </w:p>
        </w:tc>
        <w:tc>
          <w:tcPr>
            <w:tcW w:w="1440" w:type="dxa"/>
            <w:vAlign w:val="bottom"/>
          </w:tcPr>
          <w:p>
            <w:pPr>
              <w:spacing w:after="0"/>
              <w:rPr>
                <w:sz w:val="14"/>
                <w:szCs w:val="14"/>
                <w:color w:val="auto"/>
              </w:rPr>
            </w:pPr>
          </w:p>
        </w:tc>
      </w:tr>
      <w:tr>
        <w:trPr>
          <w:trHeight w:val="95"/>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$12,376</w:t>
            </w:r>
          </w:p>
        </w:tc>
        <w:tc>
          <w:tcPr>
            <w:tcW w:w="1380" w:type="dxa"/>
            <w:vAlign w:val="bottom"/>
            <w:gridSpan w:val="2"/>
            <w:shd w:val="clear" w:color="auto" w:fill="EEEEEE"/>
          </w:tcPr>
          <w:p>
            <w:pPr>
              <w:jc w:val="right"/>
              <w:ind w:right="321"/>
              <w:spacing w:after="0"/>
              <w:rPr>
                <w:sz w:val="20"/>
                <w:szCs w:val="20"/>
                <w:color w:val="auto"/>
              </w:rPr>
            </w:pPr>
            <w:r>
              <w:rPr>
                <w:rFonts w:ascii="Arial" w:cs="Arial" w:eastAsia="Arial" w:hAnsi="Arial"/>
                <w:sz w:val="18"/>
                <w:szCs w:val="18"/>
                <w:color w:val="auto"/>
              </w:rPr>
              <w:t>$2,623</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$ 14,999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Loss in Amgen-Regeneron Partners</w:t>
            </w:r>
          </w:p>
        </w:tc>
        <w:tc>
          <w:tcPr>
            <w:tcW w:w="1360" w:type="dxa"/>
            <w:vAlign w:val="bottom"/>
          </w:tcPr>
          <w:p>
            <w:pPr>
              <w:jc w:val="right"/>
              <w:ind w:right="277"/>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(1,099)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61"/>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1,154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42</w:t>
            </w: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36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rPr>
              <w:t>(5,741)</w:t>
            </w:r>
          </w:p>
        </w:tc>
        <w:tc>
          <w:tcPr>
            <w:tcW w:w="1380" w:type="dxa"/>
            <w:vAlign w:val="bottom"/>
            <w:gridSpan w:val="2"/>
            <w:shd w:val="clear" w:color="auto" w:fill="EEEEEE"/>
          </w:tcPr>
          <w:p>
            <w:pPr>
              <w:jc w:val="right"/>
              <w:ind w:right="321"/>
              <w:spacing w:after="0"/>
              <w:rPr>
                <w:sz w:val="20"/>
                <w:szCs w:val="20"/>
                <w:color w:val="auto"/>
              </w:rPr>
            </w:pPr>
            <w:r>
              <w:rPr>
                <w:rFonts w:ascii="Arial" w:cs="Arial" w:eastAsia="Arial" w:hAnsi="Arial"/>
                <w:sz w:val="18"/>
                <w:szCs w:val="18"/>
                <w:color w:val="auto"/>
              </w:rPr>
              <w:t>93</w:t>
            </w:r>
          </w:p>
        </w:tc>
        <w:tc>
          <w:tcPr>
            <w:tcW w:w="1200" w:type="dxa"/>
            <w:vAlign w:val="bottom"/>
            <w:gridSpan w:val="2"/>
            <w:shd w:val="clear" w:color="auto" w:fill="EEEEEE"/>
          </w:tcPr>
          <w:p>
            <w:pPr>
              <w:jc w:val="right"/>
              <w:ind w:right="78"/>
              <w:spacing w:after="0"/>
              <w:rPr>
                <w:sz w:val="20"/>
                <w:szCs w:val="20"/>
                <w:color w:val="auto"/>
              </w:rPr>
            </w:pPr>
            <w:r>
              <w:rPr>
                <w:rFonts w:ascii="Arial" w:cs="Arial" w:eastAsia="Arial" w:hAnsi="Arial"/>
                <w:sz w:val="18"/>
                <w:szCs w:val="18"/>
                <w:color w:val="auto"/>
              </w:rPr>
              <w:t>$2,530</w:t>
            </w:r>
            <w:r>
              <w:rPr>
                <w:rFonts w:ascii="Arial" w:cs="Arial" w:eastAsia="Arial" w:hAnsi="Arial"/>
                <w:sz w:val="14"/>
                <w:szCs w:val="14"/>
                <w:color w:val="auto"/>
              </w:rPr>
              <w:t>(1)</w:t>
            </w:r>
          </w:p>
        </w:tc>
        <w:tc>
          <w:tcPr>
            <w:tcW w:w="12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(3,118)</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1,731</w:t>
            </w: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1,733</w:t>
            </w:r>
          </w:p>
        </w:tc>
        <w:tc>
          <w:tcPr>
            <w:tcW w:w="1440" w:type="dxa"/>
            <w:vAlign w:val="bottom"/>
          </w:tcPr>
          <w:p>
            <w:pPr>
              <w:spacing w:after="0"/>
              <w:rPr>
                <w:sz w:val="19"/>
                <w:szCs w:val="19"/>
                <w:color w:val="auto"/>
              </w:rPr>
            </w:pPr>
          </w:p>
        </w:tc>
      </w:tr>
      <w:tr>
        <w:trPr>
          <w:trHeight w:val="424"/>
        </w:trPr>
        <w:tc>
          <w:tcPr>
            <w:tcW w:w="1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tcPr>
          <w:p>
            <w:pPr>
              <w:jc w:val="right"/>
              <w:ind w:right="237"/>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right"/>
              <w:ind w:right="98"/>
              <w:spacing w:after="0"/>
              <w:rPr>
                <w:sz w:val="20"/>
                <w:szCs w:val="20"/>
                <w:color w:val="auto"/>
              </w:rPr>
            </w:pPr>
            <w:r>
              <w:rPr>
                <w:rFonts w:ascii="Arial" w:cs="Arial" w:eastAsia="Arial" w:hAnsi="Arial"/>
                <w:sz w:val="14"/>
                <w:szCs w:val="14"/>
                <w:color w:val="auto"/>
                <w:w w:val="90"/>
              </w:rPr>
              <w:t>Nine Months Ended September 30, 2001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95"/>
        </w:trPr>
        <w:tc>
          <w:tcPr>
            <w:tcW w:w="34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r>
        <w:trPr>
          <w:trHeight w:val="239"/>
        </w:trPr>
        <w:tc>
          <w:tcPr>
            <w:tcW w:w="3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Research &amp;</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6"/>
              </w:rPr>
              <w:t>Contract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Reconciling</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72"/>
        </w:trPr>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Development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0"/>
              </w:rPr>
              <w:t>Manufacturing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Items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Total</w:t>
            </w:r>
          </w:p>
        </w:tc>
      </w:tr>
      <w:tr>
        <w:trPr>
          <w:trHeight w:val="95"/>
        </w:trPr>
        <w:tc>
          <w:tcPr>
            <w:tcW w:w="34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r>
        <w:trPr>
          <w:trHeight w:val="102"/>
        </w:trPr>
        <w:tc>
          <w:tcPr>
            <w:tcW w:w="34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$9,351</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42"/>
              <w:spacing w:after="0"/>
              <w:rPr>
                <w:sz w:val="20"/>
                <w:szCs w:val="20"/>
                <w:color w:val="auto"/>
              </w:rPr>
            </w:pPr>
            <w:r>
              <w:rPr>
                <w:rFonts w:ascii="Arial" w:cs="Arial" w:eastAsia="Arial" w:hAnsi="Arial"/>
                <w:sz w:val="18"/>
                <w:szCs w:val="18"/>
                <w:color w:val="auto"/>
              </w:rPr>
              <w:t>$8,221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$17,572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in Amgen-Regeneron Partners</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2"/>
              <w:spacing w:after="0"/>
              <w:rPr>
                <w:sz w:val="20"/>
                <w:szCs w:val="20"/>
                <w:color w:val="auto"/>
              </w:rPr>
            </w:pPr>
            <w:r>
              <w:rPr>
                <w:rFonts w:ascii="Arial" w:cs="Arial" w:eastAsia="Arial" w:hAnsi="Arial"/>
                <w:sz w:val="18"/>
                <w:szCs w:val="18"/>
                <w:color w:val="auto"/>
              </w:rPr>
              <w:t>(1,056)</w:t>
            </w: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4,267</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4,267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360" w:type="dxa"/>
            <w:vAlign w:val="bottom"/>
            <w:gridSpan w:val="3"/>
          </w:tcPr>
          <w:p>
            <w:pPr>
              <w:jc w:val="right"/>
              <w:ind w:right="24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12"/>
              <w:spacing w:after="0"/>
              <w:rPr>
                <w:sz w:val="20"/>
                <w:szCs w:val="20"/>
                <w:color w:val="auto"/>
              </w:rPr>
            </w:pPr>
            <w:r>
              <w:rPr>
                <w:rFonts w:ascii="Arial" w:cs="Arial" w:eastAsia="Arial" w:hAnsi="Arial"/>
                <w:sz w:val="18"/>
                <w:szCs w:val="18"/>
                <w:color w:val="auto"/>
              </w:rPr>
              <w:t>130</w:t>
            </w: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0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(60,114)</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42"/>
              <w:spacing w:after="0"/>
              <w:rPr>
                <w:sz w:val="20"/>
                <w:szCs w:val="20"/>
                <w:color w:val="auto"/>
              </w:rPr>
            </w:pPr>
            <w:r>
              <w:rPr>
                <w:rFonts w:ascii="Arial" w:cs="Arial" w:eastAsia="Arial" w:hAnsi="Arial"/>
                <w:sz w:val="18"/>
                <w:szCs w:val="18"/>
                <w:color w:val="auto"/>
              </w:rPr>
              <w:t>2,838</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$9,474</w:t>
            </w:r>
            <w:r>
              <w:rPr>
                <w:rFonts w:ascii="Arial" w:cs="Arial" w:eastAsia="Arial" w:hAnsi="Arial"/>
                <w:sz w:val="14"/>
                <w:szCs w:val="14"/>
                <w:color w:val="auto"/>
              </w:rPr>
              <w:t>(1)</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47,802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5,563</w:t>
            </w:r>
          </w:p>
        </w:tc>
        <w:tc>
          <w:tcPr>
            <w:tcW w:w="140" w:type="dxa"/>
            <w:vAlign w:val="bottom"/>
          </w:tcPr>
          <w:p>
            <w:pPr>
              <w:spacing w:after="0"/>
              <w:rPr>
                <w:sz w:val="18"/>
                <w:szCs w:val="18"/>
                <w:color w:val="auto"/>
              </w:rPr>
            </w:pPr>
          </w:p>
        </w:tc>
        <w:tc>
          <w:tcPr>
            <w:tcW w:w="1360" w:type="dxa"/>
            <w:vAlign w:val="bottom"/>
            <w:gridSpan w:val="3"/>
          </w:tcPr>
          <w:p>
            <w:pPr>
              <w:jc w:val="right"/>
              <w:ind w:right="24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12"/>
              <w:spacing w:after="0"/>
              <w:rPr>
                <w:sz w:val="20"/>
                <w:szCs w:val="20"/>
                <w:color w:val="auto"/>
              </w:rPr>
            </w:pPr>
            <w:r>
              <w:rPr>
                <w:rFonts w:ascii="Arial" w:cs="Arial" w:eastAsia="Arial" w:hAnsi="Arial"/>
                <w:sz w:val="18"/>
                <w:szCs w:val="18"/>
                <w:color w:val="auto"/>
              </w:rPr>
              <w:t>5,588</w:t>
            </w: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35,890</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42"/>
              <w:spacing w:after="0"/>
              <w:rPr>
                <w:sz w:val="20"/>
                <w:szCs w:val="20"/>
                <w:color w:val="auto"/>
              </w:rPr>
            </w:pPr>
            <w:r>
              <w:rPr>
                <w:rFonts w:ascii="Arial" w:cs="Arial" w:eastAsia="Arial" w:hAnsi="Arial"/>
                <w:sz w:val="18"/>
                <w:szCs w:val="18"/>
                <w:color w:val="auto"/>
              </w:rPr>
              <w:t>8,998</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273,725</w:t>
            </w:r>
            <w:r>
              <w:rPr>
                <w:rFonts w:ascii="Arial" w:cs="Arial" w:eastAsia="Arial" w:hAnsi="Arial"/>
                <w:sz w:val="14"/>
                <w:szCs w:val="14"/>
                <w:color w:val="auto"/>
              </w:rPr>
              <w:t>(3)</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318,613</w:t>
            </w:r>
          </w:p>
        </w:tc>
      </w:tr>
      <w:tr>
        <w:trPr>
          <w:trHeight w:val="405"/>
        </w:trPr>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6"/>
          </w:tcPr>
          <w:p>
            <w:pPr>
              <w:jc w:val="right"/>
              <w:ind w:right="78"/>
              <w:spacing w:after="0"/>
              <w:rPr>
                <w:sz w:val="20"/>
                <w:szCs w:val="20"/>
                <w:color w:val="auto"/>
              </w:rPr>
            </w:pPr>
            <w:r>
              <w:rPr>
                <w:rFonts w:ascii="Arial" w:cs="Arial" w:eastAsia="Arial" w:hAnsi="Arial"/>
                <w:sz w:val="14"/>
                <w:szCs w:val="14"/>
                <w:color w:val="auto"/>
                <w:w w:val="91"/>
              </w:rPr>
              <w:t>Nine Months Ended September 30, 2000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95"/>
        </w:trPr>
        <w:tc>
          <w:tcPr>
            <w:tcW w:w="34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r>
        <w:trPr>
          <w:trHeight w:val="239"/>
        </w:trPr>
        <w:tc>
          <w:tcPr>
            <w:tcW w:w="3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Research &amp;</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86"/>
              </w:rPr>
              <w:t>Contract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Reconciling</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72"/>
        </w:trPr>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color w:val="auto"/>
              </w:rPr>
              <w:t>Development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Manufacturing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Items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Total</w:t>
            </w:r>
          </w:p>
        </w:tc>
      </w:tr>
      <w:tr>
        <w:trPr>
          <w:trHeight w:val="95"/>
        </w:trPr>
        <w:tc>
          <w:tcPr>
            <w:tcW w:w="34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r>
      <w:tr>
        <w:trPr>
          <w:trHeight w:val="102"/>
        </w:trPr>
        <w:tc>
          <w:tcPr>
            <w:tcW w:w="34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$33,522</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62"/>
              <w:spacing w:after="0"/>
              <w:rPr>
                <w:sz w:val="20"/>
                <w:szCs w:val="20"/>
                <w:color w:val="auto"/>
              </w:rPr>
            </w:pPr>
            <w:r>
              <w:rPr>
                <w:rFonts w:ascii="Arial" w:cs="Arial" w:eastAsia="Arial" w:hAnsi="Arial"/>
                <w:sz w:val="18"/>
                <w:szCs w:val="18"/>
                <w:color w:val="auto"/>
              </w:rPr>
              <w:t>$6,617</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$40,139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in Amgen-Regeneron Partners</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(3,450)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2"/>
              <w:spacing w:after="0"/>
              <w:rPr>
                <w:sz w:val="20"/>
                <w:szCs w:val="20"/>
                <w:color w:val="auto"/>
              </w:rPr>
            </w:pPr>
            <w:r>
              <w:rPr>
                <w:rFonts w:ascii="Arial" w:cs="Arial" w:eastAsia="Arial" w:hAnsi="Arial"/>
                <w:sz w:val="18"/>
                <w:szCs w:val="18"/>
                <w:color w:val="auto"/>
              </w:rPr>
              <w:t>(3,450)</w:t>
            </w: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3,125</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3,125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360" w:type="dxa"/>
            <w:vAlign w:val="bottom"/>
            <w:gridSpan w:val="3"/>
          </w:tcPr>
          <w:p>
            <w:pPr>
              <w:jc w:val="right"/>
              <w:ind w:right="262"/>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12"/>
              <w:spacing w:after="0"/>
              <w:rPr>
                <w:sz w:val="20"/>
                <w:szCs w:val="20"/>
                <w:color w:val="auto"/>
              </w:rPr>
            </w:pPr>
            <w:r>
              <w:rPr>
                <w:rFonts w:ascii="Arial" w:cs="Arial" w:eastAsia="Arial" w:hAnsi="Arial"/>
                <w:sz w:val="18"/>
                <w:szCs w:val="18"/>
                <w:color w:val="auto"/>
              </w:rPr>
              <w:t>227</w:t>
            </w: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02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(20,442)</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02"/>
              <w:spacing w:after="0"/>
              <w:rPr>
                <w:sz w:val="20"/>
                <w:szCs w:val="20"/>
                <w:color w:val="auto"/>
              </w:rPr>
            </w:pPr>
            <w:r>
              <w:rPr>
                <w:rFonts w:ascii="Arial" w:cs="Arial" w:eastAsia="Arial" w:hAnsi="Arial"/>
                <w:sz w:val="18"/>
                <w:szCs w:val="18"/>
                <w:color w:val="auto"/>
              </w:rPr>
              <w:t>(285)</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$5,967</w:t>
            </w:r>
            <w:r>
              <w:rPr>
                <w:rFonts w:ascii="Arial" w:cs="Arial" w:eastAsia="Arial" w:hAnsi="Arial"/>
                <w:sz w:val="14"/>
                <w:szCs w:val="14"/>
                <w:color w:val="auto"/>
              </w:rPr>
              <w:t>(1)</w:t>
            </w:r>
          </w:p>
        </w:tc>
        <w:tc>
          <w:tcPr>
            <w:tcW w:w="124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(14,760)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5,555</w:t>
            </w:r>
          </w:p>
        </w:tc>
        <w:tc>
          <w:tcPr>
            <w:tcW w:w="140" w:type="dxa"/>
            <w:vAlign w:val="bottom"/>
          </w:tcPr>
          <w:p>
            <w:pPr>
              <w:spacing w:after="0"/>
              <w:rPr>
                <w:sz w:val="18"/>
                <w:szCs w:val="18"/>
                <w:color w:val="auto"/>
              </w:rPr>
            </w:pPr>
          </w:p>
        </w:tc>
        <w:tc>
          <w:tcPr>
            <w:tcW w:w="1360" w:type="dxa"/>
            <w:vAlign w:val="bottom"/>
            <w:gridSpan w:val="3"/>
          </w:tcPr>
          <w:p>
            <w:pPr>
              <w:jc w:val="right"/>
              <w:ind w:right="262"/>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12"/>
              <w:spacing w:after="0"/>
              <w:rPr>
                <w:sz w:val="20"/>
                <w:szCs w:val="20"/>
                <w:color w:val="auto"/>
              </w:rPr>
            </w:pPr>
            <w:r>
              <w:rPr>
                <w:rFonts w:ascii="Arial" w:cs="Arial" w:eastAsia="Arial" w:hAnsi="Arial"/>
                <w:sz w:val="18"/>
                <w:szCs w:val="18"/>
                <w:color w:val="auto"/>
              </w:rPr>
              <w:t>5,620</w:t>
            </w:r>
          </w:p>
        </w:tc>
      </w:tr>
      <w:tr>
        <w:trPr>
          <w:trHeight w:val="216"/>
        </w:trPr>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17,677</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62"/>
              <w:spacing w:after="0"/>
              <w:rPr>
                <w:sz w:val="20"/>
                <w:szCs w:val="20"/>
                <w:color w:val="auto"/>
              </w:rPr>
            </w:pPr>
            <w:r>
              <w:rPr>
                <w:rFonts w:ascii="Arial" w:cs="Arial" w:eastAsia="Arial" w:hAnsi="Arial"/>
                <w:sz w:val="18"/>
                <w:szCs w:val="18"/>
                <w:color w:val="auto"/>
              </w:rPr>
              <w:t>38,014</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160,628</w:t>
            </w:r>
            <w:r>
              <w:rPr>
                <w:rFonts w:ascii="Arial" w:cs="Arial" w:eastAsia="Arial" w:hAnsi="Arial"/>
                <w:sz w:val="14"/>
                <w:szCs w:val="14"/>
                <w:color w:val="auto"/>
              </w:rPr>
              <w:t>(3)</w:t>
            </w:r>
          </w:p>
        </w:tc>
        <w:tc>
          <w:tcPr>
            <w:tcW w:w="124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216,319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3" w:lineRule="exact"/>
        <w:rPr>
          <w:sz w:val="20"/>
          <w:szCs w:val="20"/>
          <w:color w:val="auto"/>
        </w:rPr>
      </w:pPr>
    </w:p>
    <w:p>
      <w:pPr>
        <w:ind w:left="680" w:hanging="213"/>
        <w:spacing w:after="0"/>
        <w:tabs>
          <w:tab w:leader="none" w:pos="680" w:val="left"/>
        </w:tabs>
        <w:numPr>
          <w:ilvl w:val="1"/>
          <w:numId w:val="12"/>
        </w:numPr>
        <w:rPr>
          <w:rFonts w:ascii="Arial" w:cs="Arial" w:eastAsia="Arial" w:hAnsi="Arial"/>
          <w:sz w:val="26"/>
          <w:szCs w:val="26"/>
          <w:color w:val="auto"/>
          <w:vertAlign w:val="superscript"/>
        </w:rPr>
      </w:pPr>
      <w:r>
        <w:rPr>
          <w:rFonts w:ascii="Arial" w:cs="Arial" w:eastAsia="Arial" w:hAnsi="Arial"/>
          <w:sz w:val="16"/>
          <w:szCs w:val="16"/>
          <w:color w:val="auto"/>
        </w:rPr>
        <w:t>Represents investment income.</w:t>
      </w:r>
    </w:p>
    <w:p>
      <w:pPr>
        <w:spacing w:after="0" w:line="48" w:lineRule="exact"/>
        <w:rPr>
          <w:rFonts w:ascii="Arial" w:cs="Arial" w:eastAsia="Arial" w:hAnsi="Arial"/>
          <w:sz w:val="26"/>
          <w:szCs w:val="26"/>
          <w:color w:val="auto"/>
          <w:vertAlign w:val="superscript"/>
        </w:rPr>
      </w:pPr>
    </w:p>
    <w:p>
      <w:pPr>
        <w:ind w:left="680" w:hanging="213"/>
        <w:spacing w:after="0" w:line="181" w:lineRule="auto"/>
        <w:tabs>
          <w:tab w:leader="none" w:pos="680" w:val="left"/>
        </w:tabs>
        <w:numPr>
          <w:ilvl w:val="1"/>
          <w:numId w:val="12"/>
        </w:numPr>
        <w:rPr>
          <w:rFonts w:ascii="Arial" w:cs="Arial" w:eastAsia="Arial" w:hAnsi="Arial"/>
          <w:sz w:val="24"/>
          <w:szCs w:val="24"/>
          <w:color w:val="auto"/>
          <w:vertAlign w:val="superscript"/>
        </w:rPr>
      </w:pPr>
      <w:r>
        <w:rPr>
          <w:rFonts w:ascii="Arial" w:cs="Arial" w:eastAsia="Arial" w:hAnsi="Arial"/>
          <w:sz w:val="15"/>
          <w:szCs w:val="15"/>
          <w:color w:val="auto"/>
        </w:rPr>
        <w:t>Depreciation and amortization related to contract manufacturing is capitalized into inventory.</w:t>
      </w:r>
    </w:p>
    <w:p>
      <w:pPr>
        <w:spacing w:after="0" w:line="48" w:lineRule="exact"/>
        <w:rPr>
          <w:rFonts w:ascii="Arial" w:cs="Arial" w:eastAsia="Arial" w:hAnsi="Arial"/>
          <w:sz w:val="24"/>
          <w:szCs w:val="24"/>
          <w:color w:val="auto"/>
          <w:vertAlign w:val="superscript"/>
        </w:rPr>
      </w:pPr>
    </w:p>
    <w:p>
      <w:pPr>
        <w:ind w:left="680" w:hanging="213"/>
        <w:spacing w:after="0" w:line="181" w:lineRule="auto"/>
        <w:tabs>
          <w:tab w:leader="none" w:pos="680" w:val="left"/>
        </w:tabs>
        <w:numPr>
          <w:ilvl w:val="1"/>
          <w:numId w:val="12"/>
        </w:numPr>
        <w:rPr>
          <w:rFonts w:ascii="Arial" w:cs="Arial" w:eastAsia="Arial" w:hAnsi="Arial"/>
          <w:sz w:val="24"/>
          <w:szCs w:val="24"/>
          <w:color w:val="auto"/>
          <w:vertAlign w:val="superscript"/>
        </w:rPr>
      </w:pPr>
      <w:r>
        <w:rPr>
          <w:rFonts w:ascii="Arial" w:cs="Arial" w:eastAsia="Arial" w:hAnsi="Arial"/>
          <w:sz w:val="15"/>
          <w:szCs w:val="15"/>
          <w:color w:val="auto"/>
        </w:rPr>
        <w:t>Includes cash and cash equivalents, marketable securities, prepaid expenses and other current assets, and other assets.</w:t>
      </w:r>
    </w:p>
    <w:p>
      <w:pPr>
        <w:spacing w:after="0" w:line="204" w:lineRule="exact"/>
        <w:rPr>
          <w:rFonts w:ascii="Arial" w:cs="Arial" w:eastAsia="Arial" w:hAnsi="Arial"/>
          <w:sz w:val="24"/>
          <w:szCs w:val="24"/>
          <w:color w:val="auto"/>
          <w:vertAlign w:val="superscript"/>
        </w:rPr>
      </w:pPr>
    </w:p>
    <w:p>
      <w:pPr>
        <w:ind w:left="560" w:hanging="552"/>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31" w:lineRule="exact"/>
        <w:rPr>
          <w:rFonts w:ascii="Arial" w:cs="Arial" w:eastAsia="Arial" w:hAnsi="Arial"/>
          <w:sz w:val="18"/>
          <w:szCs w:val="18"/>
          <w:b w:val="1"/>
          <w:bCs w:val="1"/>
          <w:color w:val="auto"/>
        </w:rPr>
      </w:pPr>
    </w:p>
    <w:p>
      <w:pPr>
        <w:ind w:left="5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September 2000, Immunex Corporation filed a request with the European Patent Office seeking the declaration of an Opposition regarding the scope of the Company’s European patent relating to Cytokine Traps. This is a legal challenge to the validity and scope of the Company’s patent. Although the Company plans to defend the patent diligently, the scope of the patent may be adversely affected following the outcome of the Opposition. In addition to this patent challenge, the Company, from time to time, has been subject to legal claims arising in connection with its business. While the ultimate results of the patent challenge and legal claims cannot be predicted with certainty, at September 30, 2001 there were no asserted claims against the Company which, in the opinion of management, if adversely decided would have a material adverse effect on the Company’s financial position, results of operations, and cash flows.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31" w:lineRule="exact"/>
        <w:rPr>
          <w:rFonts w:ascii="Arial" w:cs="Arial" w:eastAsia="Arial" w:hAnsi="Arial"/>
          <w:sz w:val="18"/>
          <w:szCs w:val="18"/>
          <w:b w:val="1"/>
          <w:bCs w:val="1"/>
          <w:color w:val="auto"/>
        </w:rPr>
      </w:pPr>
    </w:p>
    <w:p>
      <w:pPr>
        <w:ind w:left="5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the financial statements for the three and nine months ended September 30, 2000 to conform with the current period’s presentation.</w:t>
      </w:r>
    </w:p>
    <w:p>
      <w:pPr>
        <w:spacing w:after="0" w:line="185" w:lineRule="exact"/>
        <w:rPr>
          <w:rFonts w:ascii="Arial" w:cs="Arial" w:eastAsia="Arial" w:hAnsi="Arial"/>
          <w:sz w:val="18"/>
          <w:szCs w:val="18"/>
          <w:b w:val="1"/>
          <w:bCs w:val="1"/>
          <w:color w:val="auto"/>
        </w:rPr>
      </w:pPr>
    </w:p>
    <w:p>
      <w:pPr>
        <w:ind w:left="5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Effective in 2001, the Company’s financial statement presentation of depreciation and amortization in the Statements of Operations has been changed to allocate depreciation and amortization between research and development expense and general and administrative expense. Depreciation and amortization related to contract manufacturing expense was already included in contract manufacturing expense in 2000. The effect of this reclassification for the three and nine months ended September 30, 2000 and for the year ended December 31, 2000 is presented in the following table.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11"/>
          </w:tcPr>
          <w:p>
            <w:pPr>
              <w:jc w:val="center"/>
              <w:ind w:right="300"/>
              <w:spacing w:after="0"/>
              <w:rPr>
                <w:sz w:val="20"/>
                <w:szCs w:val="20"/>
                <w:color w:val="auto"/>
              </w:rPr>
            </w:pPr>
            <w:r>
              <w:rPr>
                <w:rFonts w:ascii="Arial" w:cs="Arial" w:eastAsia="Arial" w:hAnsi="Arial"/>
                <w:sz w:val="14"/>
                <w:szCs w:val="14"/>
                <w:color w:val="auto"/>
                <w:w w:val="87"/>
              </w:rPr>
              <w:t>Third Quarter Ended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9"/>
          </w:tcPr>
          <w:p>
            <w:pPr>
              <w:ind w:left="200"/>
              <w:spacing w:after="0"/>
              <w:rPr>
                <w:sz w:val="20"/>
                <w:szCs w:val="20"/>
                <w:color w:val="auto"/>
              </w:rPr>
            </w:pPr>
            <w:r>
              <w:rPr>
                <w:rFonts w:ascii="Arial" w:cs="Arial" w:eastAsia="Arial" w:hAnsi="Arial"/>
                <w:sz w:val="14"/>
                <w:szCs w:val="14"/>
                <w:color w:val="auto"/>
              </w:rPr>
              <w:t>Nine Months Ended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11"/>
          </w:tcPr>
          <w:p>
            <w:pPr>
              <w:jc w:val="center"/>
              <w:ind w:right="300"/>
              <w:spacing w:after="0" w:line="149" w:lineRule="exact"/>
              <w:rPr>
                <w:sz w:val="20"/>
                <w:szCs w:val="20"/>
                <w:color w:val="auto"/>
              </w:rPr>
            </w:pPr>
            <w:r>
              <w:rPr>
                <w:rFonts w:ascii="Arial" w:cs="Arial" w:eastAsia="Arial" w:hAnsi="Arial"/>
                <w:sz w:val="14"/>
                <w:szCs w:val="14"/>
                <w:color w:val="auto"/>
                <w:w w:val="85"/>
              </w:rPr>
              <w:t>September 30, 2000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9"/>
          </w:tcPr>
          <w:p>
            <w:pPr>
              <w:ind w:left="200"/>
              <w:spacing w:after="0" w:line="149" w:lineRule="exact"/>
              <w:rPr>
                <w:sz w:val="20"/>
                <w:szCs w:val="20"/>
                <w:color w:val="auto"/>
              </w:rPr>
            </w:pPr>
            <w:r>
              <w:rPr>
                <w:rFonts w:ascii="Arial" w:cs="Arial" w:eastAsia="Arial" w:hAnsi="Arial"/>
                <w:sz w:val="14"/>
                <w:szCs w:val="14"/>
                <w:color w:val="auto"/>
              </w:rPr>
              <w:t>September 30, 2000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4"/>
          </w:tcPr>
          <w:p>
            <w:pPr>
              <w:jc w:val="center"/>
              <w:ind w:left="92"/>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5"/>
          </w:tcPr>
          <w:p>
            <w:pPr>
              <w:ind w:left="160"/>
              <w:spacing w:after="0"/>
              <w:rPr>
                <w:sz w:val="20"/>
                <w:szCs w:val="20"/>
                <w:color w:val="auto"/>
              </w:rPr>
            </w:pPr>
            <w:r>
              <w:rPr>
                <w:rFonts w:ascii="Arial" w:cs="Arial" w:eastAsia="Arial" w:hAnsi="Arial"/>
                <w:sz w:val="14"/>
                <w:szCs w:val="14"/>
                <w:color w:val="auto"/>
                <w:w w:val="87"/>
              </w:rPr>
              <w:t>(Unaudited)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6"/>
          </w:tcPr>
          <w:p>
            <w:pPr>
              <w:jc w:val="center"/>
              <w:ind w:right="520"/>
              <w:spacing w:after="0"/>
              <w:rPr>
                <w:sz w:val="20"/>
                <w:szCs w:val="20"/>
                <w:color w:val="auto"/>
              </w:rPr>
            </w:pPr>
            <w:r>
              <w:rPr>
                <w:rFonts w:ascii="Arial" w:cs="Arial" w:eastAsia="Arial" w:hAnsi="Arial"/>
                <w:sz w:val="14"/>
                <w:szCs w:val="14"/>
                <w:color w:val="auto"/>
                <w:w w:val="89"/>
              </w:rPr>
              <w:t>As Previously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color w:val="auto"/>
              </w:rPr>
              <w:t>As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9"/>
          </w:tcPr>
          <w:p>
            <w:pPr>
              <w:jc w:val="center"/>
              <w:ind w:right="440"/>
              <w:spacing w:after="0"/>
              <w:rPr>
                <w:sz w:val="20"/>
                <w:szCs w:val="20"/>
                <w:color w:val="auto"/>
              </w:rPr>
            </w:pPr>
            <w:r>
              <w:rPr>
                <w:rFonts w:ascii="Arial" w:cs="Arial" w:eastAsia="Arial" w:hAnsi="Arial"/>
                <w:sz w:val="14"/>
                <w:szCs w:val="14"/>
                <w:color w:val="auto"/>
                <w:w w:val="89"/>
              </w:rPr>
              <w:t>As Previously</w:t>
            </w:r>
          </w:p>
        </w:tc>
        <w:tc>
          <w:tcPr>
            <w:tcW w:w="8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As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5"/>
          </w:tcPr>
          <w:p>
            <w:pPr>
              <w:jc w:val="center"/>
              <w:ind w:right="720"/>
              <w:spacing w:after="0"/>
              <w:rPr>
                <w:sz w:val="20"/>
                <w:szCs w:val="20"/>
                <w:color w:val="auto"/>
              </w:rPr>
            </w:pPr>
            <w:r>
              <w:rPr>
                <w:rFonts w:ascii="Arial" w:cs="Arial" w:eastAsia="Arial" w:hAnsi="Arial"/>
                <w:sz w:val="14"/>
                <w:szCs w:val="14"/>
                <w:color w:val="auto"/>
                <w:w w:val="83"/>
              </w:rPr>
              <w:t>Reported</w:t>
            </w:r>
          </w:p>
        </w:tc>
        <w:tc>
          <w:tcPr>
            <w:tcW w:w="940" w:type="dxa"/>
            <w:vAlign w:val="bottom"/>
            <w:gridSpan w:val="6"/>
          </w:tcPr>
          <w:p>
            <w:pPr>
              <w:ind w:left="60"/>
              <w:spacing w:after="0"/>
              <w:rPr>
                <w:sz w:val="20"/>
                <w:szCs w:val="20"/>
                <w:color w:val="auto"/>
              </w:rPr>
            </w:pPr>
            <w:r>
              <w:rPr>
                <w:rFonts w:ascii="Arial" w:cs="Arial" w:eastAsia="Arial" w:hAnsi="Arial"/>
                <w:sz w:val="14"/>
                <w:szCs w:val="14"/>
                <w:color w:val="auto"/>
              </w:rPr>
              <w:t>Reclassified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center"/>
              <w:ind w:right="720"/>
              <w:spacing w:after="0"/>
              <w:rPr>
                <w:sz w:val="20"/>
                <w:szCs w:val="20"/>
                <w:color w:val="auto"/>
              </w:rPr>
            </w:pPr>
            <w:r>
              <w:rPr>
                <w:rFonts w:ascii="Arial" w:cs="Arial" w:eastAsia="Arial" w:hAnsi="Arial"/>
                <w:sz w:val="14"/>
                <w:szCs w:val="14"/>
                <w:color w:val="auto"/>
                <w:w w:val="86"/>
              </w:rPr>
              <w:t>Reported</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Reclassified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$14,085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$15,207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$40,470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$43,508</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1,737</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1,769</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5,203</w:t>
            </w: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5,290</w:t>
            </w:r>
          </w:p>
        </w:tc>
        <w:tc>
          <w:tcPr>
            <w:tcW w:w="3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Contract manufacturing</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2,512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2,512</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6,828</w:t>
            </w: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6,828</w:t>
            </w:r>
          </w:p>
        </w:tc>
        <w:tc>
          <w:tcPr>
            <w:tcW w:w="3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336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$19,488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$19,488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$55,626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$55,626</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11"/>
          </w:tcPr>
          <w:p>
            <w:pPr>
              <w:jc w:val="center"/>
              <w:ind w:right="1200"/>
              <w:spacing w:after="0"/>
              <w:rPr>
                <w:sz w:val="20"/>
                <w:szCs w:val="20"/>
                <w:color w:val="auto"/>
              </w:rPr>
            </w:pPr>
            <w:r>
              <w:rPr>
                <w:rFonts w:ascii="Arial" w:cs="Arial" w:eastAsia="Arial" w:hAnsi="Arial"/>
                <w:sz w:val="14"/>
                <w:szCs w:val="14"/>
                <w:color w:val="auto"/>
                <w:w w:val="83"/>
              </w:rPr>
              <w:t>Year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gridSpan w:val="14"/>
          </w:tcPr>
          <w:p>
            <w:pPr>
              <w:jc w:val="center"/>
              <w:ind w:right="860"/>
              <w:spacing w:after="0" w:line="149" w:lineRule="exact"/>
              <w:rPr>
                <w:sz w:val="20"/>
                <w:szCs w:val="20"/>
                <w:color w:val="auto"/>
              </w:rPr>
            </w:pPr>
            <w:r>
              <w:rPr>
                <w:rFonts w:ascii="Arial" w:cs="Arial" w:eastAsia="Arial" w:hAnsi="Arial"/>
                <w:sz w:val="14"/>
                <w:szCs w:val="14"/>
                <w:color w:val="auto"/>
                <w:w w:val="86"/>
              </w:rPr>
              <w:t>December 31, 2000</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11"/>
          </w:tcPr>
          <w:p>
            <w:pPr>
              <w:jc w:val="center"/>
              <w:ind w:right="1200"/>
              <w:spacing w:after="0" w:line="149" w:lineRule="exact"/>
              <w:rPr>
                <w:sz w:val="20"/>
                <w:szCs w:val="20"/>
                <w:color w:val="auto"/>
              </w:rPr>
            </w:pPr>
            <w:r>
              <w:rPr>
                <w:rFonts w:ascii="Arial" w:cs="Arial" w:eastAsia="Arial" w:hAnsi="Arial"/>
                <w:sz w:val="14"/>
                <w:szCs w:val="14"/>
                <w:color w:val="auto"/>
                <w:w w:val="90"/>
              </w:rPr>
              <w:t>(Unaudited)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87"/>
              </w:rPr>
              <w:t>As Previously</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6"/>
          </w:tcPr>
          <w:p>
            <w:pPr>
              <w:ind w:left="200"/>
              <w:spacing w:after="0" w:line="149" w:lineRule="exact"/>
              <w:rPr>
                <w:sz w:val="20"/>
                <w:szCs w:val="20"/>
                <w:color w:val="auto"/>
              </w:rPr>
            </w:pPr>
            <w:r>
              <w:rPr>
                <w:rFonts w:ascii="Arial" w:cs="Arial" w:eastAsia="Arial" w:hAnsi="Arial"/>
                <w:sz w:val="14"/>
                <w:szCs w:val="14"/>
                <w:color w:val="auto"/>
              </w:rPr>
              <w:t>As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color w:val="auto"/>
              </w:rPr>
              <w:t>Reported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ind w:left="160"/>
              <w:spacing w:after="0"/>
              <w:rPr>
                <w:sz w:val="20"/>
                <w:szCs w:val="20"/>
                <w:color w:val="auto"/>
              </w:rPr>
            </w:pPr>
            <w:r>
              <w:rPr>
                <w:rFonts w:ascii="Arial" w:cs="Arial" w:eastAsia="Arial" w:hAnsi="Arial"/>
                <w:sz w:val="14"/>
                <w:szCs w:val="14"/>
                <w:color w:val="auto"/>
              </w:rPr>
              <w:t>Reclassified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Research and development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$56,256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jc w:val="right"/>
              <w:spacing w:after="0"/>
              <w:rPr>
                <w:sz w:val="20"/>
                <w:szCs w:val="20"/>
                <w:color w:val="auto"/>
              </w:rPr>
            </w:pPr>
            <w:r>
              <w:rPr>
                <w:rFonts w:ascii="Arial" w:cs="Arial" w:eastAsia="Arial" w:hAnsi="Arial"/>
                <w:sz w:val="18"/>
                <w:szCs w:val="18"/>
                <w:color w:val="auto"/>
              </w:rPr>
              <w:t>$60,559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8,309</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8,427</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1"/>
              </w:rPr>
              <w:t>Depreciation and amortization</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4,421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 manufacturing</w:t>
            </w: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15,566</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15,566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5"/>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$84,552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7"/>
          </w:tcPr>
          <w:p>
            <w:pPr>
              <w:jc w:val="right"/>
              <w:spacing w:after="0"/>
              <w:rPr>
                <w:sz w:val="20"/>
                <w:szCs w:val="20"/>
                <w:color w:val="auto"/>
              </w:rPr>
            </w:pPr>
            <w:r>
              <w:rPr>
                <w:rFonts w:ascii="Arial" w:cs="Arial" w:eastAsia="Arial" w:hAnsi="Arial"/>
                <w:sz w:val="18"/>
                <w:szCs w:val="18"/>
                <w:color w:val="auto"/>
              </w:rPr>
              <w:t>$84,552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31" w:lineRule="exact"/>
        <w:rPr>
          <w:rFonts w:ascii="Arial" w:cs="Arial" w:eastAsia="Arial" w:hAnsi="Arial"/>
          <w:sz w:val="18"/>
          <w:szCs w:val="18"/>
          <w:b w:val="1"/>
          <w:bCs w:val="1"/>
          <w:color w:val="auto"/>
        </w:rPr>
      </w:pPr>
    </w:p>
    <w:p>
      <w:pPr>
        <w:ind w:left="5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 xml:space="preserve">The Financial Accounting Standards Board has recently issued Statement of Financial Accounting Standards (“SFAS”) No.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SFAS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xml:space="preserve">, SFAS No. 143, </w:t>
      </w:r>
      <w:r>
        <w:rPr>
          <w:rFonts w:ascii="Arial" w:cs="Arial" w:eastAsia="Arial" w:hAnsi="Arial"/>
          <w:sz w:val="15"/>
          <w:szCs w:val="15"/>
          <w:i w:val="1"/>
          <w:iCs w:val="1"/>
          <w:color w:val="auto"/>
        </w:rPr>
        <w:t>Accounting for Obligations Associated with the Retirement of Long-Lived Assets,</w:t>
      </w:r>
      <w:r>
        <w:rPr>
          <w:rFonts w:ascii="Arial" w:cs="Arial" w:eastAsia="Arial" w:hAnsi="Arial"/>
          <w:sz w:val="15"/>
          <w:szCs w:val="15"/>
          <w:color w:val="auto"/>
        </w:rPr>
        <w:t xml:space="preserve"> and SFAS No. 144,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xml:space="preserve"> which the Company will be required to adopt in future periods. Management believes that the future adoption of these accounting standards will not have a material impact on the Company’s financial statements.</w:t>
      </w:r>
    </w:p>
    <w:p>
      <w:pPr>
        <w:spacing w:after="0" w:line="145" w:lineRule="exact"/>
        <w:rPr>
          <w:rFonts w:ascii="Arial" w:cs="Arial" w:eastAsia="Arial" w:hAnsi="Arial"/>
          <w:sz w:val="18"/>
          <w:szCs w:val="18"/>
          <w:b w:val="1"/>
          <w:bCs w:val="1"/>
          <w:color w:val="auto"/>
        </w:rPr>
      </w:pPr>
    </w:p>
    <w:p>
      <w:pPr>
        <w:ind w:left="560" w:hanging="552"/>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Extinguishment of Note Payable</w:t>
      </w:r>
    </w:p>
    <w:p>
      <w:pPr>
        <w:spacing w:after="0" w:line="231"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In 1994, the Company borrowed $2.0 million from the New York State Urban Development Corporation, of which approximately $1.5 million remained outstanding at September 30, 2001. The terms of the note provided for monthly payments of principal and interest through December 2014. On October 11, 2001, the remaining principal balance on this note was paid in full.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Issuance of Convertible Senior Subordinated Notes</w:t>
      </w:r>
    </w:p>
    <w:p>
      <w:pPr>
        <w:spacing w:after="0" w:line="231" w:lineRule="exact"/>
        <w:rPr>
          <w:sz w:val="20"/>
          <w:szCs w:val="20"/>
          <w:color w:val="auto"/>
        </w:rPr>
      </w:pPr>
    </w:p>
    <w:p>
      <w:pPr>
        <w:ind w:left="560" w:right="20"/>
        <w:spacing w:after="0" w:line="287" w:lineRule="auto"/>
        <w:rPr>
          <w:sz w:val="20"/>
          <w:szCs w:val="20"/>
          <w:color w:val="auto"/>
        </w:rPr>
      </w:pPr>
      <w:r>
        <w:rPr>
          <w:rFonts w:ascii="Arial" w:cs="Arial" w:eastAsia="Arial" w:hAnsi="Arial"/>
          <w:sz w:val="16"/>
          <w:szCs w:val="16"/>
          <w:color w:val="auto"/>
        </w:rPr>
        <w:t>On October 17, 2001, the Company issued $200 million aggregate principal amount of convertible senior subordinated notes (“Notes”) in a private placement for proceeds to the Company, after deducting the initial purchasers’ discount and before out-of-pocket expenses, of $193.4 million. The Notes bear interest at 5.5% per annum, payable semi-annually, and mature on October 17, 2008. The Notes are convertible into shares of the Company’s Common Stock at a conversion price of approximately $30.25 per share, subject to adjustment in certain circumstances. Regeneron may redeem the Notes, in whole or in part, at any time before October 17, 2004 if the closing price of the Company’s Common Stock has exceeded 150% of the conversion price then in effect for a specified period of time (“Early Redemption”). Upon any such Early Redemption, the Company is required to pay interest that would have been due up through October 17, 2004. Regeneron may also redeem some or all of the Notes at any time on or after October 17, 2004 if the closing price of the Company’s Common Stock has exceeded 140% of the conversion price then in effect for a specified period of time. The Company pledged $31.6 million of U.S. government securities which will be sufficient upon receipt of scheduled principal and interest payments to provide for the payment in full of the first six scheduled interest payments on the Notes when due.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220" w:firstLine="395"/>
        <w:spacing w:after="0" w:line="29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i w:val="1"/>
          <w:iCs w:val="1"/>
          <w:color w:val="auto"/>
        </w:rPr>
        <w:t>The discussion below contains forward-looking statements that involve risks and uncertainties relating to the future financial performance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and nature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3" w:lineRule="exact"/>
        <w:rPr>
          <w:sz w:val="20"/>
          <w:szCs w:val="20"/>
          <w:color w:val="auto"/>
        </w:rPr>
      </w:pPr>
    </w:p>
    <w:p>
      <w:pPr>
        <w:ind w:right="20" w:firstLine="395"/>
        <w:spacing w:after="0" w:line="298" w:lineRule="auto"/>
        <w:rPr>
          <w:sz w:val="20"/>
          <w:szCs w:val="20"/>
          <w:color w:val="auto"/>
        </w:rPr>
      </w:pPr>
      <w:r>
        <w:rPr>
          <w:rFonts w:ascii="Arial" w:cs="Arial" w:eastAsia="Arial" w:hAnsi="Arial"/>
          <w:sz w:val="16"/>
          <w:szCs w:val="16"/>
          <w:color w:val="auto"/>
        </w:rPr>
        <w:t>Regeneron Pharmaceuticals, Inc., which may be referred to as “we”, “us”, or “our”, is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167"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74"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120" w:hanging="451"/>
        <w:spacing w:after="0" w:line="29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we announced the preliminary results of a twelve-week Phase II dose-ranging trial of AXOKINE in 170 severely obese patients. In the trial, AXOKINE was generally well tolerated and was not associated with any reported serious adverse effects. Patients treated with AXOKINE showed medically meaningful and statistically significant weight loss compared to those receiving placebo. In September 2001, we reported that patients who completed 36 weeks of follow-up after cessation of treatment, on average, maintained the weight loss observed in the twelve-week treatment period. We initiated a Phase III clinical program testing AXOKINE in overweight and obese patients in July 2001. The initial study will enroll approximately 2,000 patients in over 60 sites across the United States.</w:t>
      </w:r>
    </w:p>
    <w:p>
      <w:pPr>
        <w:spacing w:after="0" w:line="167" w:lineRule="exact"/>
        <w:rPr>
          <w:rFonts w:ascii="Arial" w:cs="Arial" w:eastAsia="Arial" w:hAnsi="Arial"/>
          <w:sz w:val="16"/>
          <w:szCs w:val="16"/>
          <w:color w:val="auto"/>
        </w:rPr>
      </w:pPr>
    </w:p>
    <w:p>
      <w:pPr>
        <w:ind w:left="1040" w:right="160" w:hanging="451"/>
        <w:spacing w:after="0" w:line="262"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PEGYLATED AXOKINE: </w:t>
      </w:r>
      <w:r>
        <w:rPr>
          <w:rFonts w:ascii="Arial" w:cs="Arial" w:eastAsia="Arial" w:hAnsi="Arial"/>
          <w:sz w:val="18"/>
          <w:szCs w:val="18"/>
          <w:color w:val="auto"/>
        </w:rPr>
        <w:t>Chemically modified version of AXOKINE that is being developed as a more potent, longer-acting form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protein. Pegylated AXOKINE currently is in late-stage preclinical development and we anticipate initiating a Phase I clinical trial in the first half of 2002.</w:t>
      </w:r>
    </w:p>
    <w:p>
      <w:pPr>
        <w:spacing w:after="0" w:line="186" w:lineRule="exact"/>
        <w:rPr>
          <w:rFonts w:ascii="Arial" w:cs="Arial" w:eastAsia="Arial" w:hAnsi="Arial"/>
          <w:sz w:val="18"/>
          <w:szCs w:val="18"/>
          <w:color w:val="auto"/>
        </w:rPr>
      </w:pPr>
    </w:p>
    <w:p>
      <w:pPr>
        <w:ind w:left="1040" w:hanging="451"/>
        <w:spacing w:after="0" w:line="258"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CYTOKINE TRAP (IL-1 Trap): </w:t>
      </w:r>
      <w:r>
        <w:rPr>
          <w:rFonts w:ascii="Arial" w:cs="Arial" w:eastAsia="Arial" w:hAnsi="Arial"/>
          <w:sz w:val="18"/>
          <w:szCs w:val="18"/>
          <w:color w:val="auto"/>
        </w:rPr>
        <w:t>Protein-based antagonist for the interleukin-1 (called IL-1) cytokine. IL-1 is thought to play</w:t>
      </w:r>
      <w:r>
        <w:rPr>
          <w:rFonts w:ascii="Arial" w:cs="Arial" w:eastAsia="Arial" w:hAnsi="Arial"/>
          <w:sz w:val="18"/>
          <w:szCs w:val="18"/>
          <w:b w:val="1"/>
          <w:bCs w:val="1"/>
          <w:color w:val="auto"/>
        </w:rPr>
        <w:t xml:space="preserve"> </w:t>
      </w:r>
      <w:r>
        <w:rPr>
          <w:rFonts w:ascii="Arial" w:cs="Arial" w:eastAsia="Arial" w:hAnsi="Arial"/>
          <w:sz w:val="18"/>
          <w:szCs w:val="18"/>
          <w:color w:val="auto"/>
        </w:rPr>
        <w:t>a major role in rheumatoid arthritis and other inflammatory diseases. In December 2000, we initiated a Phase I study to assess the safety and tolerability of the IL-1 Trap in patients with rheumatoid arthritis. We expect the study to be completed in the fourth quarter of 2001 and to begin a Phase II study in the first half of 2002.</w:t>
      </w:r>
    </w:p>
    <w:p>
      <w:pPr>
        <w:spacing w:after="0" w:line="190" w:lineRule="exact"/>
        <w:rPr>
          <w:rFonts w:ascii="Arial" w:cs="Arial" w:eastAsia="Arial" w:hAnsi="Arial"/>
          <w:sz w:val="18"/>
          <w:szCs w:val="18"/>
          <w:color w:val="auto"/>
        </w:rPr>
      </w:pPr>
    </w:p>
    <w:p>
      <w:pPr>
        <w:jc w:val="both"/>
        <w:ind w:left="1040" w:right="80" w:hanging="451"/>
        <w:spacing w:after="0" w:line="310"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INTERLEUKIN-4/INTERLEUKIN-13 CYTOKINE TRAP (IL-4/IL-13 Trap): </w:t>
      </w:r>
      <w:r>
        <w:rPr>
          <w:rFonts w:ascii="Arial" w:cs="Arial" w:eastAsia="Arial" w:hAnsi="Arial"/>
          <w:sz w:val="16"/>
          <w:szCs w:val="16"/>
          <w:color w:val="auto"/>
        </w:rPr>
        <w:t>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 related conditions in the first half of 2002.</w:t>
      </w:r>
    </w:p>
    <w:p>
      <w:pPr>
        <w:spacing w:after="0" w:line="151" w:lineRule="exact"/>
        <w:rPr>
          <w:rFonts w:ascii="Arial" w:cs="Arial" w:eastAsia="Arial" w:hAnsi="Arial"/>
          <w:sz w:val="16"/>
          <w:szCs w:val="16"/>
          <w:color w:val="auto"/>
        </w:rPr>
      </w:pPr>
    </w:p>
    <w:p>
      <w:pPr>
        <w:ind w:left="1040" w:right="160" w:hanging="451"/>
        <w:spacing w:after="0" w:line="310"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VEGF TRAP: </w:t>
      </w:r>
      <w:r>
        <w:rPr>
          <w:rFonts w:ascii="Arial" w:cs="Arial" w:eastAsia="Arial" w:hAnsi="Arial"/>
          <w:sz w:val="16"/>
          <w:szCs w:val="16"/>
          <w:color w:val="auto"/>
        </w:rPr>
        <w:t>Protein-based antagonist to Vascular Endothelial Growth Factor (called VEGF, also known as Vascular Permeability Factor or</w:t>
      </w:r>
      <w:r>
        <w:rPr>
          <w:rFonts w:ascii="Arial" w:cs="Arial" w:eastAsia="Arial" w:hAnsi="Arial"/>
          <w:sz w:val="16"/>
          <w:szCs w:val="16"/>
          <w:b w:val="1"/>
          <w:bCs w:val="1"/>
          <w:color w:val="auto"/>
        </w:rPr>
        <w:t xml:space="preserve"> </w:t>
      </w:r>
      <w:r>
        <w:rPr>
          <w:rFonts w:ascii="Arial" w:cs="Arial" w:eastAsia="Arial" w:hAnsi="Arial"/>
          <w:sz w:val="16"/>
          <w:szCs w:val="16"/>
          <w:color w:val="auto"/>
        </w:rPr>
        <w:t>VPF). VEGF is required for the growth of blood vessels that are needed for tumors to grow and is a potent regulator of vascular permeability and leak. The VEGF Trap is expected to enter Phase I clinical trials in the first quarter of 2002.</w:t>
      </w:r>
    </w:p>
    <w:p>
      <w:pPr>
        <w:spacing w:after="0" w:line="151" w:lineRule="exact"/>
        <w:rPr>
          <w:rFonts w:ascii="Arial" w:cs="Arial" w:eastAsia="Arial" w:hAnsi="Arial"/>
          <w:sz w:val="16"/>
          <w:szCs w:val="16"/>
          <w:color w:val="auto"/>
        </w:rPr>
      </w:pPr>
    </w:p>
    <w:p>
      <w:pPr>
        <w:ind w:left="1040" w:right="160" w:hanging="451"/>
        <w:spacing w:after="0" w:line="30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ANGIOPOIETINS: </w:t>
      </w:r>
      <w:r>
        <w:rPr>
          <w:rFonts w:ascii="Arial" w:cs="Arial" w:eastAsia="Arial" w:hAnsi="Arial"/>
          <w:sz w:val="16"/>
          <w:szCs w:val="16"/>
          <w:color w:val="auto"/>
        </w:rPr>
        <w:t>A new family of growth factors that act specifically on the endothelium cells that line blood vessels. Angiopoietins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In all of these research collaborations, we retain 50% of the commercialization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Third Quarter 2001 Activities</w:t>
      </w:r>
    </w:p>
    <w:p>
      <w:pPr>
        <w:spacing w:after="0" w:line="225" w:lineRule="exact"/>
        <w:rPr>
          <w:sz w:val="20"/>
          <w:szCs w:val="20"/>
          <w:color w:val="auto"/>
        </w:rPr>
      </w:pPr>
    </w:p>
    <w:p>
      <w:pPr>
        <w:ind w:right="80" w:firstLine="395"/>
        <w:spacing w:after="0" w:line="290" w:lineRule="auto"/>
        <w:rPr>
          <w:sz w:val="20"/>
          <w:szCs w:val="20"/>
          <w:color w:val="auto"/>
        </w:rPr>
      </w:pPr>
      <w:r>
        <w:rPr>
          <w:rFonts w:ascii="Arial" w:cs="Arial" w:eastAsia="Arial" w:hAnsi="Arial"/>
          <w:sz w:val="16"/>
          <w:szCs w:val="16"/>
          <w:color w:val="auto"/>
        </w:rPr>
        <w:t>In November 2000, we announced the preliminary results of a Phase II clinical trial, which tested the safety and efficacy of AXOKINE in severely obese patients. The Phase II trial was a randomized, double-blind, placebo-controlled, out-patient study conducted with 170 patients at seven sites in the United States. The trial established an optimal daily dose of AXOKINE of 1.0 mcg/kg. Patients who received the optimal dose over the twelve-week treatment period averaged 10 pounds more weight loss than patients on placebo. Moreover, 46% of the patients in the optimal dose group lost at least 10 pounds, compared with just 5% of the patients who received placebo. No serious adverse events associated with the drug were reported during the trial and the drug was generally well tolerated. In September 2001, we reported that patients who completed 36 weeks of follow-up after cessation of treatment, on average, maintained the weight loss observed in the twelve-week treatment period.</w:t>
      </w:r>
    </w:p>
    <w:p>
      <w:pPr>
        <w:spacing w:after="0" w:line="172" w:lineRule="exact"/>
        <w:rPr>
          <w:sz w:val="20"/>
          <w:szCs w:val="20"/>
          <w:color w:val="auto"/>
        </w:rPr>
      </w:pPr>
    </w:p>
    <w:p>
      <w:pPr>
        <w:ind w:firstLine="395"/>
        <w:spacing w:after="0" w:line="253" w:lineRule="auto"/>
        <w:rPr>
          <w:sz w:val="20"/>
          <w:szCs w:val="20"/>
          <w:color w:val="auto"/>
        </w:rPr>
      </w:pPr>
      <w:r>
        <w:rPr>
          <w:rFonts w:ascii="Arial" w:cs="Arial" w:eastAsia="Arial" w:hAnsi="Arial"/>
          <w:sz w:val="18"/>
          <w:szCs w:val="18"/>
          <w:color w:val="auto"/>
        </w:rPr>
        <w:t>In July 2001, we initiated a Phase III clinical program of AXOKINE in overweight and obese patients. The initial pivotal trial will enroll approximately 2,000 patients at over 60 study sites across the United States in a double-blind, randomized, placebo-controlled study. This trial will have a twelve-month treatment period, in which patients will receive daily subcutaneous self-injections of placebo or AXOKINE at a dose of 1.0 microgram (mcg) per kilogram (kg) of body weight. The treatment period will be followed by a twelve-month open-label safety extension phase, during which all patients will receive AXOKINE. Endpoints of the study are based on changes in body weight versus baseline during the treatment period. As part of the overall Phase III program, Regeneron will conduct additional confirmatory and ancillary studies of AXOKINE in obese and obese diabetic patients. These studies will vary in duration and size and are planned to be completed within the same time frame as the initial pivotal study described above. The Phase III program is expected to enroll over 4,000 subjects in total.</w:t>
      </w:r>
    </w:p>
    <w:p>
      <w:pPr>
        <w:spacing w:after="0" w:line="199" w:lineRule="exact"/>
        <w:rPr>
          <w:sz w:val="20"/>
          <w:szCs w:val="20"/>
          <w:color w:val="auto"/>
        </w:rPr>
      </w:pPr>
    </w:p>
    <w:p>
      <w:pPr>
        <w:ind w:right="100" w:firstLine="385"/>
        <w:spacing w:after="0" w:line="256" w:lineRule="auto"/>
        <w:rPr>
          <w:sz w:val="20"/>
          <w:szCs w:val="20"/>
          <w:color w:val="auto"/>
        </w:rPr>
      </w:pPr>
      <w:r>
        <w:rPr>
          <w:rFonts w:ascii="Arial" w:cs="Arial" w:eastAsia="Arial" w:hAnsi="Arial"/>
          <w:sz w:val="18"/>
          <w:szCs w:val="18"/>
          <w:color w:val="auto"/>
        </w:rPr>
        <w:t>Amgen-Regeneron Partners, the partnership equally owned by Amgen Inc. and us, has the development rights to NT-3 in the United States. In 2000, we, on behalf of Amgen-Regeneron Partners initiated Phase II studies of NT-3 in patients with functional constipation and spinal cord injury patients with bowel dysfunction. We are currently evaluating preliminary data from these studies, and based in part on this data Amgen-Regeneron Partners will determine whether and how to proceed with the development of NT-3.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Regeneron’s Board of Directors approved amendments to our insider trading policy permitting officers, directors and employees to enter into written trading plans complying with Rule 10b5-1 adopted by the Securities and Exchange Commission. Each Rule 10b5-1 trading plan may provide for purchases and sales of our securities subject to certain pre-specified conditions.</w:t>
      </w:r>
    </w:p>
    <w:p>
      <w:pPr>
        <w:spacing w:after="0" w:line="194" w:lineRule="exact"/>
        <w:rPr>
          <w:sz w:val="20"/>
          <w:szCs w:val="20"/>
          <w:color w:val="auto"/>
        </w:rPr>
      </w:pPr>
    </w:p>
    <w:p>
      <w:pPr>
        <w:ind w:firstLine="385"/>
        <w:spacing w:after="0" w:line="287" w:lineRule="auto"/>
        <w:rPr>
          <w:sz w:val="20"/>
          <w:szCs w:val="20"/>
          <w:color w:val="auto"/>
        </w:rPr>
      </w:pPr>
      <w:r>
        <w:rPr>
          <w:rFonts w:ascii="Arial" w:cs="Arial" w:eastAsia="Arial" w:hAnsi="Arial"/>
          <w:sz w:val="16"/>
          <w:szCs w:val="16"/>
          <w:color w:val="auto"/>
        </w:rPr>
        <w:t>A minority of all research and development programs ultimately results in commercially successful pharmaceutical drugs;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NT-3,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Trap, or NT-3,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 We discuss the risks associated with pharmaceutical drug development in the section of this report titled “Factors That May Affect Future Operating Results.”</w:t>
      </w:r>
    </w:p>
    <w:p>
      <w:pPr>
        <w:spacing w:after="0" w:line="177" w:lineRule="exact"/>
        <w:rPr>
          <w:sz w:val="20"/>
          <w:szCs w:val="20"/>
          <w:color w:val="auto"/>
        </w:rPr>
      </w:pPr>
    </w:p>
    <w:p>
      <w:pPr>
        <w:ind w:right="320" w:firstLine="392"/>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97"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From inception on January 8, 1988 through September 30, 2001, we had a cumulative loss of $271.3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95"/>
        <w:spacing w:after="0" w:line="288" w:lineRule="auto"/>
        <w:rPr>
          <w:sz w:val="20"/>
          <w:szCs w:val="20"/>
          <w:color w:val="auto"/>
        </w:rPr>
      </w:pPr>
      <w:r>
        <w:rPr>
          <w:rFonts w:ascii="Arial" w:cs="Arial" w:eastAsia="Arial" w:hAnsi="Arial"/>
          <w:sz w:val="16"/>
          <w:szCs w:val="16"/>
          <w:i w:val="1"/>
          <w:iCs w:val="1"/>
          <w:color w:val="auto"/>
        </w:rPr>
        <w:t xml:space="preserve">Three months ended September 30, 2001 and 2000. </w:t>
      </w:r>
      <w:r>
        <w:rPr>
          <w:rFonts w:ascii="Arial" w:cs="Arial" w:eastAsia="Arial" w:hAnsi="Arial"/>
          <w:sz w:val="16"/>
          <w:szCs w:val="16"/>
          <w:color w:val="auto"/>
        </w:rPr>
        <w:t>Our total revenue decreased to $5.5 million for the third quarter of 2001 from $15.0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2000. Contract research and development revenue decreased to $2.8 million in the third quarter of 2001 from $8.9 million for the same period in 2000. Under our long-term collaboration agreement with Procter &amp; Gamble, research payments decreased effective in the first quarter of 2001 to $2.5 million per quarter versus $6.8 million for the same period of 2000. In addition, revenue from Amgen-Regeneron Partners decreased to $0.2 million for the third quarter of 2001 from $1.7 million for the same period in 2000 due to the cessation of clinical trial activity on brain derived neurotrophic factor, or BDNF, in January 2001 and the substantial completion of our Phase II studies of NT-3. In the third quarter of 2000, we received two non-recurring research progress payments totaling $3.5 million from Procter &amp; Gamble related to our long-term collaboration agreement. Contract manufacturing revenue, related primarily to a long-term agreement with Merck &amp; Co., Inc. (Merck) to manufacture a vaccine intermediate, was $2.7 million and $2.6 million for the third quarters of 2001 and 2000, respectively.</w:t>
      </w:r>
    </w:p>
    <w:p>
      <w:pPr>
        <w:spacing w:after="0" w:line="174" w:lineRule="exact"/>
        <w:rPr>
          <w:sz w:val="20"/>
          <w:szCs w:val="20"/>
          <w:color w:val="auto"/>
        </w:rPr>
      </w:pPr>
    </w:p>
    <w:p>
      <w:pPr>
        <w:ind w:firstLine="395"/>
        <w:spacing w:after="0" w:line="288" w:lineRule="auto"/>
        <w:rPr>
          <w:sz w:val="20"/>
          <w:szCs w:val="20"/>
          <w:color w:val="auto"/>
        </w:rPr>
      </w:pPr>
      <w:r>
        <w:rPr>
          <w:rFonts w:ascii="Arial" w:cs="Arial" w:eastAsia="Arial" w:hAnsi="Arial"/>
          <w:sz w:val="16"/>
          <w:szCs w:val="16"/>
          <w:color w:val="auto"/>
        </w:rPr>
        <w:t>Our total operating expenses increased to $28.8 million in the third quarter of 2001 from $19.5 million for the same period in 2000. Research and development expenses increased to $25.0 million in the third quarter of 2001 from $15.2 million for the same period in 2000, primarily as a result of higher staffing and increased activity in our preclinical and clinical development programs. For example, in July 2001, we initiated a Phase III clinical program of AXOKINE for the treatment of obesity. Research and development expenses were 87% of total operating expenses in the third quarter of 2001, compared to 78% for the same period in 2000. Contract manufacturing expenses decreased to $1.3 million in the third quarter of 2001 from $2.5 million for the same period in 2000, due primarily to higher costs in 2000 associated with initiating commercial production at our Rensselaer, New York facility of both vaccine intermediate for Merck and BDNF for clinical use by Sumitomo Pharmaceuticals Co., Ltd. We stopped producing clinical supplies of BDNF for Sumitomo Pharmaceuticals at the end of 2000. General and administrative expenses increased to $2.5 million in the third quarter of 2001 from $1.8 million for the same period of 2000, due primarily to higher administrative staffing and related occupancy costs.</w:t>
      </w:r>
    </w:p>
    <w:p>
      <w:pPr>
        <w:spacing w:after="0" w:line="174" w:lineRule="exact"/>
        <w:rPr>
          <w:sz w:val="20"/>
          <w:szCs w:val="20"/>
          <w:color w:val="auto"/>
        </w:rPr>
      </w:pPr>
    </w:p>
    <w:p>
      <w:pPr>
        <w:ind w:right="60" w:firstLine="395"/>
        <w:spacing w:after="0" w:line="255" w:lineRule="auto"/>
        <w:rPr>
          <w:sz w:val="20"/>
          <w:szCs w:val="20"/>
          <w:color w:val="auto"/>
        </w:rPr>
      </w:pPr>
      <w:r>
        <w:rPr>
          <w:rFonts w:ascii="Arial" w:cs="Arial" w:eastAsia="Arial" w:hAnsi="Arial"/>
          <w:sz w:val="18"/>
          <w:szCs w:val="18"/>
          <w:color w:val="auto"/>
        </w:rPr>
        <w:t>Investment income increased to $3.2 million for the third quarter of 2001 from $2.5 million for the same period in 2000 due primarily to interest earned on the proceeds of our public offering in March 2001. We earned $0.2 million from Amgen-Regeneron Partners for the third quarter of 2001 compared to a loss of $1.1 million for the same period in 2000. The partnership discontinued clinical trial activity on BDNF in January 2001 and has substantially completed Phase II studies of NT-3. The partnership’s third quarter 2001 net income is attributable to a $0.8 million reduction of previously estimated costs to wind-down the BDNF clinical study.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395"/>
        <w:spacing w:after="0" w:line="268" w:lineRule="auto"/>
        <w:rPr>
          <w:sz w:val="20"/>
          <w:szCs w:val="20"/>
          <w:color w:val="auto"/>
        </w:rPr>
      </w:pPr>
      <w:r>
        <w:rPr>
          <w:rFonts w:ascii="Arial" w:cs="Arial" w:eastAsia="Arial" w:hAnsi="Arial"/>
          <w:sz w:val="18"/>
          <w:szCs w:val="18"/>
          <w:color w:val="auto"/>
        </w:rPr>
        <w:t>Our net loss for the third quarter of 2001 was $19.9 million, or $0.46 per share (basic and diluted), compared with a net loss of $3.1 million, or $0.09 per share (basic and diluted), for the same period in 2000.</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Nine months ended September 30, 2001 and 2000. </w:t>
      </w:r>
      <w:r>
        <w:rPr>
          <w:rFonts w:ascii="Arial" w:cs="Arial" w:eastAsia="Arial" w:hAnsi="Arial"/>
          <w:sz w:val="16"/>
          <w:szCs w:val="16"/>
          <w:color w:val="auto"/>
        </w:rPr>
        <w:t>Our total revenue decreased to $17.6 million for the nine months ended September 30, 2001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$40.1 million for the same period in 2000, as higher contract manufacturing revenue was more than offset by decreases in contract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 and research progress payments. Contract research and development revenue decreased to $9.4 million for the nine months ended September 30, 2001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from $27.3 million for the same period in 2000. Under our long-term collaboration agreement with Procter &amp; Gamble, research payments decreased effective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2001 to $2.5 million per quarter from $7.1 million per quarter for the first two quarters of 2000 and $6.8 million for the third quarter of 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revenue from Amgen-Regeneron Partners decreased to $1.3 million for the nine months ended September 30, 2001 from $5.0 million for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2000, due primarily to the cessation of clinical trial activity on BDNF in January 2001. In the first nine months of 2000, research progress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consisted of two non-recurring payments totaling $3.5 million from Procter &amp; Gamble related to our long-term collaboration agreement and a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million (reduced by $0.3 million of Japanese withholding tax) from Sumitomo Pharmaceuticals related to the development of BDNF in Japan.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manufacturing revenue, related primarily to our long-term agreement with Merck to manufacture a vaccine intermediate, increased to $8.2 million in the first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2001 from $6.6 million for the same period in 2000, due to an increase in the revenue we received per shipment of intermediate to Merck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nine months of 2001.</w:t>
      </w:r>
    </w:p>
    <w:p>
      <w:pPr>
        <w:spacing w:after="0" w:line="219"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Our total operating expenses increased to $73.7 million for the nine months ended September 30, 2001 from $55.6 million for the same period in 2000. Research and development expenses increased to $61.4 million in the first nine months of 2001 from $43.5 million for the same period in 2000, primarily as a result of higher staffing and increased activity in our preclinical and clinical development programs. Research and development expenses were 83% of total operating expenses for the first nine months of 2001, compared to 78% for the same period in 2000. Contract manufacturing expenses decreased to $5.3 million in the first nine months of 2001 from $6.8 million for the same period in 2000 due, in part, to higher costs in 2000 associated with initiating commercial production at our Rensselaer, New York facility of both vaccine intermediate for Merck and BDNF for clinical use by Sumitomo Pharmaceuticals. We stopped producing clinical supplies of BDNF for Sumitomo Pharmaceuticals at the end of 2000. General and administrative expenses increased to $6.9 million in the first nine months of 2001 from $5.3 million for the same period of 2000, due primarily to higher administrative staffing and related occupancy costs.</w:t>
      </w:r>
    </w:p>
    <w:p>
      <w:pPr>
        <w:spacing w:after="0" w:line="172" w:lineRule="exact"/>
        <w:rPr>
          <w:sz w:val="20"/>
          <w:szCs w:val="20"/>
          <w:color w:val="auto"/>
        </w:rPr>
      </w:pPr>
    </w:p>
    <w:p>
      <w:pPr>
        <w:jc w:val="both"/>
        <w:ind w:right="240" w:firstLine="395"/>
        <w:spacing w:after="0" w:line="259" w:lineRule="auto"/>
        <w:rPr>
          <w:sz w:val="20"/>
          <w:szCs w:val="20"/>
          <w:color w:val="auto"/>
        </w:rPr>
      </w:pPr>
      <w:r>
        <w:rPr>
          <w:rFonts w:ascii="Arial" w:cs="Arial" w:eastAsia="Arial" w:hAnsi="Arial"/>
          <w:sz w:val="18"/>
          <w:szCs w:val="18"/>
          <w:color w:val="auto"/>
        </w:rPr>
        <w:t>Investment income increased to $9.5 million for the nine months ended September 30, 2001 from $6.0 million for the same period in 2000 due to interest earned on the proceeds of our public offerings in March 2001 and April 2000 and our sale of Common Stock to Procter &amp; Gamble in August 2000. The loss in Amgen-Regeneron Partners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decreased to $1.1 million for the first nine months of 2001 from $3.5 million for the same period in 2000 due primarily to the cessation of clinical trial activity on BDNF in January 2001.</w:t>
      </w:r>
    </w:p>
    <w:p>
      <w:pPr>
        <w:spacing w:after="0" w:line="186" w:lineRule="exact"/>
        <w:rPr>
          <w:sz w:val="20"/>
          <w:szCs w:val="20"/>
          <w:color w:val="auto"/>
        </w:rPr>
      </w:pPr>
    </w:p>
    <w:p>
      <w:pPr>
        <w:ind w:right="20" w:firstLine="395"/>
        <w:spacing w:after="0" w:line="289" w:lineRule="auto"/>
        <w:rPr>
          <w:sz w:val="20"/>
          <w:szCs w:val="20"/>
          <w:color w:val="auto"/>
        </w:rPr>
      </w:pPr>
      <w:r>
        <w:rPr>
          <w:rFonts w:ascii="Arial" w:cs="Arial" w:eastAsia="Arial" w:hAnsi="Arial"/>
          <w:sz w:val="16"/>
          <w:szCs w:val="16"/>
          <w:color w:val="auto"/>
        </w:rPr>
        <w:t xml:space="preserve">During the fourth quarter of 2000, we changed our method of accounting for revenue recognition to conform with the guidance provided by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(SAB 101). The change in accounting method was effective January 1, 2000 and, as a result, we restated the previously issued interim financial statements for the nine months ended September 30, 2000 to reflect the adoption of SAB 101 as if it had occurred on January 1, 2000. The cumulative effect of adopting SAB 101 as of January 1, 2000 was to increase our net loss by $1.6 million as of that date, or $0.05 per share, with a corresponding increase to deferred revenue to be recognized in subsequent periods. The SAB 101 adjustment relates to a portion of a 1989 payment received from Sumitomo Chemical Company, Ltd. in consideration for a fifteen year limited right of first negotiation to license up to three of our product candidates in Japan. In the first nine months of both 2001 and 2000, we recognized contract research and development revenue of $0.3 million that was included in the cumulative effect adjustment as of January 1, 2000.</w:t>
      </w:r>
    </w:p>
    <w:p>
      <w:pPr>
        <w:spacing w:after="0" w:line="172" w:lineRule="exact"/>
        <w:rPr>
          <w:sz w:val="20"/>
          <w:szCs w:val="20"/>
          <w:color w:val="auto"/>
        </w:rPr>
      </w:pPr>
    </w:p>
    <w:p>
      <w:pPr>
        <w:ind w:right="780" w:firstLine="395"/>
        <w:spacing w:after="0" w:line="268" w:lineRule="auto"/>
        <w:rPr>
          <w:sz w:val="20"/>
          <w:szCs w:val="20"/>
          <w:color w:val="auto"/>
        </w:rPr>
      </w:pPr>
      <w:r>
        <w:rPr>
          <w:rFonts w:ascii="Arial" w:cs="Arial" w:eastAsia="Arial" w:hAnsi="Arial"/>
          <w:sz w:val="18"/>
          <w:szCs w:val="18"/>
          <w:color w:val="auto"/>
        </w:rPr>
        <w:t>Our net loss for the nine months ended September 30, 2001 was $47.8 million, or $1.15 per share (basic and diluted), compared with a net loss of $14.8 million, or $0.43 per share (basic and diluted), for the same period in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20" w:firstLine="395"/>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private placements and public offerings of our equity securities, a private placement of convertible debt, revenue earned under our agreements with Amgen, Sumitomo Chemical, Sumitomo Pharmaceuticals, Merck, and Procter &amp; Gamble, and investment income.</w:t>
      </w:r>
    </w:p>
    <w:p>
      <w:pPr>
        <w:spacing w:after="0" w:line="194"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In May 1997, we entered into a long-term collaboration agreement with Procter and Gamble. Procter &amp; Gamble agreed over the first five years of the 1997 collaboration to purchase up to $60.0 million in Regeneron equity, of which $42.9 million was purchased in June 1997 and $17.1 million was purchased in August 2000, and provide funding in support of our research efforts related to the collaboration, of which we have received $56.6 million through September 30, 2001. In August 2000, Procter &amp; Gamble made two non-recurring research progress payments to us totaling $3.5 million. Effective December 31, 2000, we and Procter &amp; Gamble entered into a new long-term collaboration agreement, replacing the companies’ 1997 agreement. The new agreement extends Procter &amp; Gamble’s obligation to fund Regeneron’s research through December 2005, with no further research obligations by either party thereafter, and focuses the companies’ collaborative research on therapeutic areas that are of particular interest to Procter &amp; Gamble. Under the new agreement, beginning in the first quarter of 2001, research support from Procter &amp; Gamble is $2.5 million per quarter, before adjustments for future inflation, through December 2005.</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395"/>
        <w:spacing w:after="0" w:line="290" w:lineRule="auto"/>
        <w:rPr>
          <w:sz w:val="20"/>
          <w:szCs w:val="20"/>
          <w:color w:val="auto"/>
        </w:rPr>
      </w:pPr>
      <w:r>
        <w:rPr>
          <w:rFonts w:ascii="Arial" w:cs="Arial" w:eastAsia="Arial" w:hAnsi="Arial"/>
          <w:sz w:val="16"/>
          <w:szCs w:val="16"/>
          <w:color w:val="auto"/>
        </w:rPr>
        <w:t>Our activities relating to BDNF and NT-3, as agreed upon by Amgen and us, are being compensated by Amgen-Regeneron Partners for services rendered, and we recognize these amounts as revenue. In January 2001, Amgen-Regeneron Partners discontinued all development of BDNF for the potential treatment of amyotrophic lateral sclerosis, or ALS. We and Amgen fund Amgen-Regeneron Partners through capital contributions, and must make equal payments in order to maintain equal ownership and equal sharing of any profits or losses from the partnership. Our aggregate capital contribution to Amgen-Regeneron Partners from the partnership’s inception in June 1993 through September 30, 2001 was $57.9 million. For the remainder of 2001, no capital contributions to the partnership are expected, but additional contributions may be required, depending upon, among other things, whether and how Amgen-Regeneron Partners proceeds with the development of NT-3.</w:t>
      </w:r>
    </w:p>
    <w:p>
      <w:pPr>
        <w:spacing w:after="0" w:line="172" w:lineRule="exact"/>
        <w:rPr>
          <w:sz w:val="20"/>
          <w:szCs w:val="20"/>
          <w:color w:val="auto"/>
        </w:rPr>
      </w:pPr>
    </w:p>
    <w:p>
      <w:pPr>
        <w:ind w:right="20" w:firstLine="395"/>
        <w:spacing w:after="0" w:line="294" w:lineRule="auto"/>
        <w:rPr>
          <w:sz w:val="20"/>
          <w:szCs w:val="20"/>
          <w:color w:val="auto"/>
        </w:rPr>
      </w:pPr>
      <w:r>
        <w:rPr>
          <w:rFonts w:ascii="Arial" w:cs="Arial" w:eastAsia="Arial" w:hAnsi="Arial"/>
          <w:sz w:val="16"/>
          <w:szCs w:val="16"/>
          <w:color w:val="auto"/>
        </w:rPr>
        <w:t>In connection with our agreement to collaborate with Sumitomo Pharmaceuticals in the research and development of BDNF in Japan, we received a research progress payment from Sumitomo Pharmaceuticals of $3.0 million (reduced by $0.3 million Japanese withholding tax) in April 2000. In addition, Sumitomo Pharmaceuticals has paid us $32.0 million through September 30, 2001 in connection with supplying BDNF for preclinical and clinical use. In light of the discontinuation of BDNF development for ALS, we do not expect to receive further payments from Sumitomo Pharmaceuticals for research progress payments, contract research and development, or contract manufacturing, other than any wind-down costs.</w:t>
      </w:r>
    </w:p>
    <w:p>
      <w:pPr>
        <w:spacing w:after="0" w:line="170" w:lineRule="exact"/>
        <w:rPr>
          <w:sz w:val="20"/>
          <w:szCs w:val="20"/>
          <w:color w:val="auto"/>
        </w:rPr>
      </w:pPr>
    </w:p>
    <w:p>
      <w:pPr>
        <w:ind w:right="180" w:firstLine="395"/>
        <w:spacing w:after="0" w:line="259" w:lineRule="auto"/>
        <w:rPr>
          <w:sz w:val="20"/>
          <w:szCs w:val="20"/>
          <w:color w:val="auto"/>
        </w:rPr>
      </w:pPr>
      <w:r>
        <w:rPr>
          <w:rFonts w:ascii="Arial" w:cs="Arial" w:eastAsia="Arial" w:hAnsi="Arial"/>
          <w:sz w:val="18"/>
          <w:szCs w:val="18"/>
          <w:color w:val="auto"/>
        </w:rPr>
        <w:t>Our additions to property, plant, and equipment totaled $5.6 million for both the nine months ended September 30, 2001 and 2000. In connection with the purchase and renovation of our Rensselaer facility, we obtained financing of $2.0 million from the New York State Urban Development Corporation. The outstanding balance on this note of approximately $1.5 million was fully repaid in October 2001.</w:t>
      </w:r>
    </w:p>
    <w:p>
      <w:pPr>
        <w:spacing w:after="0" w:line="194" w:lineRule="exact"/>
        <w:rPr>
          <w:sz w:val="20"/>
          <w:szCs w:val="20"/>
          <w:color w:val="auto"/>
        </w:rPr>
      </w:pPr>
    </w:p>
    <w:p>
      <w:pPr>
        <w:ind w:right="60" w:firstLine="392"/>
        <w:spacing w:after="0" w:line="298" w:lineRule="auto"/>
        <w:rPr>
          <w:sz w:val="20"/>
          <w:szCs w:val="20"/>
          <w:color w:val="auto"/>
        </w:rPr>
      </w:pPr>
      <w:r>
        <w:rPr>
          <w:rFonts w:ascii="Arial" w:cs="Arial" w:eastAsia="Arial" w:hAnsi="Arial"/>
          <w:sz w:val="16"/>
          <w:szCs w:val="16"/>
          <w:color w:val="auto"/>
        </w:rPr>
        <w:t>We expect that expenses related to the filing, prosecution, defense, and enforcement of patent and other intellectual property claims will continue to be substantial as a result of patent filings and prosecutions in the United States and foreign countries. In September 2000, Immunex Corporation filed a request with the European Patent Office seeking the declaration of an Opposition regarding our European patent relating to Cytokine Traps. This is a legal challenge to the validity and scope of our patent and we may incur substantial expenses in defending the patent.</w:t>
      </w:r>
    </w:p>
    <w:p>
      <w:pPr>
        <w:spacing w:after="0" w:line="167" w:lineRule="exact"/>
        <w:rPr>
          <w:sz w:val="20"/>
          <w:szCs w:val="20"/>
          <w:color w:val="auto"/>
        </w:rPr>
      </w:pPr>
    </w:p>
    <w:p>
      <w:pPr>
        <w:ind w:right="100" w:firstLine="385"/>
        <w:spacing w:after="0" w:line="256" w:lineRule="auto"/>
        <w:rPr>
          <w:sz w:val="20"/>
          <w:szCs w:val="20"/>
          <w:color w:val="auto"/>
        </w:rPr>
      </w:pPr>
      <w:r>
        <w:rPr>
          <w:rFonts w:ascii="Arial" w:cs="Arial" w:eastAsia="Arial" w:hAnsi="Arial"/>
          <w:sz w:val="18"/>
          <w:szCs w:val="18"/>
          <w:color w:val="auto"/>
        </w:rPr>
        <w:t>At September 30, 2001, we had $268.0 million in cash, cash equivalents, and marketable securities. As of September 30, 2001,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97" w:lineRule="exact"/>
        <w:rPr>
          <w:sz w:val="20"/>
          <w:szCs w:val="20"/>
          <w:color w:val="auto"/>
        </w:rPr>
      </w:pPr>
    </w:p>
    <w:p>
      <w:pPr>
        <w:ind w:right="820" w:firstLine="395"/>
        <w:spacing w:after="0" w:line="268" w:lineRule="auto"/>
        <w:rPr>
          <w:sz w:val="20"/>
          <w:szCs w:val="20"/>
          <w:color w:val="auto"/>
        </w:rPr>
      </w:pPr>
      <w:r>
        <w:rPr>
          <w:rFonts w:ascii="Arial" w:cs="Arial" w:eastAsia="Arial" w:hAnsi="Arial"/>
          <w:sz w:val="18"/>
          <w:szCs w:val="18"/>
          <w:color w:val="auto"/>
        </w:rPr>
        <w:t>In April 2000, we completed a public offering of 2.6 million shares of Common Stock at a price of $29.75 per share and received proceeds, after commissions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expenses, of $72.9 million. In August 2000, we sold 573,630 shares of Common Stock to Procter &amp; Gamble at a price of $29.75 per share and received total proceeds of $17.1 million. The sale of stock to Procter &amp; Gamble was made pursuant to a 1997 securities purchase agreement. In March 2001, we completed a public offering in which we issued 6.5 million shares of Common Stock at a price of $25.00 per share and received proceeds, after commissions and expenses, of $153.6 million. In April 2001, we sold an additional 130,000 shares of Common Stock pursuant to the underwriters’ over-allotment option from the March 2001 public offering at a price of $25.00 per share and received proceeds, after commissions and expenses, of $3.1 million.</w:t>
      </w:r>
    </w:p>
    <w:p>
      <w:pPr>
        <w:spacing w:after="0" w:line="170" w:lineRule="exact"/>
        <w:rPr>
          <w:sz w:val="20"/>
          <w:szCs w:val="20"/>
          <w:color w:val="auto"/>
        </w:rPr>
      </w:pPr>
    </w:p>
    <w:p>
      <w:pPr>
        <w:ind w:firstLine="395"/>
        <w:spacing w:after="0" w:line="288" w:lineRule="auto"/>
        <w:rPr>
          <w:sz w:val="20"/>
          <w:szCs w:val="20"/>
          <w:color w:val="auto"/>
        </w:rPr>
      </w:pPr>
      <w:r>
        <w:rPr>
          <w:rFonts w:ascii="Arial" w:cs="Arial" w:eastAsia="Arial" w:hAnsi="Arial"/>
          <w:sz w:val="16"/>
          <w:szCs w:val="16"/>
          <w:color w:val="auto"/>
        </w:rPr>
        <w:t>In October 2001, we issued $200 million aggregate principal amount of convertible senior subordinated notes in a private placement and received proceeds, after deducting the initial purchasers’ discount and before out-of-pocket expenses, of $193.4 million. The notes bear interest at 5.5% per annum, payable semi-annually, and mature in 2008. The notes are convertible into shares of our Common Stock at a conversion price of approximately $30.25 per share, subject to adjustment in certain circumstances. We may redeem the notes, in whole or in part, at any time before October 17, 2004 if the closing price of our Common Stock has exceeded 150% of the conversion price then in effect for a specified period of time. Upon any such redemption, we are required to pay interest that would have been due up through October 17, 2004. We may also redeem some or all of the notes at any time on or after October 17, 2004 if the closing price of our Common Stock has exceeded 140% of the conversion price then in effect for a specified period of time. We pledged $31.6 million of U.S. government securities which will be sufficient upon receipt of scheduled principal and interest payments to provide for the payment in full of the first six scheduled interest payments on the notes when due.</w:t>
      </w:r>
    </w:p>
    <w:p>
      <w:pPr>
        <w:spacing w:after="0" w:line="174" w:lineRule="exact"/>
        <w:rPr>
          <w:sz w:val="20"/>
          <w:szCs w:val="20"/>
          <w:color w:val="auto"/>
        </w:rPr>
      </w:pPr>
    </w:p>
    <w:p>
      <w:pPr>
        <w:ind w:right="60" w:firstLine="392"/>
        <w:spacing w:after="0" w:line="286"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currently anticipate that for the remainder of 2001 and 2002, approximately 50-70% of our expenditures will be directed toward the preclinical and clinical development of product candidates, including AXOKINE, Pegylated AXOKINE, IL-1 Trap, IL-4/13 Trap, VEGF Trap, and the Angiopoietins; approximately 5-15% of our expenditures will be invested in expansion of our manufacturing facilities; approximately 10-30%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working capital. The amount we need to fund operations and the allocation of our resources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Technologies, Inc., and Amgen). We believe that our existing capital resources will enable us to meet operating needs through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at least 2003.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31" w:lineRule="exact"/>
        <w:rPr>
          <w:sz w:val="20"/>
          <w:szCs w:val="20"/>
          <w:color w:val="auto"/>
        </w:rPr>
      </w:pPr>
    </w:p>
    <w:p>
      <w:pPr>
        <w:ind w:firstLine="392"/>
        <w:spacing w:after="0" w:line="298" w:lineRule="auto"/>
        <w:rPr>
          <w:sz w:val="20"/>
          <w:szCs w:val="20"/>
          <w:color w:val="auto"/>
        </w:rPr>
      </w:pPr>
      <w:r>
        <w:rPr>
          <w:rFonts w:ascii="Arial" w:cs="Arial" w:eastAsia="Arial" w:hAnsi="Arial"/>
          <w:sz w:val="16"/>
          <w:szCs w:val="16"/>
          <w:color w:val="auto"/>
        </w:rPr>
        <w:t xml:space="preserve">The Financial Accounting Standards Board has recently issued Statement of Financial Accounting Standards, or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No. 143, </w:t>
      </w:r>
      <w:r>
        <w:rPr>
          <w:rFonts w:ascii="Arial" w:cs="Arial" w:eastAsia="Arial" w:hAnsi="Arial"/>
          <w:sz w:val="16"/>
          <w:szCs w:val="16"/>
          <w:i w:val="1"/>
          <w:iCs w:val="1"/>
          <w:color w:val="auto"/>
        </w:rPr>
        <w:t>Accounting for Obligations Associated with the Retirement of Long-Lived Assets,</w:t>
      </w:r>
      <w:r>
        <w:rPr>
          <w:rFonts w:ascii="Arial" w:cs="Arial" w:eastAsia="Arial" w:hAnsi="Arial"/>
          <w:sz w:val="16"/>
          <w:szCs w:val="16"/>
          <w:color w:val="auto"/>
        </w:rPr>
        <w:t xml:space="preserve"> and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we will be required to adopt in future periods. Management believes that the future adoption of these accounting standards will not have a material impact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31" w:lineRule="exact"/>
        <w:rPr>
          <w:sz w:val="20"/>
          <w:szCs w:val="20"/>
          <w:color w:val="auto"/>
        </w:rPr>
      </w:pPr>
    </w:p>
    <w:p>
      <w:pPr>
        <w:ind w:right="160" w:firstLine="392"/>
        <w:spacing w:after="0" w:line="255"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7" w:lineRule="exact"/>
        <w:rPr>
          <w:sz w:val="20"/>
          <w:szCs w:val="20"/>
          <w:color w:val="auto"/>
        </w:rPr>
      </w:pPr>
    </w:p>
    <w:p>
      <w:pPr>
        <w:ind w:left="1040" w:right="580" w:hanging="451"/>
        <w:spacing w:after="0" w:line="268"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185" w:lineRule="exact"/>
        <w:rPr>
          <w:rFonts w:ascii="Arial" w:cs="Arial" w:eastAsia="Arial" w:hAnsi="Arial"/>
          <w:sz w:val="18"/>
          <w:szCs w:val="18"/>
          <w:color w:val="auto"/>
        </w:rPr>
      </w:pPr>
    </w:p>
    <w:p>
      <w:pPr>
        <w:ind w:left="1040" w:right="80" w:hanging="451"/>
        <w:spacing w:after="0" w:line="306"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Cancellation or termination of material collaborative or licensing agreements (including in particular, but not limited to, those with Procter &amp; Gamble and Amgen)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60" w:lineRule="exact"/>
        <w:rPr>
          <w:rFonts w:ascii="Arial" w:cs="Arial" w:eastAsia="Arial" w:hAnsi="Arial"/>
          <w:sz w:val="16"/>
          <w:szCs w:val="16"/>
          <w:color w:val="auto"/>
        </w:rPr>
      </w:pPr>
    </w:p>
    <w:p>
      <w:pPr>
        <w:ind w:left="1040" w:right="160" w:hanging="451"/>
        <w:spacing w:after="0" w:line="256"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patients, lack of sufficient supplies of the product candidate, and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failure of clinical investigators, trial monitors and other consultants, or trial subjects to comply with the trial plan or protocol.</w:t>
      </w:r>
    </w:p>
    <w:p>
      <w:pPr>
        <w:spacing w:after="0" w:line="225" w:lineRule="exact"/>
        <w:rPr>
          <w:sz w:val="20"/>
          <w:szCs w:val="20"/>
          <w:color w:val="auto"/>
        </w:rPr>
      </w:pPr>
    </w:p>
    <w:p>
      <w:pPr>
        <w:ind w:left="1040" w:hanging="451"/>
        <w:spacing w:after="0" w:line="290"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and NT-3 have developed antibodies.</w:t>
      </w:r>
    </w:p>
    <w:p>
      <w:pPr>
        <w:spacing w:after="0" w:line="172" w:lineRule="exact"/>
        <w:rPr>
          <w:rFonts w:ascii="Arial" w:cs="Arial" w:eastAsia="Arial" w:hAnsi="Arial"/>
          <w:sz w:val="16"/>
          <w:szCs w:val="16"/>
          <w:color w:val="auto"/>
        </w:rPr>
      </w:pPr>
    </w:p>
    <w:p>
      <w:pPr>
        <w:ind w:left="1040" w:right="120" w:hanging="451"/>
        <w:spacing w:after="0" w:line="26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185" w:lineRule="exact"/>
        <w:rPr>
          <w:rFonts w:ascii="Arial" w:cs="Arial" w:eastAsia="Arial" w:hAnsi="Arial"/>
          <w:sz w:val="18"/>
          <w:szCs w:val="18"/>
          <w:color w:val="auto"/>
        </w:rPr>
      </w:pPr>
    </w:p>
    <w:p>
      <w:pPr>
        <w:ind w:left="1040" w:right="140" w:hanging="451"/>
        <w:spacing w:after="0" w:line="26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25" w:lineRule="exact"/>
        <w:rPr>
          <w:rFonts w:ascii="Arial" w:cs="Arial" w:eastAsia="Arial" w:hAnsi="Arial"/>
          <w:sz w:val="18"/>
          <w:szCs w:val="18"/>
          <w:color w:val="auto"/>
        </w:rPr>
      </w:pPr>
    </w:p>
    <w:p>
      <w:pPr>
        <w:ind w:left="1040" w:right="380" w:hanging="451"/>
        <w:spacing w:after="0" w:line="26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product candidates.</w:t>
      </w:r>
    </w:p>
    <w:p>
      <w:pPr>
        <w:spacing w:after="0" w:line="225" w:lineRule="exact"/>
        <w:rPr>
          <w:rFonts w:ascii="Arial" w:cs="Arial" w:eastAsia="Arial" w:hAnsi="Arial"/>
          <w:sz w:val="18"/>
          <w:szCs w:val="18"/>
          <w:color w:val="auto"/>
        </w:rPr>
      </w:pPr>
    </w:p>
    <w:p>
      <w:pPr>
        <w:ind w:left="1040" w:right="20" w:hanging="451"/>
        <w:spacing w:after="0" w:line="26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85" w:lineRule="exact"/>
        <w:rPr>
          <w:rFonts w:ascii="Arial" w:cs="Arial" w:eastAsia="Arial" w:hAnsi="Arial"/>
          <w:sz w:val="18"/>
          <w:szCs w:val="18"/>
          <w:color w:val="auto"/>
        </w:rPr>
      </w:pPr>
    </w:p>
    <w:p>
      <w:pPr>
        <w:ind w:left="1040" w:right="120" w:hanging="451"/>
        <w:spacing w:after="0" w:line="33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39" w:lineRule="exact"/>
        <w:rPr>
          <w:rFonts w:ascii="Arial" w:cs="Arial" w:eastAsia="Arial" w:hAnsi="Arial"/>
          <w:sz w:val="16"/>
          <w:szCs w:val="16"/>
          <w:color w:val="auto"/>
        </w:rPr>
      </w:pPr>
    </w:p>
    <w:p>
      <w:pPr>
        <w:ind w:left="1040" w:right="900" w:hanging="451"/>
        <w:spacing w:after="0" w:line="33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or difficulties in developing and acquiring production technology and technical and managerial personnel to manufacture novel biotechnology product in commercial quantities at reasonable costs and in compliance with applicable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quality assurance and environmental regulations and governmental permitting requirements.</w:t>
      </w:r>
    </w:p>
    <w:p>
      <w:pPr>
        <w:spacing w:after="0" w:line="225" w:lineRule="exact"/>
        <w:rPr>
          <w:sz w:val="20"/>
          <w:szCs w:val="20"/>
          <w:color w:val="auto"/>
        </w:rPr>
      </w:pPr>
    </w:p>
    <w:p>
      <w:pPr>
        <w:ind w:left="1040" w:hanging="45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25" w:lineRule="exact"/>
        <w:rPr>
          <w:rFonts w:ascii="Arial" w:cs="Arial" w:eastAsia="Arial" w:hAnsi="Arial"/>
          <w:sz w:val="18"/>
          <w:szCs w:val="18"/>
          <w:color w:val="auto"/>
        </w:rPr>
      </w:pPr>
    </w:p>
    <w:p>
      <w:pPr>
        <w:ind w:left="1040" w:right="140" w:hanging="451"/>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94" w:lineRule="exact"/>
        <w:rPr>
          <w:rFonts w:ascii="Arial" w:cs="Arial" w:eastAsia="Arial" w:hAnsi="Arial"/>
          <w:sz w:val="18"/>
          <w:szCs w:val="18"/>
          <w:color w:val="auto"/>
        </w:rPr>
      </w:pPr>
    </w:p>
    <w:p>
      <w:pPr>
        <w:ind w:left="1040" w:right="60" w:hanging="451"/>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96" w:lineRule="exact"/>
        <w:rPr>
          <w:rFonts w:ascii="Arial" w:cs="Arial" w:eastAsia="Arial" w:hAnsi="Arial"/>
          <w:sz w:val="18"/>
          <w:szCs w:val="18"/>
          <w:color w:val="auto"/>
        </w:rPr>
      </w:pPr>
    </w:p>
    <w:p>
      <w:pPr>
        <w:ind w:left="1040" w:right="180" w:hanging="451"/>
        <w:spacing w:after="0" w:line="33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39" w:lineRule="exact"/>
        <w:rPr>
          <w:rFonts w:ascii="Arial" w:cs="Arial" w:eastAsia="Arial" w:hAnsi="Arial"/>
          <w:sz w:val="16"/>
          <w:szCs w:val="16"/>
          <w:color w:val="auto"/>
        </w:rPr>
      </w:pPr>
    </w:p>
    <w:p>
      <w:pPr>
        <w:ind w:left="1040" w:right="580" w:hanging="451"/>
        <w:spacing w:after="0" w:line="33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39" w:lineRule="exact"/>
        <w:rPr>
          <w:rFonts w:ascii="Arial" w:cs="Arial" w:eastAsia="Arial" w:hAnsi="Arial"/>
          <w:sz w:val="16"/>
          <w:szCs w:val="16"/>
          <w:color w:val="auto"/>
        </w:rPr>
      </w:pPr>
    </w:p>
    <w:p>
      <w:pPr>
        <w:ind w:left="1040" w:hanging="45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w:t>
      </w:r>
    </w:p>
    <w:p>
      <w:pPr>
        <w:spacing w:after="0" w:line="225"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sz w:val="20"/>
          <w:szCs w:val="20"/>
          <w:color w:val="auto"/>
        </w:rPr>
      </w:pPr>
    </w:p>
    <w:p>
      <w:pPr>
        <w:ind w:left="580" w:right="660" w:firstLine="658"/>
        <w:spacing w:after="0" w:line="268" w:lineRule="auto"/>
        <w:rPr>
          <w:sz w:val="20"/>
          <w:szCs w:val="20"/>
          <w:color w:val="auto"/>
        </w:rPr>
      </w:pPr>
      <w:r>
        <w:rPr>
          <w:rFonts w:ascii="Arial" w:cs="Arial" w:eastAsia="Arial" w:hAnsi="Arial"/>
          <w:sz w:val="18"/>
          <w:szCs w:val="18"/>
          <w:color w:val="auto"/>
        </w:rPr>
        <w:t>Form 8-K: On October 12, 2001, we issued a press release announcing our intention to offer approximately $150 million of seven-year convertible senior subordinated notes in an offering pursuant to Rule 144A of the Securities Act of 1933.</w:t>
      </w:r>
    </w:p>
    <w:p>
      <w:pPr>
        <w:spacing w:after="0" w:line="186" w:lineRule="exact"/>
        <w:rPr>
          <w:sz w:val="20"/>
          <w:szCs w:val="20"/>
          <w:color w:val="auto"/>
        </w:rPr>
      </w:pPr>
    </w:p>
    <w:p>
      <w:pPr>
        <w:jc w:val="both"/>
        <w:ind w:left="580" w:firstLine="658"/>
        <w:spacing w:after="0" w:line="370" w:lineRule="auto"/>
        <w:rPr>
          <w:sz w:val="20"/>
          <w:szCs w:val="20"/>
          <w:color w:val="auto"/>
        </w:rPr>
      </w:pPr>
      <w:r>
        <w:rPr>
          <w:rFonts w:ascii="Arial" w:cs="Arial" w:eastAsia="Arial" w:hAnsi="Arial"/>
          <w:sz w:val="15"/>
          <w:szCs w:val="15"/>
          <w:color w:val="auto"/>
        </w:rPr>
        <w:t>Form 8-K: On October 12, 2001, we issued a press release announcing that we entered into a purchase agreement providing for the sale of $200 million aggregate principal amount of convertible senior subordinated notes due 2008, reflecting an increase in the size of the offering from $150 million.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920" w:val="left"/>
          <w:tab w:leader="none" w:pos="5360" w:val="left"/>
        </w:tabs>
        <w:rPr>
          <w:sz w:val="20"/>
          <w:szCs w:val="20"/>
          <w:color w:val="auto"/>
        </w:rPr>
      </w:pPr>
      <w:r>
        <w:rPr>
          <w:rFonts w:ascii="Arial" w:cs="Arial" w:eastAsia="Arial" w:hAnsi="Arial"/>
          <w:sz w:val="18"/>
          <w:szCs w:val="18"/>
          <w:color w:val="auto"/>
        </w:rPr>
        <w:t>Date: November 13, 2001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80010</wp:posOffset>
            </wp:positionV>
            <wp:extent cx="38506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1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sectPr>
      <w:pgSz w:w="11900" w:h="16838" w:orient="portrait"/>
      <w:cols w:equalWidth="0" w:num="1">
        <w:col w:w="11000"/>
      </w:cols>
      <w:pgMar w:left="240" w:top="41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1"/>
    </w:lvl>
    <w:lvl w:ilvl="1">
      <w:lvlJc w:val="left"/>
      <w:lvlText w:val="(%2)"/>
      <w:numFmt w:val="decimal"/>
      <w:start w:val="1"/>
    </w:lvl>
  </w:abstractNum>
  <w:abstractNum w:abstractNumId="4">
    <w:nsid w:val="3352255A"/>
    <w:multiLevelType w:val="hybridMultilevel"/>
    <w:lvl w:ilvl="0">
      <w:lvlJc w:val="left"/>
      <w:lvlText w:val="%1."/>
      <w:numFmt w:val="decimal"/>
      <w:start w:val="5"/>
    </w:lvl>
    <w:lvl w:ilvl="1">
      <w:lvlJc w:val="left"/>
      <w:lvlText w:val="%2"/>
      <w:numFmt w:val="decimal"/>
      <w:start w:val="1"/>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1"/>
    </w:lvl>
    <w:lvl w:ilvl="1">
      <w:lvlJc w:val="left"/>
      <w:lvlText w:val="(%2)"/>
      <w:numFmt w:val="lowerLetter"/>
      <w:start w:val="1"/>
    </w:lvl>
  </w:abstractNum>
  <w:abstractNum w:abstractNumId="7">
    <w:nsid w:val="7FDCC233"/>
    <w:multiLevelType w:val="hybridMultilevel"/>
    <w:lvl w:ilvl="0">
      <w:lvlJc w:val="left"/>
      <w:lvlText w:val="%1."/>
      <w:numFmt w:val="decimal"/>
      <w:start w:val="7"/>
    </w:lvl>
    <w:lvl w:ilvl="1">
      <w:lvlJc w:val="left"/>
      <w:lvlText w:val="%2"/>
      <w:numFmt w:val="lowerLetter"/>
      <w:start w:val="1"/>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
    </w:lvl>
    <w:lvl w:ilvl="1">
      <w:lvlJc w:val="left"/>
      <w:lvlText w:val="(%2)"/>
      <w:numFmt w:val="decimal"/>
      <w:start w:val="1"/>
    </w:lvl>
  </w:abstractNum>
  <w:abstractNum w:abstractNumId="12">
    <w:nsid w:val="25E45D32"/>
    <w:multiLevelType w:val="hybridMultilevel"/>
    <w:lvl w:ilvl="0">
      <w:lvlJc w:val="left"/>
      <w:lvlText w:val="%1."/>
      <w:numFmt w:val="decimal"/>
      <w:start w:val="12"/>
    </w:lvl>
    <w:lvl w:ilvl="1">
      <w:lvlJc w:val="left"/>
      <w:lvlText w:val="%2"/>
      <w:numFmt w:val="decimal"/>
      <w:start w:val="1"/>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2019-12-20T02:05:10Z</dcterms:created>
  <dcterms:modified xsi:type="dcterms:W3CDTF">2019-12-20T02:05:10Z</dcterms:modified>
</cp:coreProperties>
</file>