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8-K/A</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Pursuant to Section 13 or 15(d) of the Securities Exchange Act of 1934</w:t>
      </w:r>
    </w:p>
    <w:p>
      <w:pPr>
        <w:spacing w:after="0" w:line="201" w:lineRule="exact"/>
        <w:rPr>
          <w:sz w:val="24"/>
          <w:szCs w:val="24"/>
          <w:color w:val="auto"/>
        </w:rPr>
      </w:pPr>
    </w:p>
    <w:p>
      <w:pPr>
        <w:spacing w:after="0"/>
        <w:tabs>
          <w:tab w:leader="none" w:pos="536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January 25, 2001</w:t>
      </w:r>
    </w:p>
    <w:p>
      <w:pPr>
        <w:spacing w:after="0" w:line="200" w:lineRule="exact"/>
        <w:rPr>
          <w:sz w:val="24"/>
          <w:szCs w:val="24"/>
          <w:color w:val="auto"/>
        </w:rPr>
      </w:pPr>
    </w:p>
    <w:p>
      <w:pPr>
        <w:spacing w:after="0" w:line="204"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Regeneron Pharmaceuticals,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tbl>
      <w:tblPr>
        <w:tblLayout w:type="fixed"/>
        <w:tblInd w:w="320" w:type="dxa"/>
        <w:tblCellMar>
          <w:top w:w="0" w:type="dxa"/>
          <w:left w:w="0" w:type="dxa"/>
          <w:bottom w:w="0" w:type="dxa"/>
          <w:right w:w="0" w:type="dxa"/>
        </w:tblCellMar>
      </w:tblPr>
      <w:tr>
        <w:trPr>
          <w:trHeight w:val="204"/>
        </w:trPr>
        <w:tc>
          <w:tcPr>
            <w:tcW w:w="2420" w:type="dxa"/>
            <w:vAlign w:val="bottom"/>
          </w:tcPr>
          <w:p>
            <w:pPr>
              <w:jc w:val="right"/>
              <w:ind w:right="1072"/>
              <w:spacing w:after="0"/>
              <w:rPr>
                <w:sz w:val="20"/>
                <w:szCs w:val="20"/>
                <w:color w:val="auto"/>
              </w:rPr>
            </w:pPr>
            <w:r>
              <w:rPr>
                <w:rFonts w:ascii="Courier New" w:cs="Courier New" w:eastAsia="Courier New" w:hAnsi="Courier New"/>
                <w:sz w:val="18"/>
                <w:szCs w:val="18"/>
                <w:color w:val="auto"/>
              </w:rPr>
              <w:t>New York</w:t>
            </w:r>
          </w:p>
        </w:tc>
        <w:tc>
          <w:tcPr>
            <w:tcW w:w="274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333-31764</w:t>
            </w:r>
          </w:p>
        </w:tc>
        <w:tc>
          <w:tcPr>
            <w:tcW w:w="26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13-3444607</w:t>
            </w:r>
          </w:p>
        </w:tc>
      </w:tr>
      <w:tr>
        <w:trPr>
          <w:trHeight w:val="203"/>
        </w:trPr>
        <w:tc>
          <w:tcPr>
            <w:tcW w:w="24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w w:val="96"/>
              </w:rPr>
              <w:t>---------------</w:t>
            </w:r>
          </w:p>
        </w:tc>
        <w:tc>
          <w:tcPr>
            <w:tcW w:w="274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w:t>
            </w:r>
          </w:p>
        </w:tc>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4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w w:val="96"/>
              </w:rPr>
              <w:t>(State or other</w:t>
            </w:r>
          </w:p>
        </w:tc>
        <w:tc>
          <w:tcPr>
            <w:tcW w:w="274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(Commission</w:t>
            </w:r>
          </w:p>
        </w:tc>
        <w:tc>
          <w:tcPr>
            <w:tcW w:w="264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(IRS Employer</w:t>
            </w:r>
          </w:p>
        </w:tc>
      </w:tr>
      <w:tr>
        <w:trPr>
          <w:trHeight w:val="203"/>
        </w:trPr>
        <w:tc>
          <w:tcPr>
            <w:tcW w:w="24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w w:val="96"/>
              </w:rPr>
              <w:t>jurisdiction of</w:t>
            </w:r>
          </w:p>
        </w:tc>
        <w:tc>
          <w:tcPr>
            <w:tcW w:w="274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File Number)</w:t>
            </w:r>
          </w:p>
        </w:tc>
        <w:tc>
          <w:tcPr>
            <w:tcW w:w="26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6"/>
              </w:rPr>
              <w:t>Identification No.)</w:t>
            </w:r>
          </w:p>
        </w:tc>
      </w:tr>
      <w:tr>
        <w:trPr>
          <w:trHeight w:val="203"/>
        </w:trPr>
        <w:tc>
          <w:tcPr>
            <w:tcW w:w="24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incorporation)</w:t>
            </w:r>
          </w:p>
        </w:tc>
        <w:tc>
          <w:tcPr>
            <w:tcW w:w="2740" w:type="dxa"/>
            <w:vAlign w:val="bottom"/>
          </w:tcPr>
          <w:p>
            <w:pPr>
              <w:spacing w:after="0"/>
              <w:rPr>
                <w:sz w:val="17"/>
                <w:szCs w:val="17"/>
                <w:color w:val="auto"/>
              </w:rPr>
            </w:pPr>
          </w:p>
        </w:tc>
        <w:tc>
          <w:tcPr>
            <w:tcW w:w="2640" w:type="dxa"/>
            <w:vAlign w:val="bottom"/>
          </w:tcPr>
          <w:p>
            <w:pPr>
              <w:spacing w:after="0"/>
              <w:rPr>
                <w:sz w:val="17"/>
                <w:szCs w:val="17"/>
                <w:color w:val="auto"/>
              </w:rPr>
            </w:pPr>
          </w:p>
        </w:tc>
      </w:tr>
    </w:tbl>
    <w:p>
      <w:pPr>
        <w:spacing w:after="0" w:line="200" w:lineRule="exact"/>
        <w:rPr>
          <w:sz w:val="24"/>
          <w:szCs w:val="24"/>
          <w:color w:val="auto"/>
        </w:rPr>
      </w:pPr>
    </w:p>
    <w:p>
      <w:pPr>
        <w:spacing w:after="0" w:line="204"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777 Old Saw Mill River Rd, Tarrytown NY, 10591-6707</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(Address of principal executive offices) (Zip Code)</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914-347-7000</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(Registrant's telephone number, including area code)</w:t>
      </w:r>
    </w:p>
    <w:p>
      <w:pPr>
        <w:sectPr>
          <w:pgSz w:w="11900" w:h="16838" w:orient="portrait"/>
          <w:cols w:equalWidth="0" w:num="1">
            <w:col w:w="10219"/>
          </w:cols>
          <w:pgMar w:left="240" w:top="244"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ind w:left="2440"/>
        <w:spacing w:after="0" w:line="238" w:lineRule="auto"/>
        <w:rPr>
          <w:sz w:val="20"/>
          <w:szCs w:val="20"/>
          <w:color w:val="auto"/>
        </w:rPr>
      </w:pPr>
      <w:r>
        <w:rPr>
          <w:rFonts w:ascii="Courier New" w:cs="Courier New" w:eastAsia="Courier New" w:hAnsi="Courier New"/>
          <w:sz w:val="18"/>
          <w:szCs w:val="18"/>
          <w:color w:val="auto"/>
        </w:rPr>
        <w:t>Regeneron Pharmaceuticals, Inc.</w:t>
      </w:r>
    </w:p>
    <w:p>
      <w:pPr>
        <w:ind w:left="2540"/>
        <w:spacing w:after="0"/>
        <w:rPr>
          <w:sz w:val="20"/>
          <w:szCs w:val="20"/>
          <w:color w:val="auto"/>
        </w:rPr>
      </w:pPr>
      <w:r>
        <w:rPr>
          <w:rFonts w:ascii="Courier New" w:cs="Courier New" w:eastAsia="Courier New" w:hAnsi="Courier New"/>
          <w:sz w:val="18"/>
          <w:szCs w:val="18"/>
          <w:color w:val="auto"/>
        </w:rPr>
        <w:t>Current Report on Form 8-K/A</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Items 1-4. 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On January 25, 2001, the Registrant issued a revised press release to correct a minor typographical error contained in the press release issued earlier in the day. The revised press release is attached hereto as Exhibit 99.1.</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7"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The following exhibits are furnished in accordance with the provisions of Item 601 of Regulation S-K:</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Exhibit No.</w:t>
      </w:r>
    </w:p>
    <w:p>
      <w:pPr>
        <w:spacing w:after="0" w:line="21"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3720" w:space="720"/>
            <w:col w:w="5779"/>
          </w:cols>
          <w:pgMar w:left="240" w:top="312" w:right="1440" w:bottom="1440" w:gutter="0" w:footer="0" w:header="0"/>
          <w:type w:val="continuous"/>
        </w:sectPr>
      </w:pPr>
    </w:p>
    <w:p>
      <w:pPr>
        <w:spacing w:after="0" w:line="2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99.1</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Press Release, dated January 25, 2001</w:t>
      </w:r>
    </w:p>
    <w:p>
      <w:pPr>
        <w:spacing w:after="0" w:line="200" w:lineRule="exact"/>
        <w:rPr>
          <w:sz w:val="20"/>
          <w:szCs w:val="20"/>
          <w:color w:val="auto"/>
        </w:rPr>
      </w:pPr>
    </w:p>
    <w:p>
      <w:pPr>
        <w:sectPr>
          <w:pgSz w:w="11900" w:h="16838" w:orient="portrait"/>
          <w:cols w:equalWidth="0" w:num="2">
            <w:col w:w="2660" w:space="720"/>
            <w:col w:w="6839"/>
          </w:cols>
          <w:pgMar w:left="240" w:top="312" w:right="1440"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2">
            <w:col w:w="740" w:space="220"/>
            <w:col w:w="9259"/>
          </w:cols>
          <w:pgMar w:left="240" w:top="312" w:right="1440" w:bottom="1440" w:gutter="0" w:footer="0" w:header="0"/>
          <w:type w:val="continuous"/>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ind w:left="380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undersigned's duly authorized signatory.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26, 2001</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REGENERON PHARMACEUTICALS,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20"/>
        <w:spacing w:after="0"/>
        <w:tabs>
          <w:tab w:leader="none" w:pos="1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Murray A. Goldberg</w:t>
      </w:r>
    </w:p>
    <w:p>
      <w:pPr>
        <w:ind w:left="4120"/>
        <w:spacing w:after="0" w:line="238" w:lineRule="auto"/>
        <w:rPr>
          <w:sz w:val="20"/>
          <w:szCs w:val="20"/>
          <w:color w:val="auto"/>
        </w:rPr>
      </w:pPr>
      <w:r>
        <w:rPr>
          <w:rFonts w:ascii="Courier New" w:cs="Courier New" w:eastAsia="Courier New" w:hAnsi="Courier New"/>
          <w:sz w:val="18"/>
          <w:szCs w:val="18"/>
          <w:color w:val="auto"/>
        </w:rPr>
        <w:t>----------------------------</w:t>
      </w:r>
    </w:p>
    <w:p>
      <w:pPr>
        <w:ind w:left="4120"/>
        <w:spacing w:after="0"/>
        <w:tabs>
          <w:tab w:leader="none" w:pos="4840" w:val="left"/>
        </w:tabs>
        <w:rPr>
          <w:sz w:val="20"/>
          <w:szCs w:val="20"/>
          <w:color w:val="auto"/>
        </w:rPr>
      </w:pPr>
      <w:r>
        <w:rPr>
          <w:rFonts w:ascii="Courier New" w:cs="Courier New" w:eastAsia="Courier New" w:hAnsi="Courier New"/>
          <w:sz w:val="18"/>
          <w:szCs w:val="18"/>
          <w:color w:val="auto"/>
        </w:rPr>
        <w:t>Name:</w:t>
        <w:tab/>
        <w:t>Murray A. Goldberg</w:t>
      </w:r>
    </w:p>
    <w:p>
      <w:pPr>
        <w:spacing w:after="0" w:line="3"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Title: Senior Vice President, Finance &amp;</w:t>
      </w:r>
    </w:p>
    <w:p>
      <w:pPr>
        <w:spacing w:after="0" w:line="1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Administration, Chief Financial</w:t>
      </w:r>
    </w:p>
    <w:p>
      <w:pPr>
        <w:ind w:left="4860"/>
        <w:spacing w:after="0" w:line="238" w:lineRule="auto"/>
        <w:rPr>
          <w:sz w:val="20"/>
          <w:szCs w:val="20"/>
          <w:color w:val="auto"/>
        </w:rPr>
      </w:pPr>
      <w:r>
        <w:rPr>
          <w:rFonts w:ascii="Courier New" w:cs="Courier New" w:eastAsia="Courier New" w:hAnsi="Courier New"/>
          <w:sz w:val="18"/>
          <w:szCs w:val="18"/>
          <w:color w:val="auto"/>
        </w:rPr>
        <w:t>Officer, Treasurer, and</w:t>
      </w:r>
    </w:p>
    <w:p>
      <w:pPr>
        <w:ind w:left="4860"/>
        <w:spacing w:after="0"/>
        <w:rPr>
          <w:sz w:val="20"/>
          <w:szCs w:val="20"/>
          <w:color w:val="auto"/>
        </w:rPr>
      </w:pPr>
      <w:r>
        <w:rPr>
          <w:rFonts w:ascii="Courier New" w:cs="Courier New" w:eastAsia="Courier New" w:hAnsi="Courier New"/>
          <w:sz w:val="18"/>
          <w:szCs w:val="18"/>
          <w:color w:val="auto"/>
        </w:rPr>
        <w:t>Assistant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4"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220"/>
        <w:spacing w:after="0" w:line="290" w:lineRule="auto"/>
        <w:rPr>
          <w:sz w:val="20"/>
          <w:szCs w:val="20"/>
          <w:color w:val="auto"/>
        </w:rPr>
      </w:pPr>
      <w:r>
        <w:rPr>
          <w:rFonts w:ascii="Courier New" w:cs="Courier New" w:eastAsia="Courier New" w:hAnsi="Courier New"/>
          <w:sz w:val="16"/>
          <w:szCs w:val="16"/>
          <w:color w:val="auto"/>
        </w:rPr>
        <w:t>Exhibit No.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sectPr>
          <w:pgSz w:w="11900" w:h="16838" w:orient="portrait"/>
          <w:cols w:equalWidth="0" w:num="2">
            <w:col w:w="1600" w:space="720"/>
            <w:col w:w="7899"/>
          </w:cols>
          <w:pgMar w:left="240" w:top="312"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99.1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Press Release, dated January 25, 2001.</w:t>
      </w:r>
    </w:p>
    <w:p>
      <w:pPr>
        <w:spacing w:after="0" w:line="200" w:lineRule="exact"/>
        <w:rPr>
          <w:sz w:val="20"/>
          <w:szCs w:val="20"/>
          <w:color w:val="auto"/>
        </w:rPr>
      </w:pPr>
    </w:p>
    <w:p>
      <w:pPr>
        <w:sectPr>
          <w:pgSz w:w="11900" w:h="16838" w:orient="portrait"/>
          <w:cols w:equalWidth="0" w:num="2">
            <w:col w:w="1600" w:space="720"/>
            <w:col w:w="7899"/>
          </w:cols>
          <w:pgMar w:left="240" w:top="3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312" w:right="1440" w:bottom="1440" w:gutter="0" w:footer="0" w:header="0"/>
          <w:type w:val="continuous"/>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[REGENERON LOGO]</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IMMEDIATE RELEASE</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REGENERON ANNOUNCES OPERATING RESULTS</w:t>
      </w:r>
    </w:p>
    <w:p>
      <w:pPr>
        <w:spacing w:after="0" w:line="207"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Tarrytown, New York, January 25, 2001 -- Regeneron Pharmaceuticals, Inc. (NASDAQ: REGN) today announced its full year and fourth quarter financial and operating results for 2000.</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Regeneron reported a net loss of $23.2 million, or $0.66 per share, for the year ended December 31, 2000, compared to a net loss of $23.1 million, or $0.74 per share, in 1999. Cash and marketable securities at December 31, 2000 were $154.4 million, compared to $93.6 million at December 31, 1999.</w:t>
      </w:r>
    </w:p>
    <w:p>
      <w:pPr>
        <w:spacing w:after="0" w:line="207"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Regeneron's total revenue in 2000 increased to $67.8 million from $39.7 million in 1999. The increase was due primarily to higher contract research and development revenue, research progress payments received in 2000, and higher contract manufacturing revenue. Contract research and development revenue increased from The Procter &amp; Gamble Company in connection with its long-term collaboration agreement with the Company and from Amgen-Regeneron Partners related to increased clinical trial activity. Research progress payments received in 2000 totaled $6.2 million, including two non-recurring payments totaling $3.5 million from Procter &amp; Gamble related to its long-term collaboration agreement and a $3.0 million payment (less $0.3 million of Japanese withholding tax) from Sumitomo Pharmaceuticals Co., Ltd. related to a drug development agreement. Contract manufacturing revenue increased from Merck</w:t>
      </w:r>
    </w:p>
    <w:p>
      <w:pPr>
        <w:spacing w:after="0" w:line="188" w:lineRule="exact"/>
        <w:rPr>
          <w:sz w:val="20"/>
          <w:szCs w:val="20"/>
          <w:color w:val="auto"/>
        </w:rPr>
      </w:pPr>
    </w:p>
    <w:p>
      <w:pPr>
        <w:ind w:right="2839" w:firstLine="8"/>
        <w:spacing w:after="0" w:line="235" w:lineRule="auto"/>
        <w:tabs>
          <w:tab w:leader="none" w:pos="21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 Inc. in connection with a long-term agreement and from Sumitomo Pharmaceuticals.</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Company's full year operating expenses in 2000 increased to $89.4 million from $62.8 million in 1999 due primarily to higher research and development expense and contract manufacturing expense. The increase in research and development expense related to higher staffing and increased activity in the Company's preclinical and clinical research programs. Contract manufacturing expense was higher due to costs associated with commercial production for Merck and Sumitomo Pharmaceuticals.</w:t>
      </w:r>
    </w:p>
    <w:p>
      <w:pPr>
        <w:sectPr>
          <w:pgSz w:w="11900" w:h="16838" w:orient="portrait"/>
          <w:cols w:equalWidth="0" w:num="1">
            <w:col w:w="10219"/>
          </w:cols>
          <w:pgMar w:left="240" w:top="136"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2</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For the fourth quarter of 2000, Regeneron reported a net loss of $8.5 million, or $0.23 per share, compared to a net loss of $1.4 million, or $0.04 per share, in the fourth quarter of 1999. Regeneron's total revenue in the fourth quarter of 2000 increased to $21.7 million from $13.1 million in the same period of 1999 due primarily to higher contract manufacturing revenue from Merck and Sumitomo Pharmaceuticals.</w:t>
      </w:r>
    </w:p>
    <w:p>
      <w:pPr>
        <w:spacing w:after="0" w:line="210"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Total operating expenses increased to $30.1 million in the fourth quarter of 2000 from $14.5 million in the same period of 1999, due primarily to higher research and development expense and contract manufacturing expense. The increase in research and development expense related to higher staffing and increased activity in Regeneron's preclinical and clinical research programs. Contract manufacturing expense was higher due to costs associated with commercial production for Merck and Sumitomo Pharmaceuticals.</w:t>
      </w:r>
    </w:p>
    <w:p>
      <w:pPr>
        <w:spacing w:after="0" w:line="211"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During the fourth quarter of 2000, the Company adopted Staff Accounting Bulletin 101, REVENUE RECOGNITION IN FINANCIAL STATEMENTS, (SAB 101) effective as of January 1, 2000. The cumulative effect of adopting SAB 101 was to increase the Company's net loss by $1.6 million, or $0.04 per share, for the full year 2000.</w:t>
      </w:r>
    </w:p>
    <w:p>
      <w:pPr>
        <w:spacing w:after="0" w:line="209"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Per share amounts are based on the weighted average number of shares of the Company's Common Stock and Class A Stock outstanding.</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CLINICAL DEVELOPMENT UPDATE</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In November 2000, Regeneron reported preliminary results of a Phase II dose-ranging trial to study the safety and efficacy of AXOKINE(R) in severely obese patients. Patients treated with AXOKINE showed medically meaningful and statistically significant weight loss compared to those receiving placebo and the drug was generally well tolerated and was not associated with any reported serious adverse events. Pending discussions with the FDA, we intend to initiate Phase III testing of AXOKINE in mid-2001. In December 2000, Regeneron announced that it had initiated a Phase I clinical trial to assess the safety and tolerability of the Company's interleukin-1 (IL-1) Cytokine Trap in patients with rheumatoid arthritis. The placebo-controlled, double-blind, dose-escalation study is being conducted at several centers in the United States and includes a single dose phase and a multiple dose phase. Regeneron plans to place three new product</w:t>
      </w:r>
    </w:p>
    <w:p>
      <w:pPr>
        <w:sectPr>
          <w:pgSz w:w="11900" w:h="16838" w:orient="portrait"/>
          <w:cols w:equalWidth="0" w:num="1">
            <w:col w:w="10219"/>
          </w:cols>
          <w:pgMar w:left="240" w:top="312"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3</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candidates into clinical trials in 2001, including its VEGF Trap for cancer and related disorders, IL-4/13 Trap for asthma/allergy related conditions, and pegylated AXOKINE for obesity.</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On January 25, 2001, Amgen-Regeneron Partners discontinued all clinical development of BDNF for the potential treatment of amyotrophic lateral sclerosis (ALS) following notification that BDNF did not provide a therapeutic advantage to ALS patients in clinical trials.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Regeneron is a biopharmaceutical company that discovers, develops, and intends to commercialize therapeutic drugs for the treatment of serious medical conditions. Regeneron's platform technologies include Targeted Genomics(TM), Functionomics(TM), and Designer Protein Therapeutics(TM). Regeneron has drugs in clinical trials for the potential treatment of obesity and rheumatoid arthritis, and has preclinical development programs in cancer, asthma, allergies, and other diseases and disorders.</w:t>
      </w:r>
    </w:p>
    <w:p>
      <w:pPr>
        <w:spacing w:after="0" w:line="211"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THIS NEWS RELEASE DISCUSSES HISTORICAL INFORMATION AND INCLUDES FORWARD-LOOKING STATEMENTS ABOUT REGENERON AND ABOUT ITS PRODUCTS, PROGRAMS, FINANCES, AND BUSINESS, ALL OF WHICH INVOLVE A NUMBER OF RISKS AND UNCERTAINTIES, SUCH AS RISKS ASSOCIATED WITH PRECLINICAL AND CLINICAL DEVELOPMENT OF DRUGS AND BIOLOGICS, DETERMINATIONS BY REGULATORY AND ADMINISTRATIVE GOVERNMENTAL AUTHORITIES, COMPETITIVE FACTORS, TECHNOLOGICAL DEVELOPMENTS, THE AVAILABILITY AND COST OF CAPITAL, THE COSTS OF DEVELOPING, PRODUCING, AND SELLING PRODUCTS, THE POTENTIAL FOR ANY COLLABORATION AGREEMENT TO BE CANCELED OR TO TERMINATE WITHOUT ANY PRODUCT SUCCESS, AND OTHER MATERIAL RISKS. A MORE COMPLETE DESCRIPTION OF THESE RISKS CAN BE FOUND IN REGENERON'S FILINGS WITH THE UNITED STATES SECURITIES AND EXCHANGE COMMISSION, INCLUDING ITS CURRENT FORM 10-Q AND ITS FORM 10-K FOR THE YEAR ENDED DECEMBER 31, 1999. REGENERON DOES NOT UNDERTAKE ANY OBLIGATION TO UPDATE PUBLICLY ANY FORWARD-LOOKING STATEMENT, WHETHER AS A RESULT OF NEW INFORMATION, FUTURE EVENTS, OR OTHERWISE.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Contact:</w:t>
      </w:r>
      <w:r>
        <w:rPr>
          <w:sz w:val="20"/>
          <w:szCs w:val="20"/>
          <w:color w:val="auto"/>
        </w:rPr>
        <w:tab/>
      </w:r>
      <w:r>
        <w:rPr>
          <w:rFonts w:ascii="Courier New" w:cs="Courier New" w:eastAsia="Courier New" w:hAnsi="Courier New"/>
          <w:sz w:val="16"/>
          <w:szCs w:val="16"/>
          <w:color w:val="auto"/>
        </w:rPr>
        <w:t>Murray A. Goldberg,</w:t>
      </w:r>
    </w:p>
    <w:p>
      <w:pPr>
        <w:spacing w:after="0" w:line="4" w:lineRule="exact"/>
        <w:rPr>
          <w:sz w:val="20"/>
          <w:szCs w:val="20"/>
          <w:color w:val="auto"/>
        </w:rPr>
      </w:pPr>
    </w:p>
    <w:p>
      <w:pPr>
        <w:ind w:left="1060" w:right="3259"/>
        <w:spacing w:after="0" w:line="235" w:lineRule="auto"/>
        <w:rPr>
          <w:sz w:val="20"/>
          <w:szCs w:val="20"/>
          <w:color w:val="auto"/>
        </w:rPr>
      </w:pPr>
      <w:r>
        <w:rPr>
          <w:rFonts w:ascii="Courier New" w:cs="Courier New" w:eastAsia="Courier New" w:hAnsi="Courier New"/>
          <w:sz w:val="18"/>
          <w:szCs w:val="18"/>
          <w:color w:val="auto"/>
        </w:rPr>
        <w:t>Senior Vice President Finance and Administration and CFO Regeneron Pharmaceuticals, Inc.</w:t>
      </w:r>
    </w:p>
    <w:p>
      <w:pPr>
        <w:ind w:left="1060"/>
        <w:spacing w:after="0"/>
        <w:rPr>
          <w:sz w:val="20"/>
          <w:szCs w:val="20"/>
          <w:color w:val="auto"/>
        </w:rPr>
      </w:pPr>
      <w:r>
        <w:rPr>
          <w:rFonts w:ascii="Courier New" w:cs="Courier New" w:eastAsia="Courier New" w:hAnsi="Courier New"/>
          <w:sz w:val="18"/>
          <w:szCs w:val="18"/>
          <w:color w:val="auto"/>
        </w:rPr>
        <w:t>(914) 345-7492</w:t>
      </w:r>
    </w:p>
    <w:p>
      <w:pPr>
        <w:sectPr>
          <w:pgSz w:w="11900" w:h="16838" w:orient="portrait"/>
          <w:cols w:equalWidth="0" w:num="1">
            <w:col w:w="10219"/>
          </w:cols>
          <w:pgMar w:left="240" w:top="312"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4"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REGENERON PHARMACEUTICALS,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CONDENSED BALANCE SHEETS (UNAUDITED)</w:t>
      </w:r>
    </w:p>
    <w:p>
      <w:pPr>
        <w:jc w:val="center"/>
        <w:ind w:right="1779"/>
        <w:spacing w:after="0"/>
        <w:rPr>
          <w:sz w:val="20"/>
          <w:szCs w:val="20"/>
          <w:color w:val="auto"/>
        </w:rPr>
      </w:pPr>
      <w:r>
        <w:rPr>
          <w:rFonts w:ascii="Courier New" w:cs="Courier New" w:eastAsia="Courier New" w:hAnsi="Courier New"/>
          <w:sz w:val="18"/>
          <w:szCs w:val="18"/>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80" w:type="dxa"/>
            <w:vAlign w:val="bottom"/>
          </w:tcPr>
          <w:p>
            <w:pPr>
              <w:spacing w:after="0"/>
              <w:rPr>
                <w:sz w:val="17"/>
                <w:szCs w:val="17"/>
                <w:color w:val="auto"/>
              </w:rPr>
            </w:pPr>
          </w:p>
        </w:tc>
        <w:tc>
          <w:tcPr>
            <w:tcW w:w="22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DECEMBER 31,</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DECEMBER 31,</w:t>
            </w:r>
          </w:p>
        </w:tc>
      </w:tr>
      <w:tr>
        <w:trPr>
          <w:trHeight w:val="203"/>
        </w:trPr>
        <w:tc>
          <w:tcPr>
            <w:tcW w:w="5480" w:type="dxa"/>
            <w:vAlign w:val="bottom"/>
          </w:tcPr>
          <w:p>
            <w:pPr>
              <w:spacing w:after="0"/>
              <w:rPr>
                <w:sz w:val="17"/>
                <w:szCs w:val="17"/>
                <w:color w:val="auto"/>
              </w:rPr>
            </w:pPr>
          </w:p>
        </w:tc>
        <w:tc>
          <w:tcPr>
            <w:tcW w:w="22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2000</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5480" w:type="dxa"/>
            <w:vAlign w:val="bottom"/>
          </w:tcPr>
          <w:p>
            <w:pPr>
              <w:spacing w:after="0"/>
              <w:rPr>
                <w:sz w:val="17"/>
                <w:szCs w:val="17"/>
                <w:color w:val="auto"/>
              </w:rPr>
            </w:pPr>
          </w:p>
        </w:tc>
        <w:tc>
          <w:tcPr>
            <w:tcW w:w="22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22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marketable securities</w:t>
            </w:r>
          </w:p>
        </w:tc>
        <w:tc>
          <w:tcPr>
            <w:tcW w:w="22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$154,370</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$93,599</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Receivable due from The Procter &amp; Gamble Company</w:t>
            </w:r>
          </w:p>
        </w:tc>
        <w:tc>
          <w:tcPr>
            <w:tcW w:w="22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6,907</w:t>
            </w:r>
          </w:p>
        </w:tc>
        <w:tc>
          <w:tcPr>
            <w:tcW w:w="1580" w:type="dxa"/>
            <w:vAlign w:val="bottom"/>
          </w:tcPr>
          <w:p>
            <w:pPr>
              <w:spacing w:after="0"/>
              <w:rPr>
                <w:sz w:val="17"/>
                <w:szCs w:val="17"/>
                <w:color w:val="auto"/>
              </w:rPr>
            </w:pP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Inventory</w:t>
            </w:r>
          </w:p>
        </w:tc>
        <w:tc>
          <w:tcPr>
            <w:tcW w:w="22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1,915</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4,552</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Property, plant and equipment, net</w:t>
            </w:r>
          </w:p>
        </w:tc>
        <w:tc>
          <w:tcPr>
            <w:tcW w:w="22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36,934</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36,298</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22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8,148</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2,550</w:t>
            </w:r>
          </w:p>
        </w:tc>
      </w:tr>
      <w:tr>
        <w:trPr>
          <w:trHeight w:val="203"/>
        </w:trPr>
        <w:tc>
          <w:tcPr>
            <w:tcW w:w="5480" w:type="dxa"/>
            <w:vAlign w:val="bottom"/>
          </w:tcPr>
          <w:p>
            <w:pPr>
              <w:spacing w:after="0"/>
              <w:rPr>
                <w:sz w:val="17"/>
                <w:szCs w:val="17"/>
                <w:color w:val="auto"/>
              </w:rPr>
            </w:pPr>
          </w:p>
        </w:tc>
        <w:tc>
          <w:tcPr>
            <w:tcW w:w="22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80" w:type="dxa"/>
            <w:vAlign w:val="bottom"/>
          </w:tcPr>
          <w:p>
            <w:pPr>
              <w:ind w:left="120"/>
              <w:spacing w:after="0"/>
              <w:rPr>
                <w:sz w:val="20"/>
                <w:szCs w:val="20"/>
                <w:color w:val="auto"/>
              </w:rPr>
            </w:pPr>
            <w:r>
              <w:rPr>
                <w:rFonts w:ascii="Courier New" w:cs="Courier New" w:eastAsia="Courier New" w:hAnsi="Courier New"/>
                <w:sz w:val="18"/>
                <w:szCs w:val="18"/>
                <w:color w:val="auto"/>
              </w:rPr>
              <w:t>Total assets</w:t>
            </w:r>
          </w:p>
        </w:tc>
        <w:tc>
          <w:tcPr>
            <w:tcW w:w="22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$208,274</w:t>
            </w:r>
          </w:p>
        </w:tc>
        <w:tc>
          <w:tcPr>
            <w:tcW w:w="1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$136,999</w:t>
            </w:r>
          </w:p>
        </w:tc>
      </w:tr>
      <w:tr>
        <w:trPr>
          <w:trHeight w:val="203"/>
        </w:trPr>
        <w:tc>
          <w:tcPr>
            <w:tcW w:w="5480" w:type="dxa"/>
            <w:vAlign w:val="bottom"/>
          </w:tcPr>
          <w:p>
            <w:pPr>
              <w:spacing w:after="0"/>
              <w:rPr>
                <w:sz w:val="17"/>
                <w:szCs w:val="17"/>
                <w:color w:val="auto"/>
              </w:rPr>
            </w:pPr>
          </w:p>
        </w:tc>
        <w:tc>
          <w:tcPr>
            <w:tcW w:w="22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480" w:type="dxa"/>
            <w:vAlign w:val="bottom"/>
          </w:tcPr>
          <w:p>
            <w:pPr>
              <w:spacing w:after="0"/>
              <w:rPr>
                <w:sz w:val="20"/>
                <w:szCs w:val="20"/>
                <w:color w:val="auto"/>
              </w:rPr>
            </w:pPr>
            <w:r>
              <w:rPr>
                <w:rFonts w:ascii="Courier New" w:cs="Courier New" w:eastAsia="Courier New" w:hAnsi="Courier New"/>
                <w:sz w:val="18"/>
                <w:szCs w:val="18"/>
                <w:color w:val="auto"/>
              </w:rPr>
              <w:t>LIABILITIES AND STOCKHOLDERS' EQUITY</w:t>
            </w:r>
          </w:p>
        </w:tc>
        <w:tc>
          <w:tcPr>
            <w:tcW w:w="22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payable and accrued expenses</w:t>
            </w:r>
          </w:p>
        </w:tc>
        <w:tc>
          <w:tcPr>
            <w:tcW w:w="22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$9,446</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$6,551</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revenue</w:t>
            </w:r>
          </w:p>
        </w:tc>
        <w:tc>
          <w:tcPr>
            <w:tcW w:w="22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13,723</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15,816</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 lease obligations</w:t>
            </w:r>
          </w:p>
        </w:tc>
        <w:tc>
          <w:tcPr>
            <w:tcW w:w="22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1,148</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2,584</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liabilities</w:t>
            </w:r>
          </w:p>
        </w:tc>
        <w:tc>
          <w:tcPr>
            <w:tcW w:w="22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1,827</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2,516</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22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182,130</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109,532</w:t>
            </w:r>
          </w:p>
        </w:tc>
      </w:tr>
      <w:tr>
        <w:trPr>
          <w:trHeight w:val="203"/>
        </w:trPr>
        <w:tc>
          <w:tcPr>
            <w:tcW w:w="5480" w:type="dxa"/>
            <w:vAlign w:val="bottom"/>
          </w:tcPr>
          <w:p>
            <w:pPr>
              <w:spacing w:after="0"/>
              <w:rPr>
                <w:sz w:val="17"/>
                <w:szCs w:val="17"/>
                <w:color w:val="auto"/>
              </w:rPr>
            </w:pPr>
          </w:p>
        </w:tc>
        <w:tc>
          <w:tcPr>
            <w:tcW w:w="22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80" w:type="dxa"/>
            <w:vAlign w:val="bottom"/>
          </w:tcPr>
          <w:p>
            <w:pPr>
              <w:ind w:left="120"/>
              <w:spacing w:after="0"/>
              <w:rPr>
                <w:sz w:val="20"/>
                <w:szCs w:val="20"/>
                <w:color w:val="auto"/>
              </w:rPr>
            </w:pPr>
            <w:r>
              <w:rPr>
                <w:rFonts w:ascii="Courier New" w:cs="Courier New" w:eastAsia="Courier New" w:hAnsi="Courier New"/>
                <w:sz w:val="18"/>
                <w:szCs w:val="18"/>
                <w:color w:val="auto"/>
              </w:rPr>
              <w:t>Total liabilities and stockholders' equity</w:t>
            </w:r>
          </w:p>
        </w:tc>
        <w:tc>
          <w:tcPr>
            <w:tcW w:w="22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$208,274</w:t>
            </w:r>
          </w:p>
        </w:tc>
        <w:tc>
          <w:tcPr>
            <w:tcW w:w="1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$136,999</w:t>
            </w:r>
          </w:p>
        </w:tc>
      </w:tr>
      <w:tr>
        <w:trPr>
          <w:trHeight w:val="203"/>
        </w:trPr>
        <w:tc>
          <w:tcPr>
            <w:tcW w:w="5480" w:type="dxa"/>
            <w:vAlign w:val="bottom"/>
          </w:tcPr>
          <w:p>
            <w:pPr>
              <w:spacing w:after="0"/>
              <w:rPr>
                <w:sz w:val="17"/>
                <w:szCs w:val="17"/>
                <w:color w:val="auto"/>
              </w:rPr>
            </w:pPr>
          </w:p>
        </w:tc>
        <w:tc>
          <w:tcPr>
            <w:tcW w:w="22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312" w:right="1440" w:bottom="1440" w:gutter="0" w:footer="0" w:header="0"/>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REGENERON PHARMACEUTICALS, INC.</w:t>
      </w:r>
    </w:p>
    <w:p>
      <w:pPr>
        <w:ind w:left="1800"/>
        <w:spacing w:after="0" w:line="238" w:lineRule="auto"/>
        <w:rPr>
          <w:sz w:val="20"/>
          <w:szCs w:val="20"/>
          <w:color w:val="auto"/>
        </w:rPr>
      </w:pPr>
      <w:r>
        <w:rPr>
          <w:rFonts w:ascii="Courier New" w:cs="Courier New" w:eastAsia="Courier New" w:hAnsi="Courier New"/>
          <w:sz w:val="18"/>
          <w:szCs w:val="18"/>
          <w:color w:val="auto"/>
        </w:rPr>
        <w:t>CONDENSED STATEMENTS OF OPERATIONS (UNAUDITED)</w:t>
      </w:r>
    </w:p>
    <w:p>
      <w:pPr>
        <w:ind w:left="2320"/>
        <w:spacing w:after="0"/>
        <w:rPr>
          <w:sz w:val="20"/>
          <w:szCs w:val="20"/>
          <w:color w:val="auto"/>
        </w:rPr>
      </w:pPr>
      <w:r>
        <w:rPr>
          <w:rFonts w:ascii="Courier New" w:cs="Courier New" w:eastAsia="Courier New" w:hAnsi="Courier New"/>
          <w:sz w:val="18"/>
          <w:szCs w:val="18"/>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80" w:type="dxa"/>
            <w:vAlign w:val="bottom"/>
          </w:tcPr>
          <w:p>
            <w:pPr>
              <w:spacing w:after="0"/>
              <w:rPr>
                <w:sz w:val="17"/>
                <w:szCs w:val="17"/>
                <w:color w:val="auto"/>
              </w:rPr>
            </w:pPr>
          </w:p>
        </w:tc>
        <w:tc>
          <w:tcPr>
            <w:tcW w:w="254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FOR THE THREE MONTHS</w:t>
            </w:r>
          </w:p>
        </w:tc>
        <w:tc>
          <w:tcPr>
            <w:tcW w:w="246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FOR THE YEAR</w:t>
            </w:r>
          </w:p>
        </w:tc>
      </w:tr>
      <w:tr>
        <w:trPr>
          <w:trHeight w:val="203"/>
        </w:trPr>
        <w:tc>
          <w:tcPr>
            <w:tcW w:w="4480" w:type="dxa"/>
            <w:vAlign w:val="bottom"/>
          </w:tcPr>
          <w:p>
            <w:pPr>
              <w:spacing w:after="0"/>
              <w:rPr>
                <w:sz w:val="17"/>
                <w:szCs w:val="17"/>
                <w:color w:val="auto"/>
              </w:rPr>
            </w:pPr>
          </w:p>
        </w:tc>
        <w:tc>
          <w:tcPr>
            <w:tcW w:w="254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ENDED DECEMBER 31,</w:t>
            </w:r>
          </w:p>
        </w:tc>
        <w:tc>
          <w:tcPr>
            <w:tcW w:w="24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ENDED DECEMBER 31,</w:t>
            </w:r>
          </w:p>
        </w:tc>
      </w:tr>
      <w:tr>
        <w:trPr>
          <w:trHeight w:val="203"/>
        </w:trPr>
        <w:tc>
          <w:tcPr>
            <w:tcW w:w="4480" w:type="dxa"/>
            <w:vAlign w:val="bottom"/>
          </w:tcPr>
          <w:p>
            <w:pPr>
              <w:spacing w:after="0"/>
              <w:rPr>
                <w:sz w:val="17"/>
                <w:szCs w:val="17"/>
                <w:color w:val="auto"/>
              </w:rPr>
            </w:pP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2000</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1999</w:t>
            </w:r>
          </w:p>
        </w:tc>
        <w:tc>
          <w:tcPr>
            <w:tcW w:w="126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2000</w:t>
            </w:r>
          </w:p>
        </w:tc>
        <w:tc>
          <w:tcPr>
            <w:tcW w:w="12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4480" w:type="dxa"/>
            <w:vAlign w:val="bottom"/>
          </w:tcPr>
          <w:p>
            <w:pPr>
              <w:spacing w:after="0"/>
              <w:rPr>
                <w:sz w:val="17"/>
                <w:szCs w:val="17"/>
                <w:color w:val="auto"/>
              </w:rPr>
            </w:pP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Revenues</w:t>
            </w:r>
          </w:p>
        </w:tc>
        <w:tc>
          <w:tcPr>
            <w:tcW w:w="1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4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Contract research and development</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$9,156</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$9,228</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$36,478</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$24,539</w:t>
            </w:r>
          </w:p>
        </w:tc>
      </w:tr>
      <w:tr>
        <w:trPr>
          <w:trHeight w:val="203"/>
        </w:trPr>
        <w:tc>
          <w:tcPr>
            <w:tcW w:w="4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Research progress payments</w:t>
            </w:r>
          </w:p>
        </w:tc>
        <w:tc>
          <w:tcPr>
            <w:tcW w:w="1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6,200</w:t>
            </w:r>
          </w:p>
        </w:tc>
        <w:tc>
          <w:tcPr>
            <w:tcW w:w="1200" w:type="dxa"/>
            <w:vAlign w:val="bottom"/>
          </w:tcPr>
          <w:p>
            <w:pPr>
              <w:spacing w:after="0"/>
              <w:rPr>
                <w:sz w:val="17"/>
                <w:szCs w:val="17"/>
                <w:color w:val="auto"/>
              </w:rPr>
            </w:pPr>
          </w:p>
        </w:tc>
      </w:tr>
      <w:tr>
        <w:trPr>
          <w:trHeight w:val="203"/>
        </w:trPr>
        <w:tc>
          <w:tcPr>
            <w:tcW w:w="4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Contract manufacturing</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9,981</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2,661</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16,598</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9,960</w:t>
            </w:r>
          </w:p>
        </w:tc>
      </w:tr>
      <w:tr>
        <w:trPr>
          <w:trHeight w:val="203"/>
        </w:trPr>
        <w:tc>
          <w:tcPr>
            <w:tcW w:w="4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Investment income</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2,513</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1,193</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8,480</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5,207</w:t>
            </w:r>
          </w:p>
        </w:tc>
      </w:tr>
      <w:tr>
        <w:trPr>
          <w:trHeight w:val="203"/>
        </w:trPr>
        <w:tc>
          <w:tcPr>
            <w:tcW w:w="4480" w:type="dxa"/>
            <w:vAlign w:val="bottom"/>
          </w:tcPr>
          <w:p>
            <w:pPr>
              <w:spacing w:after="0"/>
              <w:rPr>
                <w:sz w:val="17"/>
                <w:szCs w:val="17"/>
                <w:color w:val="auto"/>
              </w:rPr>
            </w:pP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spacing w:after="0"/>
              <w:rPr>
                <w:sz w:val="17"/>
                <w:szCs w:val="17"/>
                <w:color w:val="auto"/>
              </w:rPr>
            </w:pP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21,650</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13,082</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67,756</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39,706</w:t>
            </w:r>
          </w:p>
        </w:tc>
      </w:tr>
      <w:tr>
        <w:trPr>
          <w:trHeight w:val="203"/>
        </w:trPr>
        <w:tc>
          <w:tcPr>
            <w:tcW w:w="4480" w:type="dxa"/>
            <w:vAlign w:val="bottom"/>
          </w:tcPr>
          <w:p>
            <w:pPr>
              <w:spacing w:after="0"/>
              <w:rPr>
                <w:sz w:val="17"/>
                <w:szCs w:val="17"/>
                <w:color w:val="auto"/>
              </w:rPr>
            </w:pP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480" w:type="dxa"/>
            <w:vAlign w:val="bottom"/>
          </w:tcPr>
          <w:p>
            <w:pPr>
              <w:spacing w:after="0"/>
              <w:rPr>
                <w:sz w:val="20"/>
                <w:szCs w:val="20"/>
                <w:color w:val="auto"/>
              </w:rPr>
            </w:pPr>
            <w:r>
              <w:rPr>
                <w:rFonts w:ascii="Courier New" w:cs="Courier New" w:eastAsia="Courier New" w:hAnsi="Courier New"/>
                <w:sz w:val="18"/>
                <w:szCs w:val="18"/>
                <w:color w:val="auto"/>
              </w:rPr>
              <w:t>Expenses</w:t>
            </w:r>
          </w:p>
        </w:tc>
        <w:tc>
          <w:tcPr>
            <w:tcW w:w="1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4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15,786</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9,977</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56,256</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44,940</w:t>
            </w:r>
          </w:p>
        </w:tc>
      </w:tr>
      <w:tr>
        <w:trPr>
          <w:trHeight w:val="203"/>
        </w:trPr>
        <w:tc>
          <w:tcPr>
            <w:tcW w:w="4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Loss in Amgen-Regeneron Partners</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1,125</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1,650</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4,575</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4,159</w:t>
            </w:r>
          </w:p>
        </w:tc>
      </w:tr>
      <w:tr>
        <w:trPr>
          <w:trHeight w:val="203"/>
        </w:trPr>
        <w:tc>
          <w:tcPr>
            <w:tcW w:w="4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3,106</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1,664</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8,309</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6,355</w:t>
            </w:r>
          </w:p>
        </w:tc>
      </w:tr>
      <w:tr>
        <w:trPr>
          <w:trHeight w:val="203"/>
        </w:trPr>
        <w:tc>
          <w:tcPr>
            <w:tcW w:w="4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1,296</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974</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4,421</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3,426</w:t>
            </w:r>
          </w:p>
        </w:tc>
      </w:tr>
      <w:tr>
        <w:trPr>
          <w:trHeight w:val="203"/>
        </w:trPr>
        <w:tc>
          <w:tcPr>
            <w:tcW w:w="4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Contract manufacturing</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8,738</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160</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15,566</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3,612</w:t>
            </w:r>
          </w:p>
        </w:tc>
      </w:tr>
      <w:tr>
        <w:trPr>
          <w:trHeight w:val="203"/>
        </w:trPr>
        <w:tc>
          <w:tcPr>
            <w:tcW w:w="4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Interest</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54</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281</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284</w:t>
            </w:r>
          </w:p>
        </w:tc>
      </w:tr>
      <w:tr>
        <w:trPr>
          <w:trHeight w:val="203"/>
        </w:trPr>
        <w:tc>
          <w:tcPr>
            <w:tcW w:w="4480" w:type="dxa"/>
            <w:vAlign w:val="bottom"/>
          </w:tcPr>
          <w:p>
            <w:pPr>
              <w:spacing w:after="0"/>
              <w:rPr>
                <w:sz w:val="17"/>
                <w:szCs w:val="17"/>
                <w:color w:val="auto"/>
              </w:rPr>
            </w:pP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spacing w:after="0"/>
              <w:rPr>
                <w:sz w:val="17"/>
                <w:szCs w:val="17"/>
                <w:color w:val="auto"/>
              </w:rPr>
            </w:pP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30,105</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14,464</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89,408</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62,776</w:t>
            </w:r>
          </w:p>
        </w:tc>
      </w:tr>
      <w:tr>
        <w:trPr>
          <w:trHeight w:val="203"/>
        </w:trPr>
        <w:tc>
          <w:tcPr>
            <w:tcW w:w="4480" w:type="dxa"/>
            <w:vAlign w:val="bottom"/>
          </w:tcPr>
          <w:p>
            <w:pPr>
              <w:spacing w:after="0"/>
              <w:rPr>
                <w:sz w:val="17"/>
                <w:szCs w:val="17"/>
                <w:color w:val="auto"/>
              </w:rPr>
            </w:pP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Net loss before cumulative effect of a</w:t>
            </w:r>
          </w:p>
        </w:tc>
        <w:tc>
          <w:tcPr>
            <w:tcW w:w="1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4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change in accounting principle</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(8,455)</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(1,382)</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(21,652)</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(23,070)</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Cumulative effect of adopting Staff</w:t>
            </w:r>
          </w:p>
        </w:tc>
        <w:tc>
          <w:tcPr>
            <w:tcW w:w="1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4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Accounting Bulletin 101 ("SAB 101")</w:t>
            </w:r>
          </w:p>
        </w:tc>
        <w:tc>
          <w:tcPr>
            <w:tcW w:w="1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(1,563)</w:t>
            </w:r>
          </w:p>
        </w:tc>
        <w:tc>
          <w:tcPr>
            <w:tcW w:w="1200" w:type="dxa"/>
            <w:vAlign w:val="bottom"/>
          </w:tcPr>
          <w:p>
            <w:pPr>
              <w:spacing w:after="0"/>
              <w:rPr>
                <w:sz w:val="17"/>
                <w:szCs w:val="17"/>
                <w:color w:val="auto"/>
              </w:rPr>
            </w:pPr>
          </w:p>
        </w:tc>
      </w:tr>
      <w:tr>
        <w:trPr>
          <w:trHeight w:val="203"/>
        </w:trPr>
        <w:tc>
          <w:tcPr>
            <w:tcW w:w="4480" w:type="dxa"/>
            <w:vAlign w:val="bottom"/>
          </w:tcPr>
          <w:p>
            <w:pPr>
              <w:spacing w:after="0"/>
              <w:rPr>
                <w:sz w:val="17"/>
                <w:szCs w:val="17"/>
                <w:color w:val="auto"/>
              </w:rPr>
            </w:pP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Net loss</w:t>
            </w: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($8,455)</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($1,382)</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($23,215)</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($23,070)</w:t>
            </w:r>
          </w:p>
        </w:tc>
      </w:tr>
      <w:tr>
        <w:trPr>
          <w:trHeight w:val="203"/>
        </w:trPr>
        <w:tc>
          <w:tcPr>
            <w:tcW w:w="4480" w:type="dxa"/>
            <w:vAlign w:val="bottom"/>
          </w:tcPr>
          <w:p>
            <w:pPr>
              <w:spacing w:after="0"/>
              <w:rPr>
                <w:sz w:val="17"/>
                <w:szCs w:val="17"/>
                <w:color w:val="auto"/>
              </w:rPr>
            </w:pP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Net loss per share, basic and diluted:</w:t>
            </w:r>
          </w:p>
        </w:tc>
        <w:tc>
          <w:tcPr>
            <w:tcW w:w="1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4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Net loss before cumulative effect of</w:t>
            </w:r>
          </w:p>
        </w:tc>
        <w:tc>
          <w:tcPr>
            <w:tcW w:w="1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448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a change in accounting principle</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($0.23)</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($0.04)</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($0.62)</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($0.74)</w:t>
            </w:r>
          </w:p>
        </w:tc>
      </w:tr>
      <w:tr>
        <w:trPr>
          <w:trHeight w:val="203"/>
        </w:trPr>
        <w:tc>
          <w:tcPr>
            <w:tcW w:w="4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8"/>
              </w:rPr>
              <w:t>Cumulative effect of adopting SAB 101</w:t>
            </w:r>
          </w:p>
        </w:tc>
        <w:tc>
          <w:tcPr>
            <w:tcW w:w="1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(0.04)</w:t>
            </w:r>
          </w:p>
        </w:tc>
        <w:tc>
          <w:tcPr>
            <w:tcW w:w="1200" w:type="dxa"/>
            <w:vAlign w:val="bottom"/>
          </w:tcPr>
          <w:p>
            <w:pPr>
              <w:spacing w:after="0"/>
              <w:rPr>
                <w:sz w:val="17"/>
                <w:szCs w:val="17"/>
                <w:color w:val="auto"/>
              </w:rPr>
            </w:pPr>
          </w:p>
        </w:tc>
      </w:tr>
      <w:tr>
        <w:trPr>
          <w:trHeight w:val="203"/>
        </w:trPr>
        <w:tc>
          <w:tcPr>
            <w:tcW w:w="4480" w:type="dxa"/>
            <w:vAlign w:val="bottom"/>
          </w:tcPr>
          <w:p>
            <w:pPr>
              <w:spacing w:after="0"/>
              <w:rPr>
                <w:sz w:val="17"/>
                <w:szCs w:val="17"/>
                <w:color w:val="auto"/>
              </w:rPr>
            </w:pP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80" w:type="dxa"/>
            <w:vAlign w:val="bottom"/>
          </w:tcPr>
          <w:p>
            <w:pPr>
              <w:ind w:left="540"/>
              <w:spacing w:after="0"/>
              <w:rPr>
                <w:sz w:val="20"/>
                <w:szCs w:val="20"/>
                <w:color w:val="auto"/>
              </w:rPr>
            </w:pPr>
            <w:r>
              <w:rPr>
                <w:rFonts w:ascii="Courier New" w:cs="Courier New" w:eastAsia="Courier New" w:hAnsi="Courier New"/>
                <w:sz w:val="18"/>
                <w:szCs w:val="18"/>
                <w:color w:val="auto"/>
              </w:rPr>
              <w:t>Net loss per share</w:t>
            </w: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($0.23)</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($0.04)</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($0.66)</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($0.74)</w:t>
            </w:r>
          </w:p>
        </w:tc>
      </w:tr>
      <w:tr>
        <w:trPr>
          <w:trHeight w:val="203"/>
        </w:trPr>
        <w:tc>
          <w:tcPr>
            <w:tcW w:w="4480" w:type="dxa"/>
            <w:vAlign w:val="bottom"/>
          </w:tcPr>
          <w:p>
            <w:pPr>
              <w:spacing w:after="0"/>
              <w:rPr>
                <w:sz w:val="17"/>
                <w:szCs w:val="17"/>
                <w:color w:val="auto"/>
              </w:rPr>
            </w:pP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480" w:type="dxa"/>
            <w:vAlign w:val="bottom"/>
          </w:tcPr>
          <w:p>
            <w:pPr>
              <w:spacing w:after="0"/>
              <w:rPr>
                <w:sz w:val="20"/>
                <w:szCs w:val="20"/>
                <w:color w:val="auto"/>
              </w:rPr>
            </w:pPr>
            <w:r>
              <w:rPr>
                <w:rFonts w:ascii="Courier New" w:cs="Courier New" w:eastAsia="Courier New" w:hAnsi="Courier New"/>
                <w:sz w:val="18"/>
                <w:szCs w:val="18"/>
                <w:color w:val="auto"/>
              </w:rPr>
              <w:t>Weighted average number of Common</w:t>
            </w:r>
          </w:p>
        </w:tc>
        <w:tc>
          <w:tcPr>
            <w:tcW w:w="1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Class A shares outstanding,</w:t>
            </w:r>
          </w:p>
        </w:tc>
        <w:tc>
          <w:tcPr>
            <w:tcW w:w="1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basic and diluted</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36,767</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31,341</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34,950</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31,308</w:t>
            </w:r>
          </w:p>
        </w:tc>
      </w:tr>
      <w:tr>
        <w:trPr>
          <w:trHeight w:val="203"/>
        </w:trPr>
        <w:tc>
          <w:tcPr>
            <w:tcW w:w="4480" w:type="dxa"/>
            <w:vAlign w:val="bottom"/>
          </w:tcPr>
          <w:p>
            <w:pPr>
              <w:spacing w:after="0"/>
              <w:rPr>
                <w:sz w:val="17"/>
                <w:szCs w:val="17"/>
                <w:color w:val="auto"/>
              </w:rPr>
            </w:pP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1" w:lineRule="exact"/>
        <w:rPr>
          <w:sz w:val="20"/>
          <w:szCs w:val="20"/>
          <w:color w:val="auto"/>
        </w:rPr>
      </w:pP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amp;"/>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2019-12-20T02:15:05Z</dcterms:created>
  <dcterms:modified xsi:type="dcterms:W3CDTF">2019-12-20T02:15:05Z</dcterms:modified>
</cp:coreProperties>
</file>