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148590</wp:posOffset>
            </wp:positionH>
            <wp:positionV relativeFrom="page">
              <wp:posOffset>156210</wp:posOffset>
            </wp:positionV>
            <wp:extent cx="726440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148590</wp:posOffset>
            </wp:positionH>
            <wp:positionV relativeFrom="page">
              <wp:posOffset>193675</wp:posOffset>
            </wp:positionV>
            <wp:extent cx="726440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ind w:left="4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199390</wp:posOffset>
            </wp:positionV>
            <wp:extent cx="15303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5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214630</wp:posOffset>
            </wp:positionV>
            <wp:extent cx="15303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CURRENT REPORT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</w:t>
      </w:r>
    </w:p>
    <w:p>
      <w:pPr>
        <w:jc w:val="center"/>
        <w:ind w:right="-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2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reported): October 3, 2013 (October 3, 2013)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205740</wp:posOffset>
            </wp:positionV>
            <wp:extent cx="15303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2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auto"/>
        </w:rPr>
        <w:t>REGENERON PHARMACEUTICALS,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22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(Exact Name of Registrant as Specified in Charter)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00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2100" w:type="dxa"/>
            <w:vAlign w:val="bottom"/>
          </w:tcPr>
          <w:p>
            <w:pPr>
              <w:jc w:val="center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0"/>
              </w:rPr>
              <w:t>New York</w:t>
            </w:r>
          </w:p>
        </w:tc>
        <w:tc>
          <w:tcPr>
            <w:tcW w:w="3600" w:type="dxa"/>
            <w:vAlign w:val="bottom"/>
            <w:gridSpan w:val="2"/>
          </w:tcPr>
          <w:p>
            <w:pPr>
              <w:jc w:val="center"/>
              <w:ind w:left="1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13-3444607</w:t>
            </w:r>
          </w:p>
        </w:tc>
      </w:tr>
      <w:tr>
        <w:trPr>
          <w:trHeight w:val="129"/>
        </w:trPr>
        <w:tc>
          <w:tcPr>
            <w:tcW w:w="2100" w:type="dxa"/>
            <w:vAlign w:val="bottom"/>
          </w:tcPr>
          <w:p>
            <w:pPr>
              <w:jc w:val="center"/>
              <w:ind w:right="61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10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4"/>
              </w:rPr>
              <w:t>(Commission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79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2"/>
              </w:rPr>
              <w:t>(IRS Employer</w:t>
            </w: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jc w:val="center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0"/>
              </w:rPr>
              <w:t>of Incorporation)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9"/>
              </w:rPr>
              <w:t>File No.)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359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2"/>
              </w:rPr>
              <w:t>777 Old Saw Mill River Road,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0"/>
              </w:rPr>
              <w:t>Tarrytown, New York 10591-6707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5"/>
              </w:rPr>
              <w:t>(Address of principal executive offices, including zip code)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4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gridSpan w:val="2"/>
          </w:tcPr>
          <w:p>
            <w:pPr>
              <w:jc w:val="center"/>
              <w:ind w:left="1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9"/>
              </w:rPr>
              <w:t>(914) 847-7000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5"/>
              </w:rPr>
              <w:t>(Registrant’s telephone number, including area code)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193675</wp:posOffset>
            </wp:positionV>
            <wp:extent cx="15303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137795</wp:posOffset>
            </wp:positionV>
            <wp:extent cx="726440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72644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66"/>
          </w:cols>
          <w:pgMar w:left="234" w:top="338" w:right="1099" w:bottom="1440" w:gutter="0" w:footer="0" w:header="0"/>
        </w:sectPr>
      </w:pPr>
    </w:p>
    <w:bookmarkStart w:id="1" w:name="page2"/>
    <w:bookmarkEnd w:id="1"/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7.01. Regulation FD Disclosure.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6" w:right="2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On October 3, 2013, at the 22</w:t>
      </w:r>
      <w:r>
        <w:rPr>
          <w:rFonts w:ascii="Arial" w:cs="Arial" w:eastAsia="Arial" w:hAnsi="Arial"/>
          <w:sz w:val="12"/>
          <w:szCs w:val="12"/>
          <w:color w:val="auto"/>
        </w:rPr>
        <w:t>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Congress of the European Academy of Dermatology and Venereology held in Istanbul, Turkey, data from a Phase 2 trial evaluating dupilumab, a human monoclonal antibody, in patients with atopic dermatitis were presented at an oral session by Prof. Diamant Thaçi, University of Lübeck, Germany. A copy of the slides that were presented is furnished as Exhibit 99.1 to this Current Report on Form 8-K and is incorporated herein by reference.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9.01. Financial Statements and Exhibits.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Exhibits.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566" w:hanging="563"/>
        <w:spacing w:after="0" w:line="265" w:lineRule="auto"/>
        <w:tabs>
          <w:tab w:leader="none" w:pos="54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Presentation entitled “Safety and efficacy of dupilumab for moderate-to-severe atopic dermatitis in patients using topical corticosteroids (TCS): Greater efficacy observed with combination therapy compared to TCS alone.”</w:t>
      </w:r>
    </w:p>
    <w:p>
      <w:pPr>
        <w:sectPr>
          <w:pgSz w:w="11900" w:h="16838" w:orient="portrait"/>
          <w:cols w:equalWidth="0" w:num="1">
            <w:col w:w="11226"/>
          </w:cols>
          <w:pgMar w:left="234" w:top="252" w:right="4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340" w:firstLine="457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Date: October 3, 2013</w:t>
            </w:r>
          </w:p>
        </w:tc>
        <w:tc>
          <w:tcPr>
            <w:tcW w:w="7820" w:type="dxa"/>
            <w:vAlign w:val="bottom"/>
            <w:gridSpan w:val="2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REGENERON PHARMACEUTICALS, INC.</w:t>
            </w:r>
          </w:p>
        </w:tc>
      </w:tr>
      <w:tr>
        <w:trPr>
          <w:trHeight w:val="381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Joseph J. LaRosa</w:t>
            </w:r>
          </w:p>
        </w:tc>
      </w:tr>
      <w:tr>
        <w:trPr>
          <w:trHeight w:val="17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22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Joseph J. LaRosa</w:t>
            </w:r>
          </w:p>
        </w:tc>
      </w:tr>
      <w:tr>
        <w:trPr>
          <w:trHeight w:val="20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Senior Vice President, General Counsel and Secretary</w:t>
            </w: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256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80" w:type="dxa"/>
            <w:vAlign w:val="bottom"/>
          </w:tcPr>
          <w:p>
            <w:pPr>
              <w:ind w:left="4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 Index</w:t>
            </w:r>
          </w:p>
        </w:tc>
      </w:tr>
      <w:tr>
        <w:trPr>
          <w:trHeight w:val="346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2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80" w:type="dxa"/>
            <w:vAlign w:val="bottom"/>
            <w:tcBorders>
              <w:bottom w:val="single" w:sz="8" w:color="auto"/>
            </w:tcBorders>
          </w:tcPr>
          <w:p>
            <w:pPr>
              <w:ind w:left="4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Description</w:t>
            </w:r>
          </w:p>
        </w:tc>
      </w:tr>
      <w:tr>
        <w:trPr>
          <w:trHeight w:val="25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Presentation entitled “Safety and efficacy of dupilumab for moderate-to-severe atopic dermatitis in patients using topical corticosteroids (TCS): Greater efficacy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observed with combination therapy compared to TCS alone.”</w:t>
            </w: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256" w:right="21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223520</wp:posOffset>
            </wp:positionH>
            <wp:positionV relativeFrom="page">
              <wp:posOffset>163830</wp:posOffset>
            </wp:positionV>
            <wp:extent cx="7174865" cy="53828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t>Safety and efficacy of dupilumab for moderate-to-severe atopic dermatitis in patients using topical corticosteroids (TCS): Greater efficacy observed with combination therapy compared to TCS alone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580"/>
        <w:spacing w:after="0" w:line="2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Diamant Thaçi,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1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Margitta Worm,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2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Haobo Ren,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3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Steven Weinstein,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3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Neil Graham,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3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Gianluca Pirozzi,</w:t>
      </w:r>
      <w:r>
        <w:rPr>
          <w:rFonts w:ascii="Arial" w:cs="Arial" w:eastAsia="Arial" w:hAnsi="Arial"/>
          <w:sz w:val="24"/>
          <w:szCs w:val="24"/>
          <w:color w:val="FFFFFF"/>
        </w:rPr>
        <w:t>4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Franck Skobieranda,</w:t>
      </w:r>
      <w:r>
        <w:rPr>
          <w:rFonts w:ascii="Arial" w:cs="Arial" w:eastAsia="Arial" w:hAnsi="Arial"/>
          <w:sz w:val="24"/>
          <w:szCs w:val="24"/>
          <w:color w:val="FFFFFF"/>
        </w:rPr>
        <w:t>4</w:t>
      </w:r>
      <w:r>
        <w:rPr>
          <w:rFonts w:ascii="Arial" w:cs="Arial" w:eastAsia="Arial" w:hAnsi="Arial"/>
          <w:sz w:val="38"/>
          <w:szCs w:val="38"/>
          <w:color w:val="FFFFFF"/>
        </w:rPr>
        <w:t xml:space="preserve"> Marius Ardeleanu</w:t>
      </w:r>
      <w:r>
        <w:rPr>
          <w:rFonts w:ascii="Arial" w:cs="Arial" w:eastAsia="Arial" w:hAnsi="Arial"/>
          <w:sz w:val="49"/>
          <w:szCs w:val="49"/>
          <w:color w:val="FFFFFF"/>
          <w:vertAlign w:val="superscript"/>
        </w:rPr>
        <w:t>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FFFFFF"/>
          <w:vertAlign w:val="superscript"/>
        </w:rPr>
        <w:t>1</w:t>
      </w:r>
      <w:r>
        <w:rPr>
          <w:rFonts w:ascii="Arial" w:cs="Arial" w:eastAsia="Arial" w:hAnsi="Arial"/>
          <w:sz w:val="24"/>
          <w:szCs w:val="24"/>
          <w:color w:val="FFFFFF"/>
        </w:rPr>
        <w:t xml:space="preserve">Universität zu Lübeck, Lübeck, Germany; </w:t>
      </w:r>
      <w:r>
        <w:rPr>
          <w:rFonts w:ascii="Arial" w:cs="Arial" w:eastAsia="Arial" w:hAnsi="Arial"/>
          <w:sz w:val="34"/>
          <w:szCs w:val="34"/>
          <w:color w:val="FFFFFF"/>
          <w:vertAlign w:val="superscript"/>
        </w:rPr>
        <w:t>2</w:t>
      </w:r>
      <w:r>
        <w:rPr>
          <w:rFonts w:ascii="Arial" w:cs="Arial" w:eastAsia="Arial" w:hAnsi="Arial"/>
          <w:sz w:val="24"/>
          <w:szCs w:val="24"/>
          <w:color w:val="FFFFFF"/>
        </w:rPr>
        <w:t xml:space="preserve">Charite-Universitätsmedzin Berlin, Berlin, Germany; </w:t>
      </w:r>
      <w:r>
        <w:rPr>
          <w:rFonts w:ascii="Arial" w:cs="Arial" w:eastAsia="Arial" w:hAnsi="Arial"/>
          <w:sz w:val="34"/>
          <w:szCs w:val="34"/>
          <w:color w:val="FFFFFF"/>
          <w:vertAlign w:val="superscript"/>
        </w:rPr>
        <w:t>3</w:t>
      </w:r>
      <w:r>
        <w:rPr>
          <w:rFonts w:ascii="Arial" w:cs="Arial" w:eastAsia="Arial" w:hAnsi="Arial"/>
          <w:sz w:val="24"/>
          <w:szCs w:val="24"/>
          <w:color w:val="FFFFFF"/>
        </w:rPr>
        <w:t xml:space="preserve">Regeneron Pharmaceuticals, Inc., Tarrytown, USA; </w:t>
      </w:r>
      <w:r>
        <w:rPr>
          <w:rFonts w:ascii="Arial" w:cs="Arial" w:eastAsia="Arial" w:hAnsi="Arial"/>
          <w:sz w:val="34"/>
          <w:szCs w:val="34"/>
          <w:color w:val="FFFFFF"/>
          <w:vertAlign w:val="superscript"/>
        </w:rPr>
        <w:t>4</w:t>
      </w:r>
      <w:r>
        <w:rPr>
          <w:rFonts w:ascii="Arial" w:cs="Arial" w:eastAsia="Arial" w:hAnsi="Arial"/>
          <w:sz w:val="24"/>
          <w:szCs w:val="24"/>
          <w:color w:val="FFFFFF"/>
        </w:rPr>
        <w:t>Sanofi, Bridgewater, USA</w:t>
      </w:r>
    </w:p>
    <w:p>
      <w:pPr>
        <w:sectPr>
          <w:pgSz w:w="11900" w:h="16838" w:orient="portrait"/>
          <w:cols w:equalWidth="0" w:num="1">
            <w:col w:w="10540"/>
          </w:cols>
          <w:pgMar w:left="1020" w:top="298" w:right="339" w:bottom="1440" w:gutter="0" w:footer="0" w:header="0"/>
        </w:sectPr>
      </w:pPr>
    </w:p>
    <w:bookmarkStart w:id="5" w:name="page6"/>
    <w:bookmarkEnd w:id="5"/>
    <w:p>
      <w:pPr>
        <w:jc w:val="center"/>
        <w:ind w:right="-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Disclosures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419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D Thaçi is a consultant for Astellas, Novartis, Regeneron, Celgene, Abbott, Pfizer, Janssen-Cilag, MSD, Leo-Pharma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M Worm has nothing to disclose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79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H Ren, S Weinstein, N Graham, and M Ardeleanu are employees and shareholders of Regeneron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G Pirozzi is an employee and shareholder of Sanofi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F Skobieranda was an employee of Sanofi when the study was conducted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539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7"/>
          <w:szCs w:val="37"/>
          <w:color w:val="FFFFFF"/>
        </w:rPr>
        <w:t>Study (NCT01639040) funded by Regeneron Pharmaceuticals, Inc. and Sanofi</w:t>
      </w:r>
    </w:p>
    <w:p>
      <w:pPr>
        <w:sectPr>
          <w:pgSz w:w="11900" w:h="16838" w:orient="portrait"/>
          <w:cols w:equalWidth="0" w:num="1">
            <w:col w:w="9039"/>
          </w:cols>
          <w:pgMar w:left="1420" w:top="994" w:right="1440" w:bottom="1440" w:gutter="0" w:footer="0" w:header="0"/>
        </w:sectPr>
      </w:pPr>
    </w:p>
    <w:bookmarkStart w:id="6" w:name="page7"/>
    <w:bookmarkEnd w:id="6"/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Introduction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Moderate-to-severe atopic dermatitis (AD) is characterized by eczematous dermatitis with intractable pruritus associated with sleep disturbance and lower quality-of-life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08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For many patients, current therapies are inadequate and can be associated with unwanted side effects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right="18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IL-4 and IL-13 are thought to be central to T-helper 2 (Th2) inflammation, which mediates many features of AD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Dupilumab is a fully human monoclonal antibody targeting the IL-4 receptor alpha subunit (IL-4R ), thus blocking the intracellular signaling of both IL-4 and IL-13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Earlier clinical trials indicated that dupilumab monotherapy had an acceptable safety profile and was efficacious in patients with moderate to severe AD who cannot be adequately controlled with topical medications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5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FFFFFF"/>
        </w:rPr>
        <w:t>Since topical corticosteroids (TCS) are commonly used in AD, we assessed the safety and efficacy of dupilumab co-administered with TCS</w:t>
      </w:r>
    </w:p>
    <w:p>
      <w:pPr>
        <w:sectPr>
          <w:pgSz w:w="11900" w:h="16838" w:orient="portrait"/>
          <w:cols w:equalWidth="0" w:num="1">
            <w:col w:w="10380"/>
          </w:cols>
          <w:pgMar w:left="1020" w:top="700" w:right="499" w:bottom="1440" w:gutter="0" w:footer="0" w:header="0"/>
        </w:sectPr>
      </w:pPr>
    </w:p>
    <w:bookmarkStart w:id="7" w:name="page8"/>
    <w:bookmarkEnd w:id="7"/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 cells in immune mediated diseases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T naive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2020" w:type="dxa"/>
            <w:vAlign w:val="bottom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FFFFFF"/>
              </w:rPr>
              <w:t xml:space="preserve">Th1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IFN-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FFFFFF"/>
              </w:rPr>
              <w:t xml:space="preserve">Th2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IL-4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 xml:space="preserve">Th17 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IL-17A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 xml:space="preserve">Th22 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IL-22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FFFFFF"/>
              </w:rPr>
              <w:t xml:space="preserve">iTreg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TGF-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7"/>
              </w:rPr>
              <w:t>IL-2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i w:val="1"/>
                <w:iCs w:val="1"/>
                <w:color w:val="FFFFFF"/>
              </w:rPr>
              <w:t>GATA-3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7"/>
              </w:rPr>
              <w:t>IL-5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i w:val="1"/>
                <w:iCs w:val="1"/>
                <w:color w:val="161616"/>
              </w:rPr>
              <w:t>RORc2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IL-17F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i w:val="1"/>
                <w:iCs w:val="1"/>
                <w:color w:val="161616"/>
              </w:rPr>
              <w:t>?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IL-13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i w:val="1"/>
                <w:iCs w:val="1"/>
                <w:color w:val="FFFFFF"/>
              </w:rPr>
              <w:t>Foxp3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IL-10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20" w:type="dxa"/>
            <w:vAlign w:val="bottom"/>
            <w:vMerge w:val="restart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</w:rPr>
              <w:t>(IL-10)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IL-10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IL-21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</w:rPr>
              <w:t>(IL-10)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TNF-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IL-13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IL-22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FGF´s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</w:tcPr>
          <w:p>
            <w:pPr>
              <w:jc w:val="center"/>
              <w:ind w:lef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2"/>
              </w:rPr>
              <w:t>LT-a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(TNF- 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</w:rPr>
              <w:t>(IL-10)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(TNF-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4"/>
              </w:rPr>
              <w:t>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(TNF- 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5"/>
        </w:trPr>
        <w:tc>
          <w:tcPr>
            <w:tcW w:w="202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INFLAMMATION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ALLERGY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INFLAMMATION,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EPITHELIAL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LIMITATION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INFECTION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INTEGRITY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900"/>
          </w:cols>
          <w:pgMar w:left="1060" w:top="994" w:right="939" w:bottom="1440" w:gutter="0" w:footer="0" w:header="0"/>
        </w:sectPr>
      </w:pPr>
    </w:p>
    <w:bookmarkStart w:id="8" w:name="page9"/>
    <w:bookmarkEnd w:id="8"/>
    <w:p>
      <w:pPr>
        <w:ind w:left="880" w:firstLine="94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Atopic dermatitis: a disease of altered skin barrier and immune dysregulation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062B"/>
        </w:rPr>
        <w:t>Boguniewicz M, Leung DM. Immunol Rev. 2011 Jul;242(1):233-46.</w:t>
      </w:r>
    </w:p>
    <w:p>
      <w:pPr>
        <w:sectPr>
          <w:pgSz w:w="11900" w:h="16838" w:orient="portrait"/>
          <w:cols w:equalWidth="0" w:num="1">
            <w:col w:w="10220"/>
          </w:cols>
          <w:pgMar w:left="500" w:top="417" w:right="1179" w:bottom="1440" w:gutter="0" w:footer="0" w:header="0"/>
        </w:sectPr>
      </w:pPr>
    </w:p>
    <w:bookmarkStart w:id="9" w:name="page10"/>
    <w:bookmarkEnd w:id="9"/>
    <w:p>
      <w:pPr>
        <w:jc w:val="center"/>
        <w:ind w:left="660" w:right="459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 blocks the IL-4/IL-13 receptor/ligand system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1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900" w:type="dxa"/>
            <w:vAlign w:val="bottom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FFFF99"/>
              </w:rPr>
              <w:t>Type I Receptor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FFFF99"/>
              </w:rPr>
              <w:t>Type II Receptor</w:t>
            </w:r>
          </w:p>
        </w:tc>
      </w:tr>
      <w:tr>
        <w:trPr>
          <w:trHeight w:val="293"/>
        </w:trPr>
        <w:tc>
          <w:tcPr>
            <w:tcW w:w="2900" w:type="dxa"/>
            <w:vAlign w:val="bottom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FFFFFF"/>
                <w:w w:val="98"/>
              </w:rPr>
              <w:t>B cells, T cells, Monocytes,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FFFFFF"/>
                <w:w w:val="98"/>
              </w:rPr>
              <w:t>Epithelial cells, Smooth muscle</w:t>
            </w:r>
          </w:p>
        </w:tc>
      </w:tr>
      <w:tr>
        <w:trPr>
          <w:trHeight w:val="212"/>
        </w:trPr>
        <w:tc>
          <w:tcPr>
            <w:tcW w:w="2900" w:type="dxa"/>
            <w:vAlign w:val="bottom"/>
          </w:tcPr>
          <w:p>
            <w:pPr>
              <w:jc w:val="center"/>
              <w:ind w:right="5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FFFFFF"/>
                <w:w w:val="99"/>
              </w:rPr>
              <w:t>Eosinophils, Fibroblasts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22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FFFFFF"/>
                <w:w w:val="99"/>
              </w:rPr>
              <w:t>cells, Fibroblasts, Monocytes,</w:t>
            </w: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FFFFFF"/>
                <w:w w:val="98"/>
              </w:rPr>
              <w:t>Activated B cells</w:t>
            </w: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688" w:right="1440" w:bottom="1440" w:gutter="0" w:footer="0" w:header="0"/>
        </w:sectPr>
      </w:pPr>
    </w:p>
    <w:bookmarkStart w:id="10" w:name="page11"/>
    <w:bookmarkEnd w:id="10"/>
    <w:p>
      <w:pPr>
        <w:ind w:left="1180" w:right="820" w:hanging="375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Randomized, double-blind, parallel-group, placebo-controlled study (NCT01639040) conducted in EU</w:t>
      </w:r>
    </w:p>
    <w:p>
      <w:pPr>
        <w:sectPr>
          <w:pgSz w:w="11900" w:h="16838" w:orient="portrait"/>
          <w:cols w:equalWidth="0" w:num="1">
            <w:col w:w="10160"/>
          </w:cols>
          <w:pgMar w:left="980" w:top="664" w:right="7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FFFFFF"/>
        </w:rPr>
        <w:t>Screening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Adult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moderate-to-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severe AD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patients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n=31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47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  <w:w w:val="99"/>
              </w:rPr>
              <w:t>Study treatment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  <w:w w:val="99"/>
              </w:rPr>
              <w:t>Safety follow-up</w:t>
            </w:r>
          </w:p>
        </w:tc>
      </w:tr>
      <w:tr>
        <w:trPr>
          <w:trHeight w:val="421"/>
        </w:trPr>
        <w:tc>
          <w:tcPr>
            <w:tcW w:w="47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  <w:w w:val="99"/>
              </w:rPr>
              <w:t>(weekly SC injection for 4 wks)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  <w:w w:val="99"/>
              </w:rPr>
              <w:t>(7 wks)</w:t>
            </w:r>
          </w:p>
        </w:tc>
      </w:tr>
      <w:tr>
        <w:trPr>
          <w:trHeight w:val="409"/>
        </w:trPr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All patients received concomitant treatment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9"/>
              </w:rPr>
              <w:t>Topical treatment of any</w:t>
            </w:r>
          </w:p>
        </w:tc>
      </w:tr>
      <w:tr>
        <w:trPr>
          <w:trHeight w:val="268"/>
        </w:trPr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with a potent TCS product on a standardized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residual active AD lesions</w:t>
            </w:r>
          </w:p>
        </w:tc>
      </w:tr>
      <w:tr>
        <w:trPr>
          <w:trHeight w:val="261"/>
        </w:trPr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regimen: daily applications to active lesions,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continues at the discretion of</w:t>
            </w:r>
          </w:p>
        </w:tc>
      </w:tr>
      <w:tr>
        <w:trPr>
          <w:trHeight w:val="259"/>
        </w:trPr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followed by applications two days per week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the investigator</w:t>
            </w:r>
          </w:p>
        </w:tc>
      </w:tr>
      <w:tr>
        <w:trPr>
          <w:trHeight w:val="268"/>
        </w:trPr>
        <w:tc>
          <w:tcPr>
            <w:tcW w:w="4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once lesions were under control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99"/>
        </w:rPr>
        <w:t>Dupilumab 300 mg + TCS (n=21)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99"/>
        </w:rPr>
        <w:t>Placebo + TCS (n=10)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660" w:space="720"/>
            <w:col w:w="7780"/>
          </w:cols>
          <w:pgMar w:left="980" w:top="664" w:right="7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Study endpoints: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•</w:t>
        <w:tab/>
        <w:t>Primary endpoint was incidence and severity of adverse events (AEs)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340" w:val="left"/>
          <w:tab w:leader="none" w:pos="7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•</w:t>
        <w:tab/>
        <w:t>Exploratory efficacy endpoints included EASI-50, IGA</w:t>
        <w:tab/>
        <w:t>1, SCORAD score</w:t>
      </w:r>
    </w:p>
    <w:p>
      <w:pPr>
        <w:sectPr>
          <w:pgSz w:w="11900" w:h="16838" w:orient="portrait"/>
          <w:cols w:equalWidth="0" w:num="1">
            <w:col w:w="10160"/>
          </w:cols>
          <w:pgMar w:left="980" w:top="664" w:right="759" w:bottom="1440" w:gutter="0" w:footer="0" w:header="0"/>
          <w:type w:val="continuous"/>
        </w:sectPr>
      </w:pPr>
    </w:p>
    <w:bookmarkStart w:id="11" w:name="page12"/>
    <w:bookmarkEnd w:id="11"/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Key inclusion/exclusion criteria</w:t>
      </w:r>
    </w:p>
    <w:p>
      <w:pPr>
        <w:sectPr>
          <w:pgSz w:w="11900" w:h="16838" w:orient="portrait"/>
          <w:cols w:equalWidth="0" w:num="1">
            <w:col w:w="10520"/>
          </w:cols>
          <w:pgMar w:left="860" w:top="994" w:right="5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99"/>
        </w:rPr>
        <w:t>Inclusion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360" w:hanging="351"/>
        <w:spacing w:after="0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Male or female  18 yrs</w:t>
      </w:r>
    </w:p>
    <w:p>
      <w:pPr>
        <w:spacing w:after="0" w:line="208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ind w:left="360" w:hanging="351"/>
        <w:spacing w:after="0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Chronic AD &gt; 2 yrs</w:t>
      </w:r>
    </w:p>
    <w:p>
      <w:pPr>
        <w:spacing w:after="0" w:line="219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ind w:left="360" w:hanging="351"/>
        <w:spacing w:after="0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IGA  3</w:t>
      </w:r>
    </w:p>
    <w:p>
      <w:pPr>
        <w:spacing w:after="0" w:line="208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ind w:left="360" w:hanging="351"/>
        <w:spacing w:after="0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SCORAD &gt; 20</w:t>
      </w:r>
    </w:p>
    <w:p>
      <w:pPr>
        <w:spacing w:after="0" w:line="219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ind w:left="580" w:hanging="571"/>
        <w:spacing w:after="0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31"/>
          <w:szCs w:val="31"/>
          <w:color w:val="B090E3"/>
        </w:rPr>
      </w:pPr>
      <w:r>
        <w:rPr>
          <w:rFonts w:ascii="Arial" w:cs="Arial" w:eastAsia="Arial" w:hAnsi="Arial"/>
          <w:sz w:val="31"/>
          <w:szCs w:val="31"/>
          <w:color w:val="FFFFFF"/>
        </w:rPr>
        <w:t>10% BSA of AD involvement</w:t>
      </w:r>
    </w:p>
    <w:p>
      <w:pPr>
        <w:spacing w:after="0" w:line="301" w:lineRule="exact"/>
        <w:rPr>
          <w:rFonts w:ascii="Arial" w:cs="Arial" w:eastAsia="Arial" w:hAnsi="Arial"/>
          <w:sz w:val="31"/>
          <w:szCs w:val="31"/>
          <w:color w:val="B090E3"/>
        </w:rPr>
      </w:pPr>
    </w:p>
    <w:p>
      <w:pPr>
        <w:jc w:val="both"/>
        <w:ind w:left="360" w:right="200" w:hanging="351"/>
        <w:spacing w:after="0" w:line="238" w:lineRule="auto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Active AD lesion(s) for which treatment with potent TCS is indicated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99"/>
        </w:rPr>
        <w:t>Exclusion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363" w:hanging="363"/>
        <w:spacing w:after="0"/>
        <w:tabs>
          <w:tab w:leader="none" w:pos="363" w:val="left"/>
        </w:tabs>
        <w:numPr>
          <w:ilvl w:val="0"/>
          <w:numId w:val="4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Hypersensitivity to TCS</w:t>
      </w:r>
    </w:p>
    <w:p>
      <w:pPr>
        <w:spacing w:after="0" w:line="208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ind w:left="363" w:hanging="363"/>
        <w:spacing w:after="0" w:line="245" w:lineRule="auto"/>
        <w:tabs>
          <w:tab w:leader="none" w:pos="539" w:val="left"/>
        </w:tabs>
        <w:numPr>
          <w:ilvl w:val="0"/>
          <w:numId w:val="4"/>
        </w:numPr>
        <w:rPr>
          <w:rFonts w:ascii="Arial" w:cs="Arial" w:eastAsia="Arial" w:hAnsi="Arial"/>
          <w:sz w:val="31"/>
          <w:szCs w:val="31"/>
          <w:color w:val="B090E3"/>
        </w:rPr>
      </w:pPr>
      <w:r>
        <w:rPr>
          <w:rFonts w:ascii="Arial" w:cs="Arial" w:eastAsia="Arial" w:hAnsi="Arial"/>
          <w:sz w:val="31"/>
          <w:szCs w:val="31"/>
          <w:color w:val="FFFFFF"/>
        </w:rPr>
        <w:t>50% of the cumulative lesional surface located on face, flexural, or genital areas (generally unsuitable for treatment with potent TCS)</w:t>
      </w:r>
    </w:p>
    <w:p>
      <w:pPr>
        <w:spacing w:after="0" w:line="202" w:lineRule="exact"/>
        <w:rPr>
          <w:rFonts w:ascii="Arial" w:cs="Arial" w:eastAsia="Arial" w:hAnsi="Arial"/>
          <w:sz w:val="31"/>
          <w:szCs w:val="31"/>
          <w:color w:val="B090E3"/>
        </w:rPr>
      </w:pPr>
    </w:p>
    <w:p>
      <w:pPr>
        <w:ind w:left="363" w:hanging="363"/>
        <w:spacing w:after="0"/>
        <w:tabs>
          <w:tab w:leader="none" w:pos="363" w:val="left"/>
        </w:tabs>
        <w:numPr>
          <w:ilvl w:val="0"/>
          <w:numId w:val="4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Acute or chronic infections</w:t>
      </w:r>
    </w:p>
    <w:p>
      <w:pPr>
        <w:spacing w:after="0" w:line="219" w:lineRule="exact"/>
        <w:rPr>
          <w:rFonts w:ascii="Arial" w:cs="Arial" w:eastAsia="Arial" w:hAnsi="Arial"/>
          <w:sz w:val="32"/>
          <w:szCs w:val="32"/>
          <w:color w:val="B090E3"/>
        </w:rPr>
      </w:pPr>
    </w:p>
    <w:p>
      <w:pPr>
        <w:jc w:val="both"/>
        <w:ind w:left="363" w:right="480" w:hanging="363"/>
        <w:spacing w:after="0" w:line="245" w:lineRule="auto"/>
        <w:tabs>
          <w:tab w:leader="none" w:pos="363" w:val="left"/>
        </w:tabs>
        <w:numPr>
          <w:ilvl w:val="0"/>
          <w:numId w:val="4"/>
        </w:numPr>
        <w:rPr>
          <w:rFonts w:ascii="Arial" w:cs="Arial" w:eastAsia="Arial" w:hAnsi="Arial"/>
          <w:sz w:val="31"/>
          <w:szCs w:val="31"/>
          <w:color w:val="B090E3"/>
        </w:rPr>
      </w:pPr>
      <w:r>
        <w:rPr>
          <w:rFonts w:ascii="Arial" w:cs="Arial" w:eastAsia="Arial" w:hAnsi="Arial"/>
          <w:sz w:val="31"/>
          <w:szCs w:val="31"/>
          <w:color w:val="FFFFFF"/>
        </w:rPr>
        <w:t>Recent treatment with immuno-suppressive/immunomodulating drugs</w:t>
      </w:r>
    </w:p>
    <w:p>
      <w:pPr>
        <w:spacing w:after="0" w:line="201" w:lineRule="exact"/>
        <w:rPr>
          <w:rFonts w:ascii="Arial" w:cs="Arial" w:eastAsia="Arial" w:hAnsi="Arial"/>
          <w:sz w:val="31"/>
          <w:szCs w:val="31"/>
          <w:color w:val="B090E3"/>
        </w:rPr>
      </w:pPr>
    </w:p>
    <w:p>
      <w:pPr>
        <w:ind w:left="363" w:right="540" w:hanging="363"/>
        <w:spacing w:after="0" w:line="239" w:lineRule="auto"/>
        <w:tabs>
          <w:tab w:leader="none" w:pos="363" w:val="left"/>
        </w:tabs>
        <w:numPr>
          <w:ilvl w:val="0"/>
          <w:numId w:val="4"/>
        </w:numPr>
        <w:rPr>
          <w:rFonts w:ascii="Arial" w:cs="Arial" w:eastAsia="Arial" w:hAnsi="Arial"/>
          <w:sz w:val="32"/>
          <w:szCs w:val="32"/>
          <w:color w:val="B090E3"/>
        </w:rPr>
      </w:pPr>
      <w:r>
        <w:rPr>
          <w:rFonts w:ascii="Arial" w:cs="Arial" w:eastAsia="Arial" w:hAnsi="Arial"/>
          <w:sz w:val="32"/>
          <w:szCs w:val="32"/>
          <w:color w:val="FFFFFF"/>
        </w:rPr>
        <w:t>Significant co-morbidities or lab abnormalities</w:t>
      </w:r>
    </w:p>
    <w:p>
      <w:pPr>
        <w:sectPr>
          <w:pgSz w:w="11900" w:h="16838" w:orient="portrait"/>
          <w:cols w:equalWidth="0" w:num="2">
            <w:col w:w="4600" w:space="617"/>
            <w:col w:w="5303"/>
          </w:cols>
          <w:pgMar w:left="860" w:top="994" w:right="519" w:bottom="1440" w:gutter="0" w:footer="0" w:header="0"/>
          <w:type w:val="continuous"/>
        </w:sectPr>
      </w:pPr>
    </w:p>
    <w:bookmarkStart w:id="12" w:name="page13"/>
    <w:bookmarkEnd w:id="12"/>
    <w:p>
      <w:pPr>
        <w:ind w:left="1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Baseline demographics</w:t>
      </w:r>
    </w:p>
    <w:p>
      <w:pPr>
        <w:sectPr>
          <w:pgSz w:w="11900" w:h="16838" w:orient="portrait"/>
          <w:cols w:equalWidth="0" w:num="1">
            <w:col w:w="9019"/>
          </w:cols>
          <w:pgMar w:left="1440" w:top="99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  <w:w w:val="99"/>
              </w:rPr>
              <w:t>Placebo + TCS</w:t>
            </w:r>
          </w:p>
        </w:tc>
      </w:tr>
      <w:tr>
        <w:trPr>
          <w:trHeight w:val="421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  <w:w w:val="98"/>
              </w:rPr>
              <w:t>(n=10)</w:t>
            </w:r>
          </w:p>
        </w:tc>
      </w:tr>
      <w:tr>
        <w:trPr>
          <w:trHeight w:val="835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Mean age, yrs (SD)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37.8 (16.7)</w:t>
            </w:r>
          </w:p>
        </w:tc>
      </w:tr>
      <w:tr>
        <w:trPr>
          <w:trHeight w:val="776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Race, n (%)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9"/>
        </w:trPr>
        <w:tc>
          <w:tcPr>
            <w:tcW w:w="3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Caucasian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10 (100%)</w:t>
            </w:r>
          </w:p>
        </w:tc>
      </w:tr>
      <w:tr>
        <w:trPr>
          <w:trHeight w:val="470"/>
        </w:trPr>
        <w:tc>
          <w:tcPr>
            <w:tcW w:w="3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Non-Caucasian</w:t>
            </w:r>
          </w:p>
        </w:tc>
        <w:tc>
          <w:tcPr>
            <w:tcW w:w="2560" w:type="dxa"/>
            <w:vAlign w:val="bottom"/>
          </w:tcPr>
          <w:p>
            <w:pPr>
              <w:jc w:val="right"/>
              <w:ind w:right="7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0</w:t>
            </w:r>
          </w:p>
        </w:tc>
      </w:tr>
    </w:tbl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Gender, n (%)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19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99"/>
        </w:rPr>
        <w:t>Dupilumab SC 300 mg +TCS (n=21)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36.0 (11.3)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40" w:hanging="435"/>
        <w:spacing w:after="0"/>
        <w:tabs>
          <w:tab w:leader="none" w:pos="740" w:val="left"/>
        </w:tabs>
        <w:numPr>
          <w:ilvl w:val="0"/>
          <w:numId w:val="5"/>
        </w:numPr>
        <w:rPr>
          <w:rFonts w:ascii="Arial" w:cs="Arial" w:eastAsia="Arial" w:hAnsi="Arial"/>
          <w:sz w:val="32"/>
          <w:szCs w:val="32"/>
          <w:color w:val="FFFFFF"/>
        </w:rPr>
      </w:pPr>
      <w:r>
        <w:rPr>
          <w:rFonts w:ascii="Arial" w:cs="Arial" w:eastAsia="Arial" w:hAnsi="Arial"/>
          <w:sz w:val="32"/>
          <w:szCs w:val="32"/>
          <w:color w:val="FFFFFF"/>
        </w:rPr>
        <w:t>(95.2%)</w:t>
      </w:r>
    </w:p>
    <w:p>
      <w:pPr>
        <w:spacing w:after="0" w:line="102" w:lineRule="exact"/>
        <w:rPr>
          <w:rFonts w:ascii="Arial" w:cs="Arial" w:eastAsia="Arial" w:hAnsi="Arial"/>
          <w:sz w:val="32"/>
          <w:szCs w:val="32"/>
          <w:color w:val="FFFFFF"/>
        </w:rPr>
      </w:pPr>
    </w:p>
    <w:p>
      <w:pPr>
        <w:ind w:left="580"/>
        <w:spacing w:after="0"/>
        <w:rPr>
          <w:rFonts w:ascii="Arial" w:cs="Arial" w:eastAsia="Arial" w:hAnsi="Arial"/>
          <w:sz w:val="32"/>
          <w:szCs w:val="32"/>
          <w:color w:val="FFFFFF"/>
        </w:rPr>
      </w:pPr>
      <w:r>
        <w:rPr>
          <w:rFonts w:ascii="Arial" w:cs="Arial" w:eastAsia="Arial" w:hAnsi="Arial"/>
          <w:sz w:val="32"/>
          <w:szCs w:val="32"/>
          <w:color w:val="FFFFFF"/>
        </w:rPr>
        <w:t>1 (4.8%)</w:t>
      </w:r>
    </w:p>
    <w:p>
      <w:pPr>
        <w:spacing w:after="0" w:line="8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40" w:space="720"/>
            <w:col w:w="2359"/>
          </w:cols>
          <w:pgMar w:left="1440" w:top="994" w:right="1440" w:bottom="1440" w:gutter="0" w:footer="0" w:header="0"/>
          <w:type w:val="continuous"/>
        </w:sect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1"/>
        </w:trPr>
        <w:tc>
          <w:tcPr>
            <w:tcW w:w="3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Male</w:t>
            </w:r>
          </w:p>
        </w:tc>
        <w:tc>
          <w:tcPr>
            <w:tcW w:w="29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5 (50.0%)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8 (38.1%)</w:t>
            </w:r>
          </w:p>
        </w:tc>
      </w:tr>
      <w:tr>
        <w:trPr>
          <w:trHeight w:val="470"/>
        </w:trPr>
        <w:tc>
          <w:tcPr>
            <w:tcW w:w="3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Female</w:t>
            </w:r>
          </w:p>
        </w:tc>
        <w:tc>
          <w:tcPr>
            <w:tcW w:w="2940" w:type="dxa"/>
            <w:vAlign w:val="bottom"/>
          </w:tcPr>
          <w:p>
            <w:pPr>
              <w:jc w:val="right"/>
              <w:ind w:righ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5 (50.0%)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13 (61.9%)</w:t>
            </w:r>
          </w:p>
        </w:tc>
      </w:tr>
      <w:tr>
        <w:trPr>
          <w:trHeight w:val="719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Mean BMI, kg/m</w:t>
            </w:r>
            <w:r>
              <w:rPr>
                <w:rFonts w:ascii="Arial" w:cs="Arial" w:eastAsia="Arial" w:hAnsi="Arial"/>
                <w:sz w:val="39"/>
                <w:szCs w:val="39"/>
                <w:b w:val="1"/>
                <w:bCs w:val="1"/>
                <w:color w:val="FFFFFF"/>
                <w:vertAlign w:val="superscript"/>
              </w:rPr>
              <w:t>2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1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(SD)</w:t>
            </w:r>
          </w:p>
        </w:tc>
        <w:tc>
          <w:tcPr>
            <w:tcW w:w="2940" w:type="dxa"/>
            <w:vAlign w:val="bottom"/>
          </w:tcPr>
          <w:p>
            <w:pPr>
              <w:jc w:val="right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23.92 (3.47)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25.26 (3.26)</w:t>
            </w: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994" w:right="1440" w:bottom="1440" w:gutter="0" w:footer="0" w:header="0"/>
          <w:type w:val="continuous"/>
        </w:sectPr>
      </w:pPr>
    </w:p>
    <w:bookmarkStart w:id="13" w:name="page14"/>
    <w:bookmarkEnd w:id="13"/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Baseline disease characteristics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9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9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</w:rPr>
              <w:t>[mean (SD)]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4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jc w:val="center"/>
              <w:ind w:left="201"/>
              <w:spacing w:after="0" w:line="3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  <w:w w:val="98"/>
              </w:rPr>
              <w:t>Dupilumab SC</w:t>
            </w:r>
          </w:p>
        </w:tc>
      </w:tr>
      <w:tr>
        <w:trPr>
          <w:trHeight w:val="353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181"/>
              <w:spacing w:after="0" w:line="3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</w:rPr>
              <w:t>Placebo + TCS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center"/>
              <w:ind w:left="201"/>
              <w:spacing w:after="0" w:line="3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  <w:w w:val="99"/>
              </w:rPr>
              <w:t>300 mg +TCS</w:t>
            </w:r>
          </w:p>
        </w:tc>
      </w:tr>
      <w:tr>
        <w:trPr>
          <w:trHeight w:val="421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8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</w:rPr>
              <w:t>(n=10)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99"/>
                <w:w w:val="98"/>
              </w:rPr>
              <w:t>(n=21)</w:t>
            </w:r>
          </w:p>
        </w:tc>
      </w:tr>
      <w:tr>
        <w:trPr>
          <w:trHeight w:val="71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AD duration, yrs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32.4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(16.8)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30.9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(13.0)</w:t>
            </w:r>
          </w:p>
        </w:tc>
      </w:tr>
      <w:tr>
        <w:trPr>
          <w:trHeight w:val="776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EASI score (0-72)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24.10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(12.70)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23.12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(12.35)</w:t>
            </w:r>
          </w:p>
        </w:tc>
      </w:tr>
      <w:tr>
        <w:trPr>
          <w:trHeight w:val="776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IGA score (0-5)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3.35 (0.47)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3.43 (0.60)</w:t>
            </w:r>
          </w:p>
        </w:tc>
      </w:tr>
      <w:tr>
        <w:trPr>
          <w:trHeight w:val="788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SCORAD score (0-103)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58.20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(13.83)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66.31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(13.01)</w:t>
            </w:r>
          </w:p>
        </w:tc>
      </w:tr>
      <w:tr>
        <w:trPr>
          <w:trHeight w:val="941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% BSA of AD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38.85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(24.05)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40.43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(20.91)</w:t>
            </w:r>
          </w:p>
        </w:tc>
      </w:tr>
      <w:tr>
        <w:trPr>
          <w:trHeight w:val="70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Pruritus Numeric Rating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1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FFFFFF"/>
              </w:rPr>
              <w:t>Scale (NRS) score (0-10)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5.00 (1.40)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FFFFFF"/>
              </w:rPr>
              <w:t>6.43 (2.00)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54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EASI=Eczema Area Severity Index; IGA=Investigator’s Global Assessment; SCORAD=scoring of atopic dermatitis; BSA = baseline body surface area; NRS=numeric rating scale</w:t>
      </w:r>
    </w:p>
    <w:p>
      <w:pPr>
        <w:sectPr>
          <w:pgSz w:w="11900" w:h="16838" w:orient="portrait"/>
          <w:cols w:equalWidth="0" w:num="1">
            <w:col w:w="10080"/>
          </w:cols>
          <w:pgMar w:left="480" w:top="805" w:right="1339" w:bottom="1440" w:gutter="0" w:footer="0" w:header="0"/>
        </w:sectPr>
      </w:pPr>
    </w:p>
    <w:bookmarkStart w:id="14" w:name="page15"/>
    <w:bookmarkEnd w:id="14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Treatment emergent adverse events</w:t>
      </w:r>
    </w:p>
    <w:p>
      <w:pPr>
        <w:sectPr>
          <w:pgSz w:w="11900" w:h="16838" w:orient="portrait"/>
          <w:cols w:equalWidth="0" w:num="1">
            <w:col w:w="10460"/>
          </w:cols>
          <w:pgMar w:left="800" w:top="994" w:right="6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Total number of AEs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2380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Total number of serious AEs Deaths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Number (%) of patients discontinued from study due to AE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Number (%) of patients with: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Any AE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Any serious AE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Most common AEs (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b w:val="1"/>
          <w:bCs w:val="1"/>
          <w:color w:val="FFFFFF"/>
        </w:rPr>
        <w:t>5% in dupilumab groups)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4"/>
        </w:trPr>
        <w:tc>
          <w:tcPr>
            <w:tcW w:w="190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  <w:w w:val="98"/>
              </w:rPr>
              <w:t>Placebo + TCS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  <w:w w:val="99"/>
              </w:rPr>
              <w:t>Dupilumab + TCS</w:t>
            </w:r>
          </w:p>
        </w:tc>
      </w:tr>
      <w:tr>
        <w:trPr>
          <w:trHeight w:val="327"/>
        </w:trPr>
        <w:tc>
          <w:tcPr>
            <w:tcW w:w="190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  <w:w w:val="99"/>
              </w:rPr>
              <w:t>(n = 10)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  <w:w w:val="97"/>
              </w:rPr>
              <w:t>(n = 21)</w:t>
            </w:r>
          </w:p>
        </w:tc>
      </w:tr>
      <w:tr>
        <w:trPr>
          <w:trHeight w:val="400"/>
        </w:trPr>
        <w:tc>
          <w:tcPr>
            <w:tcW w:w="190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14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41</w:t>
            </w:r>
          </w:p>
        </w:tc>
      </w:tr>
      <w:tr>
        <w:trPr>
          <w:trHeight w:val="400"/>
        </w:trPr>
        <w:tc>
          <w:tcPr>
            <w:tcW w:w="190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1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</w:tr>
      <w:tr>
        <w:trPr>
          <w:trHeight w:val="388"/>
        </w:trPr>
        <w:tc>
          <w:tcPr>
            <w:tcW w:w="190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</w:tr>
      <w:tr>
        <w:trPr>
          <w:trHeight w:val="541"/>
        </w:trPr>
        <w:tc>
          <w:tcPr>
            <w:tcW w:w="190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1 (10.0%)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</w:tr>
      <w:tr>
        <w:trPr>
          <w:trHeight w:val="952"/>
        </w:trPr>
        <w:tc>
          <w:tcPr>
            <w:tcW w:w="19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7 (70.0)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12 (57.1)</w:t>
            </w:r>
          </w:p>
        </w:tc>
      </w:tr>
      <w:tr>
        <w:trPr>
          <w:trHeight w:val="388"/>
        </w:trPr>
        <w:tc>
          <w:tcPr>
            <w:tcW w:w="190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1 (10.0)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</w:tr>
    </w:tbl>
    <w:p>
      <w:pPr>
        <w:spacing w:after="0" w:line="5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00" w:space="540"/>
            <w:col w:w="4120"/>
          </w:cols>
          <w:pgMar w:left="800" w:top="994" w:right="639" w:bottom="1440" w:gutter="0" w:footer="0" w:header="0"/>
          <w:type w:val="continuous"/>
        </w:sect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Nasopharyngitis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2 (20.0)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9"/>
              </w:rPr>
              <w:t>5 (23.8)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Headache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1 (10.0)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9"/>
              </w:rPr>
              <w:t>3 (14.3)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Oropharyngeal pain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7"/>
              </w:rPr>
              <w:t>1 (10.0)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9"/>
              </w:rPr>
              <w:t>3 (14.3)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Rhinitis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6"/>
              </w:rPr>
              <w:t>2 (9.5)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Cough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6"/>
              </w:rPr>
              <w:t>2 (9.5)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Influenza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6"/>
              </w:rPr>
              <w:t>2 (9.5)</w:t>
            </w:r>
          </w:p>
        </w:tc>
      </w:tr>
      <w:tr>
        <w:trPr>
          <w:trHeight w:val="400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• Somnolence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1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</w:rPr>
              <w:t>0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FFFFFF"/>
                <w:w w:val="96"/>
              </w:rPr>
              <w:t>2 (9.5)</w:t>
            </w:r>
          </w:p>
        </w:tc>
      </w:tr>
    </w:tbl>
    <w:p>
      <w:pPr>
        <w:sectPr>
          <w:pgSz w:w="11900" w:h="16838" w:orient="portrait"/>
          <w:cols w:equalWidth="0" w:num="1">
            <w:col w:w="10460"/>
          </w:cols>
          <w:pgMar w:left="800" w:top="994" w:right="639" w:bottom="1440" w:gutter="0" w:footer="0" w:header="0"/>
          <w:type w:val="continuous"/>
        </w:sectPr>
      </w:pPr>
    </w:p>
    <w:bookmarkStart w:id="15" w:name="page16"/>
    <w:bookmarkEnd w:id="15"/>
    <w:p>
      <w:pPr>
        <w:jc w:val="center"/>
        <w:ind w:left="580" w:right="2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Dupilumab+TCS significantly improved measures of efficacy vs TCS alone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EASI-50 Responders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Pruritus Numeric Rating Scale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(Patients achieving  50%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100</w:t>
            </w:r>
          </w:p>
        </w:tc>
        <w:tc>
          <w:tcPr>
            <w:tcW w:w="432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Reduction in EASI)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20</w:t>
            </w:r>
          </w:p>
        </w:tc>
        <w:tc>
          <w:tcPr>
            <w:tcW w:w="4180" w:type="dxa"/>
            <w:vAlign w:val="bottom"/>
            <w:vMerge w:val="restart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85A3FF"/>
              </w:rPr>
              <w:t>Placebo+TCS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7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90</w:t>
            </w:r>
          </w:p>
        </w:tc>
        <w:tc>
          <w:tcPr>
            <w:tcW w:w="432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C0504D"/>
              </w:rPr>
              <w:t>300 mg DPL+TCS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10</w:t>
            </w: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880"/>
          </w:cols>
          <w:pgMar w:left="460" w:top="406" w:right="559" w:bottom="1440" w:gutter="0" w:footer="0" w:header="0"/>
        </w:sect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70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85A3FF"/>
              </w:rPr>
              <w:t>Placebo+TCS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30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10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-70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72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30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FFFFFF"/>
        </w:rPr>
        <w:t>Study Day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*</w:t>
      </w:r>
      <w:r>
        <w:rPr>
          <w:rFonts w:ascii="Arial" w:cs="Arial" w:eastAsia="Arial" w:hAnsi="Arial"/>
          <w:sz w:val="21"/>
          <w:szCs w:val="21"/>
          <w:color w:val="FFFFFF"/>
        </w:rPr>
        <w:t>p=0.0015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DPL=dupilumab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TCS=topical corticosteroids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C0504D"/>
        </w:rPr>
        <w:t>300 mg DPL+TCS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940" w:val="left"/>
          <w:tab w:leader="none" w:pos="1640" w:val="left"/>
          <w:tab w:leader="none" w:pos="2360" w:val="left"/>
          <w:tab w:leader="none" w:pos="3060" w:val="left"/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20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25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FFFFFF"/>
        </w:rPr>
        <w:t>30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FFFFFF"/>
        </w:rPr>
        <w:t>Study Day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**</w:t>
      </w:r>
      <w:r>
        <w:rPr>
          <w:rFonts w:ascii="Arial" w:cs="Arial" w:eastAsia="Arial" w:hAnsi="Arial"/>
          <w:sz w:val="21"/>
          <w:szCs w:val="21"/>
          <w:color w:val="FFFFFF"/>
        </w:rPr>
        <w:t>p=0.0051</w:t>
      </w:r>
    </w:p>
    <w:p>
      <w:pPr>
        <w:sectPr>
          <w:pgSz w:w="11900" w:h="16838" w:orient="portrait"/>
          <w:cols w:equalWidth="0" w:num="2">
            <w:col w:w="6560" w:space="280"/>
            <w:col w:w="4040"/>
          </w:cols>
          <w:pgMar w:left="460" w:top="406" w:right="559" w:bottom="1440" w:gutter="0" w:footer="0" w:header="0"/>
          <w:type w:val="continuous"/>
        </w:sectPr>
      </w:pPr>
    </w:p>
    <w:bookmarkStart w:id="16" w:name="page17"/>
    <w:bookmarkEnd w:id="16"/>
    <w:p>
      <w:pPr>
        <w:jc w:val="center"/>
        <w:ind w:left="780" w:right="5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Dupilumab+TCS significantly improved measures of efficacy vs TCS alone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SCORAD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</w:rPr>
              <w:t>EASI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6"/>
        </w:trPr>
        <w:tc>
          <w:tcPr>
            <w:tcW w:w="74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85A3FF"/>
              </w:rPr>
              <w:t>Placebo+TCS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85A3FF"/>
              </w:rPr>
              <w:t>Placebo+TCS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8"/>
        </w:trPr>
        <w:tc>
          <w:tcPr>
            <w:tcW w:w="74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74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-30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3"/>
        </w:trPr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-40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C0504D"/>
              </w:rPr>
              <w:t>300 mg DPL+TCS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C0504D"/>
              </w:rPr>
              <w:t>300 mg DPL+TCS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2"/>
        </w:trPr>
        <w:tc>
          <w:tcPr>
            <w:tcW w:w="74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15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7"/>
              </w:rPr>
              <w:t>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30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-20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25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4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FFFFFF"/>
              </w:rPr>
              <w:t>Study Day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FFFFFF"/>
              </w:rPr>
              <w:t>Study Day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8"/>
                <w:szCs w:val="38"/>
                <w:color w:val="FFFFFF"/>
                <w:w w:val="98"/>
              </w:rPr>
              <w:t>*p=0.0191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8"/>
                <w:szCs w:val="38"/>
                <w:color w:val="FFFFFF"/>
              </w:rPr>
              <w:t>**p=0.0042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DPL=dupilumab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TCS=topical corticosteroids</w:t>
      </w:r>
    </w:p>
    <w:p>
      <w:pPr>
        <w:sectPr>
          <w:pgSz w:w="11900" w:h="16838" w:orient="portrait"/>
          <w:cols w:equalWidth="0" w:num="1">
            <w:col w:w="10880"/>
          </w:cols>
          <w:pgMar w:left="460" w:top="688" w:right="559" w:bottom="1440" w:gutter="0" w:footer="0" w:header="0"/>
        </w:sectPr>
      </w:pPr>
    </w:p>
    <w:bookmarkStart w:id="17" w:name="page18"/>
    <w:bookmarkEnd w:id="17"/>
    <w:p>
      <w:pPr>
        <w:jc w:val="center"/>
        <w:ind w:left="1380" w:right="70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Dupilumab+TCS achieved superior clinical outcomes vs TCS alone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>IGA Score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>TCS Used Weekly (g)</w:t>
      </w:r>
    </w:p>
    <w:p>
      <w:pPr>
        <w:sectPr>
          <w:pgSz w:w="11900" w:h="16838" w:orient="portrait"/>
          <w:cols w:equalWidth="0" w:num="1">
            <w:col w:w="10480"/>
          </w:cols>
          <w:pgMar w:left="460" w:top="394" w:right="9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left="900"/>
        <w:spacing w:after="0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5"/>
          <w:szCs w:val="45"/>
          <w:color w:val="FFFFFF"/>
          <w:vertAlign w:val="superscript"/>
        </w:rPr>
        <w:t>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b w:val="1"/>
          <w:bCs w:val="1"/>
          <w:color w:val="85A3FF"/>
        </w:rPr>
        <w:t>Placebo+TCS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8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-1.0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7"/>
        </w:trPr>
        <w:tc>
          <w:tcPr>
            <w:tcW w:w="8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-2.0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C0504D"/>
              </w:rPr>
              <w:t>300 mg DPL+TCS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5"/>
        </w:trPr>
        <w:tc>
          <w:tcPr>
            <w:tcW w:w="8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  <w:w w:val="94"/>
              </w:rPr>
              <w:t>-3.0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25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4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FFFFFF"/>
        </w:rPr>
        <w:t>Study Day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**p=0.0281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DPL=dupilumab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TCS=topical corticosteroids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45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40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35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30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25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20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15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10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5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C0504D"/>
        </w:rPr>
        <w:t>300 mg DPL+TCS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85A3FF"/>
        </w:rPr>
        <w:t>Placebo+TCS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C0504D"/>
        </w:rPr>
        <w:t>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  <w:tab w:leader="none" w:pos="2100" w:val="left"/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Wk 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Wk 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FFFFFF"/>
        </w:rPr>
        <w:t>Wk 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FFFFFF"/>
        </w:rPr>
        <w:t>Wk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FFFFFF"/>
        </w:rPr>
        <w:t>*p=0.1413</w:t>
      </w:r>
    </w:p>
    <w:p>
      <w:pPr>
        <w:sectPr>
          <w:pgSz w:w="11900" w:h="16838" w:orient="portrait"/>
          <w:cols w:equalWidth="0" w:num="3">
            <w:col w:w="5500" w:space="640"/>
            <w:col w:w="260" w:space="400"/>
            <w:col w:w="3680"/>
          </w:cols>
          <w:pgMar w:left="460" w:top="394" w:right="959" w:bottom="1440" w:gutter="0" w:footer="0" w:header="0"/>
          <w:type w:val="continuous"/>
        </w:sectPr>
      </w:pPr>
    </w:p>
    <w:bookmarkStart w:id="18" w:name="page19"/>
    <w:bookmarkEnd w:id="18"/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Summary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5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In this study of adults with moderate-to-severe AD, concomitant treatment with SC dupilumab+TCS exhibited an acceptable safety profile (primary endpoint)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80" w:right="200" w:hanging="353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B090E3"/>
        </w:rPr>
        <w:t xml:space="preserve">– </w:t>
      </w:r>
      <w:r>
        <w:rPr>
          <w:rFonts w:ascii="Arial" w:cs="Arial" w:eastAsia="Arial" w:hAnsi="Arial"/>
          <w:sz w:val="28"/>
          <w:szCs w:val="28"/>
          <w:color w:val="FFFFFF"/>
        </w:rPr>
        <w:t>Most common treatment-emergent AEs were nasopharyngitis (23.8% vs</w:t>
      </w:r>
      <w:r>
        <w:rPr>
          <w:rFonts w:ascii="Arial" w:cs="Arial" w:eastAsia="Arial" w:hAnsi="Arial"/>
          <w:sz w:val="28"/>
          <w:szCs w:val="28"/>
          <w:color w:val="B090E3"/>
        </w:rPr>
        <w:t xml:space="preserve"> </w:t>
      </w:r>
      <w:r>
        <w:rPr>
          <w:rFonts w:ascii="Arial" w:cs="Arial" w:eastAsia="Arial" w:hAnsi="Arial"/>
          <w:sz w:val="28"/>
          <w:szCs w:val="28"/>
          <w:color w:val="FFFFFF"/>
        </w:rPr>
        <w:t>20% for placebo), headache and oropharyngeal pain (both14.3% vs 10% for placebo)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4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FFFFFF"/>
        </w:rPr>
        <w:t>At 4 weeks, dupilumab+TCS group achieved superior clinical outcomes compared to TCS alone (exploratory efficacy endpoints)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480" w:right="80" w:hanging="353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B090E3"/>
        </w:rPr>
        <w:t xml:space="preserve">– </w:t>
      </w:r>
      <w:r>
        <w:rPr>
          <w:rFonts w:ascii="Arial" w:cs="Arial" w:eastAsia="Arial" w:hAnsi="Arial"/>
          <w:sz w:val="28"/>
          <w:szCs w:val="28"/>
          <w:color w:val="FFFFFF"/>
        </w:rPr>
        <w:t>EASI-50: 100% responder rate for dupilumab +TCS, compared to 50% for</w:t>
      </w:r>
      <w:r>
        <w:rPr>
          <w:rFonts w:ascii="Arial" w:cs="Arial" w:eastAsia="Arial" w:hAnsi="Arial"/>
          <w:sz w:val="28"/>
          <w:szCs w:val="28"/>
          <w:color w:val="B090E3"/>
        </w:rPr>
        <w:t xml:space="preserve"> </w:t>
      </w:r>
      <w:r>
        <w:rPr>
          <w:rFonts w:ascii="Arial" w:cs="Arial" w:eastAsia="Arial" w:hAnsi="Arial"/>
          <w:sz w:val="28"/>
          <w:szCs w:val="28"/>
          <w:color w:val="FFFFFF"/>
        </w:rPr>
        <w:t>placebo+TCS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480" w:right="420" w:hanging="353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B090E3"/>
        </w:rPr>
        <w:t xml:space="preserve">– </w:t>
      </w:r>
      <w:r>
        <w:rPr>
          <w:rFonts w:ascii="Arial" w:cs="Arial" w:eastAsia="Arial" w:hAnsi="Arial"/>
          <w:sz w:val="28"/>
          <w:szCs w:val="28"/>
          <w:color w:val="FFFFFF"/>
        </w:rPr>
        <w:t>Significantly better improvement from baseline in EASI, SCORAD, IGA,</w:t>
      </w:r>
      <w:r>
        <w:rPr>
          <w:rFonts w:ascii="Arial" w:cs="Arial" w:eastAsia="Arial" w:hAnsi="Arial"/>
          <w:sz w:val="28"/>
          <w:szCs w:val="28"/>
          <w:color w:val="B090E3"/>
        </w:rPr>
        <w:t xml:space="preserve"> </w:t>
      </w:r>
      <w:r>
        <w:rPr>
          <w:rFonts w:ascii="Arial" w:cs="Arial" w:eastAsia="Arial" w:hAnsi="Arial"/>
          <w:sz w:val="28"/>
          <w:szCs w:val="28"/>
          <w:color w:val="FFFFFF"/>
        </w:rPr>
        <w:t>and pruritus NRS for dupilumab + TCS vs. Placebo + TCS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FFFFFF"/>
        </w:rPr>
        <w:t>Patients on dupilumab + TCS used approximately 50% less TCS during the treatment period compared with patients on placebo + TCS (48.7g vs 99.4g), associated with faster clearing of active AD lesions</w:t>
      </w:r>
    </w:p>
    <w:p>
      <w:pPr>
        <w:sectPr>
          <w:pgSz w:w="11900" w:h="16838" w:orient="portrait"/>
          <w:cols w:equalWidth="0" w:num="1">
            <w:col w:w="9800"/>
          </w:cols>
          <w:pgMar w:left="1300" w:top="994" w:right="799" w:bottom="1440" w:gutter="0" w:footer="0" w:header="0"/>
        </w:sectPr>
      </w:pPr>
    </w:p>
    <w:bookmarkStart w:id="19" w:name="page20"/>
    <w:bookmarkEnd w:id="19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Acknowledgements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99"/>
        </w:rPr>
        <w:t>All participating patients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99"/>
        </w:rPr>
        <w:t>Investigators</w:t>
      </w:r>
    </w:p>
    <w:p>
      <w:pPr>
        <w:spacing w:after="0" w:line="81" w:lineRule="exact"/>
        <w:rPr>
          <w:sz w:val="20"/>
          <w:szCs w:val="20"/>
          <w:color w:val="auto"/>
        </w:rPr>
      </w:pPr>
    </w:p>
    <w:tbl>
      <w:tblPr>
        <w:tblLayout w:type="fixed"/>
        <w:tblInd w:w="1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Diamant Thaci</w:t>
            </w:r>
          </w:p>
        </w:tc>
        <w:tc>
          <w:tcPr>
            <w:tcW w:w="30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Beate Schwarz</w:t>
            </w:r>
          </w:p>
        </w:tc>
        <w:tc>
          <w:tcPr>
            <w:tcW w:w="33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Maris Juszkiewicz-Borowiec</w:t>
            </w:r>
          </w:p>
        </w:tc>
      </w:tr>
      <w:tr>
        <w:trPr>
          <w:trHeight w:val="27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Margitta Worm</w:t>
            </w:r>
          </w:p>
        </w:tc>
        <w:tc>
          <w:tcPr>
            <w:tcW w:w="30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Noemi Bakos</w:t>
            </w:r>
          </w:p>
        </w:tc>
        <w:tc>
          <w:tcPr>
            <w:tcW w:w="33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Andrzej Kaszuba</w:t>
            </w:r>
          </w:p>
        </w:tc>
      </w:tr>
      <w:tr>
        <w:trPr>
          <w:trHeight w:val="25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Martin Kaatz</w:t>
            </w:r>
          </w:p>
        </w:tc>
        <w:tc>
          <w:tcPr>
            <w:tcW w:w="30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Lajos Kemeny</w:t>
            </w:r>
          </w:p>
        </w:tc>
        <w:tc>
          <w:tcPr>
            <w:tcW w:w="33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Dorota Bystrzanowska</w:t>
            </w:r>
          </w:p>
        </w:tc>
      </w:tr>
      <w:tr>
        <w:trPr>
          <w:trHeight w:val="25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Rolf Dominicus</w:t>
            </w:r>
          </w:p>
        </w:tc>
        <w:tc>
          <w:tcPr>
            <w:tcW w:w="30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Marcin Ambroziak</w:t>
            </w:r>
          </w:p>
        </w:tc>
        <w:tc>
          <w:tcPr>
            <w:tcW w:w="33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Athanasios Tsianakas</w:t>
            </w:r>
          </w:p>
        </w:tc>
      </w:tr>
      <w:tr>
        <w:trPr>
          <w:trHeight w:val="28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Beatrice Gerlach</w:t>
            </w:r>
          </w:p>
        </w:tc>
        <w:tc>
          <w:tcPr>
            <w:tcW w:w="30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Maria Czubek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7"/>
        </w:trPr>
        <w:tc>
          <w:tcPr>
            <w:tcW w:w="2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</w:rPr>
              <w:t>Sanofi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FFFF99"/>
              </w:rPr>
              <w:t>Regeneron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3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Jennifer Cairns</w:t>
            </w: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Marius Ardeleanu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Tara Coughlan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Melissa Hager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Jacquie Kuritzky</w:t>
            </w:r>
          </w:p>
        </w:tc>
      </w:tr>
      <w:tr>
        <w:trPr>
          <w:trHeight w:val="259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Jeffrey Ming</w:t>
            </w: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Elisa Babilonia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Judy Cusick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Jennifer Hamilton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Vicky Lai</w:t>
            </w:r>
          </w:p>
        </w:tc>
      </w:tr>
      <w:tr>
        <w:trPr>
          <w:trHeight w:val="327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Susan Slaytylak-Cheeks</w:t>
            </w: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Nancee Basinger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Evelyn Dorsey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Rebecca Indibi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Haobo Ren</w:t>
            </w:r>
          </w:p>
        </w:tc>
      </w:tr>
      <w:tr>
        <w:trPr>
          <w:trHeight w:val="294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Warren Brooks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Kristen Dougherty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Richard Kao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Dawn Rich</w:t>
            </w:r>
          </w:p>
        </w:tc>
      </w:tr>
      <w:tr>
        <w:trPr>
          <w:trHeight w:val="294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Josh Cantor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Chad Fish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Dan Kropas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Tara Seeliger</w:t>
            </w:r>
          </w:p>
        </w:tc>
      </w:tr>
      <w:tr>
        <w:trPr>
          <w:trHeight w:val="294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Linda Williams</w:t>
            </w: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FFFFFF"/>
              </w:rPr>
              <w:t>Usman Chaudhry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460"/>
          </w:cols>
          <w:pgMar w:left="780" w:top="1099" w:right="659" w:bottom="1440" w:gutter="0" w:footer="0" w:header="0"/>
        </w:sectPr>
      </w:pPr>
    </w:p>
    <w:bookmarkStart w:id="20" w:name="page21"/>
    <w:bookmarkEnd w:id="2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-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t>BACK UP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1" w:name="page22"/>
    <w:bookmarkEnd w:id="21"/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FFFF9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march of atopic eczema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1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1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(Aero)allergen</w:t>
            </w:r>
          </w:p>
        </w:tc>
        <w:tc>
          <w:tcPr>
            <w:tcW w:w="22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microbial products/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auto-antigens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199"/>
          </w:cols>
          <w:pgMar w:left="1260" w:top="864" w:right="1440" w:bottom="1440" w:gutter="0" w:footer="0" w:header="0"/>
        </w:sect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filaggrin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center"/>
        <w:ind w:lef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acute eczema: allergen-specific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lef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immune response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(Th2, IgE, eosinophils)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filaggrin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IL-13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IL-4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TSLP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FFFFFF"/>
        </w:rPr>
        <w:t>Th2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 naive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APC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FFFFFF"/>
        </w:rPr>
        <w:t>Th1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local lymph node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chronic eczema: microorganisms,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auto-allergy, remodelling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(Th1, Th2</w:t>
      </w:r>
      <w:r>
        <w:rPr>
          <w:rFonts w:ascii="Arial" w:cs="Arial" w:eastAsia="Arial" w:hAnsi="Arial"/>
          <w:sz w:val="15"/>
          <w:szCs w:val="15"/>
          <w:b w:val="1"/>
          <w:bCs w:val="1"/>
          <w:color w:val="FF0000"/>
        </w:rPr>
        <w:t>,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 xml:space="preserve"> Th17/Th22)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IFN-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IDEC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IL-22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IL-17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FFFFFF"/>
        </w:rPr>
        <w:t>Th17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20"/>
        <w:spacing w:after="0"/>
        <w:tabs>
          <w:tab w:leader="none" w:pos="2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FFFFFF"/>
        </w:rPr>
        <w:t>Eosinophil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1"/>
          <w:szCs w:val="31"/>
          <w:b w:val="1"/>
          <w:bCs w:val="1"/>
          <w:color w:val="auto"/>
          <w:vertAlign w:val="subscript"/>
        </w:rPr>
        <w:t>IgE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dermal vessel</w:t>
            </w:r>
          </w:p>
        </w:tc>
        <w:tc>
          <w:tcPr>
            <w:tcW w:w="12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161616"/>
                <w:w w:val="99"/>
              </w:rPr>
              <w:t>B cell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FFFFFF"/>
              </w:rPr>
              <w:t>Th2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2">
        <w:col w:w="4700" w:space="180"/>
        <w:col w:w="4319"/>
      </w:cols>
      <w:pgMar w:left="1260" w:top="86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(%1)"/>
      <w:numFmt w:val="lowerLetter"/>
      <w:start w:val="4"/>
    </w:lvl>
  </w:abstractNum>
  <w:abstractNum w:abstractNumId="2">
    <w:nsid w:val="46E87CCD"/>
    <w:multiLevelType w:val="hybridMultilevel"/>
    <w:lvl w:ilvl="0">
      <w:lvlJc w:val="left"/>
      <w:lvlText w:val="•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•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%1"/>
      <w:numFmt w:val="decimal"/>
      <w:start w:val="20"/>
    </w:lvl>
  </w:abstractNum>
  <w:abstractNum w:abstractNumId="5">
    <w:nsid w:val="2EB141F2"/>
    <w:multiLevelType w:val="hybridMultilevel"/>
    <w:lvl w:ilvl="0">
      <w:lvlJc w:val="left"/>
      <w:lvlText w:val="\endash 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\endash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2019-12-06T05:08:32Z</dcterms:created>
  <dcterms:modified xsi:type="dcterms:W3CDTF">2019-12-06T05:08:32Z</dcterms:modified>
</cp:coreProperties>
</file>