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POON CHRISTINE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12,280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273.67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14,317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837.92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14,017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838.6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12,019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3,032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839.45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8,987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6,450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840.65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841.05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273.67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12,280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volume-weighted average price of sales of 300 shares of Company stock on August 23, 2023 at prices ranging from $837.83 to $837.98. Upon request by the Commission staff, the Company, or a security holder of the Company, the reporting person will provide full information regarding the number of shares sold by the reporting person on August 23,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1,998 shares of Company stock on August 23, 2023 at prices ranging from $838.02 to $838.98. Upon request by the Commission staff, the Company, or a security holder of the Company, the reporting person will provide full information regarding the number of shares sold by the reporting person on August 23,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volume-weighted average price of sales of 3,032 shares of Company stock on August 23, 2023 at prices ranging from $839.01 to $839.99. Upon request by the Commission staff, the Company, or a security holder of the Company, the reporting person will provide full information regarding the number of shares sold by the reporting person on August 23,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volume-weighted average price of sales of 6,450 shares of Company stock on August 23, 2023 at prices ranging from $840.01 to $840.96. Upon request by the Commission staff, the Company, or a security holder of the Company, the reporting person will provide full information regarding the number of shares sold by the reporting person on August 23,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volume-weighted average price of sales of 500 shares of Company stock on August 23, 2023 at prices ranging from $841.02 to $841.16. Upon request by the Commission staff, the Company, or a security holder of the Company, the reporting person will provide full information regarding the number of shares sold by the reporting person on August 23,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stock option becomes exercisable in three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/s/**Christine A. Poon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08/24/2023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9014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954</Words>
  <Characters>5061</Characters>
  <CharactersWithSpaces>5906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